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5259744"/>
        <w:docPartObj>
          <w:docPartGallery w:val="Cover Pages"/>
          <w:docPartUnique/>
        </w:docPartObj>
      </w:sdtPr>
      <w:sdtContent>
        <w:p w14:paraId="27F1A561" w14:textId="3FF9B581" w:rsidR="00423A65" w:rsidRPr="00FE73DE" w:rsidRDefault="00423A65" w:rsidP="00423A65"/>
        <w:p w14:paraId="7C6234AE" w14:textId="0DD6CB68" w:rsidR="00423A65" w:rsidRPr="00FE73DE" w:rsidRDefault="00423A65" w:rsidP="00423A65">
          <w:r w:rsidRPr="00FE73DE">
            <w:rPr>
              <w:noProof/>
              <w:lang w:eastAsia="en-AU"/>
            </w:rPr>
            <w:drawing>
              <wp:anchor distT="0" distB="0" distL="114300" distR="114300" simplePos="0" relativeHeight="251658241" behindDoc="0" locked="0" layoutInCell="1" allowOverlap="1" wp14:anchorId="718A06A3" wp14:editId="572D9978">
                <wp:simplePos x="0" y="0"/>
                <wp:positionH relativeFrom="margin">
                  <wp:posOffset>-59055</wp:posOffset>
                </wp:positionH>
                <wp:positionV relativeFrom="margin">
                  <wp:posOffset>8072287</wp:posOffset>
                </wp:positionV>
                <wp:extent cx="2880448" cy="769496"/>
                <wp:effectExtent l="0" t="0" r="0" b="0"/>
                <wp:wrapSquare wrapText="bothSides"/>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880448" cy="769496"/>
                        </a:xfrm>
                        <a:prstGeom prst="rect">
                          <a:avLst/>
                        </a:prstGeom>
                      </pic:spPr>
                    </pic:pic>
                  </a:graphicData>
                </a:graphic>
                <wp14:sizeRelH relativeFrom="margin">
                  <wp14:pctWidth>0</wp14:pctWidth>
                </wp14:sizeRelH>
                <wp14:sizeRelV relativeFrom="margin">
                  <wp14:pctHeight>0</wp14:pctHeight>
                </wp14:sizeRelV>
              </wp:anchor>
            </w:drawing>
          </w:r>
          <w:r w:rsidR="00EA2CA5" w:rsidRPr="00FE73DE">
            <w:rPr>
              <w:noProof/>
              <w:lang w:eastAsia="en-AU"/>
            </w:rPr>
            <mc:AlternateContent>
              <mc:Choice Requires="wps">
                <w:drawing>
                  <wp:anchor distT="45720" distB="45720" distL="180340" distR="180340" simplePos="0" relativeHeight="251658240" behindDoc="0" locked="1" layoutInCell="1" allowOverlap="1" wp14:anchorId="59F1768C" wp14:editId="66865D9B">
                    <wp:simplePos x="0" y="0"/>
                    <wp:positionH relativeFrom="margin">
                      <wp:posOffset>-959485</wp:posOffset>
                    </wp:positionH>
                    <wp:positionV relativeFrom="page">
                      <wp:align>bottom</wp:align>
                    </wp:positionV>
                    <wp:extent cx="7554595" cy="3799840"/>
                    <wp:effectExtent l="0" t="0" r="825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3799840"/>
                            </a:xfrm>
                            <a:prstGeom prst="rect">
                              <a:avLst/>
                            </a:prstGeom>
                            <a:solidFill>
                              <a:sysClr val="window" lastClr="FFFFFF"/>
                            </a:solidFill>
                            <a:ln w="9525">
                              <a:noFill/>
                              <a:miter lim="800000"/>
                              <a:headEnd/>
                              <a:tailEnd/>
                            </a:ln>
                          </wps:spPr>
                          <wps:txbx>
                            <w:txbxContent>
                              <w:p w14:paraId="46926D0B" w14:textId="7E9971EB" w:rsidR="00272B9C" w:rsidRPr="00A77569" w:rsidRDefault="00272B9C" w:rsidP="00C7682C">
                                <w:pPr>
                                  <w:pStyle w:val="Title"/>
                                  <w:jc w:val="right"/>
                                </w:pPr>
                                <w:r>
                                  <w:t xml:space="preserve">Evaluation of the Business </w:t>
                                </w:r>
                                <w:r>
                                  <w:br/>
                                  <w:t>Solutions Program: Final Report</w:t>
                                </w:r>
                              </w:p>
                              <w:p w14:paraId="7A6E21AC" w14:textId="65E47B60" w:rsidR="00272B9C" w:rsidRPr="00331BA9" w:rsidRDefault="00272B9C" w:rsidP="00423A65">
                                <w:pPr>
                                  <w:pStyle w:val="Subtitle"/>
                                  <w:jc w:val="right"/>
                                  <w:rPr>
                                    <w:b/>
                                    <w:bCs/>
                                  </w:rPr>
                                </w:pPr>
                                <w:r w:rsidRPr="00C7682C">
                                  <w:rPr>
                                    <w:b/>
                                    <w:bCs/>
                                  </w:rPr>
                                  <w:t>National Indigenous Australians Agency</w:t>
                                </w:r>
                                <w:r>
                                  <w:rPr>
                                    <w:b/>
                                    <w:bCs/>
                                  </w:rPr>
                                  <w:t xml:space="preserve"> </w:t>
                                </w:r>
                                <w:r>
                                  <w:rPr>
                                    <w:b/>
                                    <w:bCs/>
                                  </w:rPr>
                                  <w:br/>
                                </w:r>
                              </w:p>
                              <w:p w14:paraId="6E0ECC27" w14:textId="47B50B69" w:rsidR="00272B9C" w:rsidRPr="00331BA9" w:rsidRDefault="009B4818" w:rsidP="00423A65">
                                <w:pPr>
                                  <w:pStyle w:val="Subtitle"/>
                                  <w:spacing w:before="240"/>
                                  <w:jc w:val="right"/>
                                </w:pPr>
                                <w:r>
                                  <w:t xml:space="preserve">December </w:t>
                                </w:r>
                                <w:r w:rsidR="00272B9C">
                                  <w:t>2022</w:t>
                                </w:r>
                              </w:p>
                            </w:txbxContent>
                          </wps:txbx>
                          <wps:bodyPr rot="0" vert="horz" wrap="square" lIns="900000" tIns="180000" rIns="90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1768C" id="_x0000_t202" coordsize="21600,21600" o:spt="202" path="m,l,21600r21600,l21600,xe">
                    <v:stroke joinstyle="miter"/>
                    <v:path gradientshapeok="t" o:connecttype="rect"/>
                  </v:shapetype>
                  <v:shape id="Text Box 4" o:spid="_x0000_s1026" type="#_x0000_t202" style="position:absolute;left:0;text-align:left;margin-left:-75.55pt;margin-top:0;width:594.85pt;height:299.2pt;z-index:251658240;visibility:visible;mso-wrap-style:square;mso-width-percent:0;mso-height-percent:0;mso-wrap-distance-left:14.2pt;mso-wrap-distance-top:3.6pt;mso-wrap-distance-right:14.2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" fillcolor="window" stroked="f">
                    <v:textbox inset="25mm,5mm,25mm,5mm">
                      <w:txbxContent>
                        <w:p w14:paraId="46926D0B" w14:textId="7E9971EB" w:rsidR="00272B9C" w:rsidRPr="00A77569" w:rsidRDefault="00272B9C" w:rsidP="00C7682C">
                          <w:pPr>
                            <w:pStyle w:val="Title"/>
                            <w:jc w:val="right"/>
                          </w:pPr>
                          <w:r>
                            <w:t xml:space="preserve">Evaluation of the Business </w:t>
                          </w:r>
                          <w:r>
                            <w:br/>
                            <w:t>Solutions Program: Final Report</w:t>
                          </w:r>
                        </w:p>
                        <w:p w14:paraId="7A6E21AC" w14:textId="65E47B60" w:rsidR="00272B9C" w:rsidRPr="00331BA9" w:rsidRDefault="00272B9C" w:rsidP="00423A65">
                          <w:pPr>
                            <w:pStyle w:val="Subtitle"/>
                            <w:jc w:val="right"/>
                            <w:rPr>
                              <w:b/>
                              <w:bCs/>
                            </w:rPr>
                          </w:pPr>
                          <w:r w:rsidRPr="00C7682C">
                            <w:rPr>
                              <w:b/>
                              <w:bCs/>
                            </w:rPr>
                            <w:t>National Indigenous Australians Agency</w:t>
                          </w:r>
                          <w:r>
                            <w:rPr>
                              <w:b/>
                              <w:bCs/>
                            </w:rPr>
                            <w:t xml:space="preserve"> </w:t>
                          </w:r>
                          <w:r>
                            <w:rPr>
                              <w:b/>
                              <w:bCs/>
                            </w:rPr>
                            <w:br/>
                          </w:r>
                        </w:p>
                        <w:p w14:paraId="6E0ECC27" w14:textId="47B50B69" w:rsidR="00272B9C" w:rsidRPr="00331BA9" w:rsidRDefault="009B4818" w:rsidP="00423A65">
                          <w:pPr>
                            <w:pStyle w:val="Subtitle"/>
                            <w:spacing w:before="240"/>
                            <w:jc w:val="right"/>
                          </w:pPr>
                          <w:r>
                            <w:t xml:space="preserve">December </w:t>
                          </w:r>
                          <w:r w:rsidR="00272B9C">
                            <w:t>2022</w:t>
                          </w:r>
                        </w:p>
                      </w:txbxContent>
                    </v:textbox>
                    <w10:wrap type="square" anchorx="margin" anchory="page"/>
                    <w10:anchorlock/>
                  </v:shape>
                </w:pict>
              </mc:Fallback>
            </mc:AlternateContent>
          </w:r>
          <w:r w:rsidRPr="00FE73DE">
            <w:br w:type="page"/>
          </w:r>
        </w:p>
      </w:sdtContent>
    </w:sdt>
    <w:p w14:paraId="619E32AE" w14:textId="32F6C5E0" w:rsidR="00C87F79" w:rsidRPr="00FE73DE" w:rsidRDefault="00C87F79" w:rsidP="00C87F79">
      <w:bookmarkStart w:id="0" w:name="_Toc89342616"/>
    </w:p>
    <w:p w14:paraId="4012038F" w14:textId="0E1F4EFB" w:rsidR="00C87F79" w:rsidRPr="00FE73DE" w:rsidRDefault="00C87F79" w:rsidP="00C87F79"/>
    <w:p w14:paraId="6225B857" w14:textId="7EC274C0" w:rsidR="00C87F79" w:rsidRPr="00FE73DE" w:rsidRDefault="00C87F79" w:rsidP="00C87F79"/>
    <w:p w14:paraId="0505E8C2" w14:textId="4EBF0975" w:rsidR="00C87F79" w:rsidRPr="00FE73DE" w:rsidRDefault="00C87F79" w:rsidP="00C87F79"/>
    <w:p w14:paraId="11DAA313" w14:textId="0BAED404" w:rsidR="00C87F79" w:rsidRPr="00FE73DE" w:rsidRDefault="00C87F79" w:rsidP="00C87F79"/>
    <w:p w14:paraId="4D085533" w14:textId="53B964C3" w:rsidR="00C87F79" w:rsidRPr="00FE73DE" w:rsidRDefault="00C87F79" w:rsidP="00C87F79"/>
    <w:p w14:paraId="0A5B6183" w14:textId="6EB89BCE" w:rsidR="00C87F79" w:rsidRPr="00FE73DE" w:rsidRDefault="00C87F79" w:rsidP="00C87F79"/>
    <w:p w14:paraId="3B3E1709" w14:textId="58068F02" w:rsidR="00C87F79" w:rsidRPr="00FE73DE" w:rsidRDefault="00C87F79" w:rsidP="00C87F79"/>
    <w:p w14:paraId="0EA9184C" w14:textId="0815C38D" w:rsidR="00C87F79" w:rsidRPr="00FE73DE" w:rsidRDefault="00C87F79" w:rsidP="00C87F79"/>
    <w:p w14:paraId="45FBA495" w14:textId="61E5AFFC" w:rsidR="00C87F79" w:rsidRPr="00FE73DE" w:rsidRDefault="00C87F79" w:rsidP="00C87F79"/>
    <w:p w14:paraId="439D37CE" w14:textId="0172AAD6" w:rsidR="00C87F79" w:rsidRPr="00FE73DE" w:rsidRDefault="00C87F79" w:rsidP="00C87F79"/>
    <w:p w14:paraId="271094C8" w14:textId="4228899C" w:rsidR="00C87F79" w:rsidRPr="00FE73DE" w:rsidRDefault="00C87F79" w:rsidP="00C87F79"/>
    <w:p w14:paraId="3D298F7D" w14:textId="6FB7EF5F" w:rsidR="00C87F79" w:rsidRPr="00FE73DE" w:rsidRDefault="00C87F79" w:rsidP="00C87F79"/>
    <w:p w14:paraId="7E67049F" w14:textId="77777777" w:rsidR="00183874" w:rsidRPr="00FE73DE" w:rsidRDefault="00183874" w:rsidP="00C87F79"/>
    <w:p w14:paraId="07DF7396" w14:textId="57E0D30B" w:rsidR="00C87F79" w:rsidRPr="00FE73DE" w:rsidRDefault="00C87F79" w:rsidP="00C87F79"/>
    <w:p w14:paraId="670D287B" w14:textId="5BF2168C" w:rsidR="00183874" w:rsidRPr="00FE73DE" w:rsidRDefault="00183874" w:rsidP="00C87F79"/>
    <w:p w14:paraId="7157DA6A" w14:textId="428A6EC9" w:rsidR="00183874" w:rsidRDefault="00183874" w:rsidP="00C87F79"/>
    <w:p w14:paraId="53C8F779" w14:textId="5FCAD0B8" w:rsidR="00E35828" w:rsidRDefault="00E35828" w:rsidP="00C87F79"/>
    <w:p w14:paraId="02B6150A" w14:textId="1E51CD38" w:rsidR="00E35828" w:rsidRDefault="00E35828" w:rsidP="00C87F79"/>
    <w:p w14:paraId="433A93BF" w14:textId="77777777" w:rsidR="00E35828" w:rsidRPr="00FE73DE" w:rsidRDefault="00E35828" w:rsidP="00C87F79"/>
    <w:p w14:paraId="26FAE624" w14:textId="6CF08153" w:rsidR="00C87F79" w:rsidRPr="00FE73DE" w:rsidRDefault="00C87F79" w:rsidP="00C87F79">
      <w:pPr>
        <w:pStyle w:val="Heading3"/>
        <w:numPr>
          <w:ilvl w:val="0"/>
          <w:numId w:val="0"/>
        </w:numPr>
        <w:ind w:left="567" w:hanging="567"/>
      </w:pPr>
      <w:r w:rsidRPr="00FE73DE">
        <w:t>Acknowledgements</w:t>
      </w:r>
      <w:bookmarkEnd w:id="0"/>
    </w:p>
    <w:p w14:paraId="746F99FE" w14:textId="47375A4E" w:rsidR="00C778D1" w:rsidRPr="00FE73DE" w:rsidRDefault="00C778D1" w:rsidP="00C87F79">
      <w:r w:rsidRPr="00FE73DE">
        <w:t>Sustineo acknowledges the traditional owners and custodians of country throughout Australia and acknowledges their continuing connection to land, waters</w:t>
      </w:r>
      <w:r w:rsidR="0068495F" w:rsidRPr="00FE73DE">
        <w:t>,</w:t>
      </w:r>
      <w:r w:rsidRPr="00FE73DE">
        <w:t xml:space="preserve"> and community. We pay our respects to the people, cultures</w:t>
      </w:r>
      <w:r w:rsidR="0068495F" w:rsidRPr="00FE73DE">
        <w:t>,</w:t>
      </w:r>
      <w:r w:rsidRPr="00FE73DE">
        <w:t xml:space="preserve"> and elders past, present</w:t>
      </w:r>
      <w:r w:rsidR="0068495F" w:rsidRPr="00FE73DE">
        <w:t>,</w:t>
      </w:r>
      <w:r w:rsidRPr="00FE73DE">
        <w:t xml:space="preserve"> and emerging. </w:t>
      </w:r>
    </w:p>
    <w:p w14:paraId="3827F778" w14:textId="636BB8EF" w:rsidR="00C87F79" w:rsidRPr="00FE73DE" w:rsidRDefault="00C87F79" w:rsidP="00C87F79">
      <w:r w:rsidRPr="00FE73DE">
        <w:t xml:space="preserve">This publication was funded by the </w:t>
      </w:r>
      <w:r w:rsidR="00C778D1" w:rsidRPr="00FE73DE">
        <w:t>National Indigenous Australians Agency (NIAA)</w:t>
      </w:r>
      <w:r w:rsidRPr="00FE73DE">
        <w:t xml:space="preserve">. The views expressed in this publication are the authors’ alone and are not necessarily the views of the </w:t>
      </w:r>
      <w:r w:rsidR="00C778D1" w:rsidRPr="00FE73DE">
        <w:t>NIAA</w:t>
      </w:r>
      <w:r w:rsidRPr="00FE73DE">
        <w:t>.</w:t>
      </w:r>
    </w:p>
    <w:p w14:paraId="704D7B4D" w14:textId="77777777" w:rsidR="00C87F79" w:rsidRPr="00FE73DE" w:rsidRDefault="00C87F79" w:rsidP="00C87F79">
      <w:pPr>
        <w:pStyle w:val="Heading3"/>
        <w:numPr>
          <w:ilvl w:val="0"/>
          <w:numId w:val="0"/>
        </w:numPr>
        <w:ind w:left="567" w:hanging="567"/>
      </w:pPr>
      <w:bookmarkStart w:id="1" w:name="_Toc89342617"/>
      <w:r w:rsidRPr="00FE73DE">
        <w:t>Reference</w:t>
      </w:r>
      <w:bookmarkEnd w:id="1"/>
    </w:p>
    <w:p w14:paraId="67802877" w14:textId="77777777" w:rsidR="00C87F79" w:rsidRPr="00FE73DE" w:rsidRDefault="00C87F79" w:rsidP="00C87F79">
      <w:r w:rsidRPr="00FE73DE">
        <w:t>This paper can be referenced as:</w:t>
      </w:r>
    </w:p>
    <w:p w14:paraId="65087C26" w14:textId="31904D09" w:rsidR="00C87F79" w:rsidRPr="00FE73DE" w:rsidRDefault="00C87F79" w:rsidP="00C87F79">
      <w:r w:rsidRPr="00FE73DE">
        <w:t>Sustineo (</w:t>
      </w:r>
      <w:r w:rsidR="00C778D1" w:rsidRPr="00FE73DE">
        <w:t>2022</w:t>
      </w:r>
      <w:r w:rsidRPr="00FE73DE">
        <w:t xml:space="preserve">) </w:t>
      </w:r>
      <w:r w:rsidRPr="00FE73DE">
        <w:rPr>
          <w:i/>
          <w:iCs/>
        </w:rPr>
        <w:t>Evaluation of the Business Solutions Program: Final Report</w:t>
      </w:r>
      <w:r w:rsidRPr="00FE73DE">
        <w:t xml:space="preserve">, report to </w:t>
      </w:r>
      <w:r w:rsidR="00C778D1" w:rsidRPr="00FE73DE">
        <w:t>the National Indigenous Australians Agency</w:t>
      </w:r>
      <w:r w:rsidR="0068495F" w:rsidRPr="00FE73DE">
        <w:t>.</w:t>
      </w:r>
    </w:p>
    <w:p w14:paraId="6125ECEF" w14:textId="77777777" w:rsidR="00C87F79" w:rsidRPr="00FE73DE" w:rsidRDefault="00C87F79">
      <w:pPr>
        <w:spacing w:after="200" w:line="276" w:lineRule="auto"/>
        <w:jc w:val="left"/>
        <w:rPr>
          <w:rFonts w:asciiTheme="majorHAnsi" w:hAnsiTheme="majorHAnsi"/>
          <w:b/>
          <w:color w:val="51852F" w:themeColor="accent2" w:themeShade="BF"/>
          <w:kern w:val="10"/>
          <w:sz w:val="32"/>
          <w:szCs w:val="32"/>
        </w:rPr>
      </w:pPr>
      <w:r w:rsidRPr="00FE73DE">
        <w:br w:type="page"/>
      </w:r>
    </w:p>
    <w:p w14:paraId="77A749FF" w14:textId="2AAA4500" w:rsidR="00423A65" w:rsidRPr="00FE73DE" w:rsidRDefault="00423A65" w:rsidP="00E02F61">
      <w:pPr>
        <w:pStyle w:val="Heading1"/>
        <w:numPr>
          <w:ilvl w:val="0"/>
          <w:numId w:val="0"/>
        </w:numPr>
        <w:ind w:left="720" w:hanging="720"/>
      </w:pPr>
      <w:bookmarkStart w:id="2" w:name="_Toc123734682"/>
      <w:r w:rsidRPr="00FE73DE">
        <w:t>Contents</w:t>
      </w:r>
      <w:bookmarkEnd w:id="2"/>
    </w:p>
    <w:p w14:paraId="039FD5C4" w14:textId="0B29AEC2" w:rsidR="004718C9" w:rsidRDefault="00A906DB">
      <w:pPr>
        <w:pStyle w:val="TOC1"/>
        <w:rPr>
          <w:rFonts w:eastAsiaTheme="minorEastAsia" w:cstheme="minorBidi"/>
          <w:noProof/>
          <w:kern w:val="0"/>
          <w:sz w:val="22"/>
          <w:lang w:eastAsia="en-AU"/>
        </w:rPr>
      </w:pPr>
      <w:r w:rsidRPr="00FE73DE">
        <w:fldChar w:fldCharType="begin"/>
      </w:r>
      <w:r w:rsidRPr="00FE73DE">
        <w:instrText xml:space="preserve"> TOC \o "1-2" \h \z \u </w:instrText>
      </w:r>
      <w:r w:rsidRPr="00FE73DE">
        <w:fldChar w:fldCharType="separate"/>
      </w:r>
      <w:hyperlink w:anchor="_Toc123734682" w:history="1">
        <w:r w:rsidR="004718C9" w:rsidRPr="009C3BC9">
          <w:rPr>
            <w:rStyle w:val="Hyperlink"/>
            <w:noProof/>
          </w:rPr>
          <w:t>Contents</w:t>
        </w:r>
        <w:r w:rsidR="004718C9">
          <w:rPr>
            <w:noProof/>
            <w:webHidden/>
          </w:rPr>
          <w:tab/>
        </w:r>
        <w:r w:rsidR="004718C9">
          <w:rPr>
            <w:noProof/>
            <w:webHidden/>
          </w:rPr>
          <w:fldChar w:fldCharType="begin"/>
        </w:r>
        <w:r w:rsidR="004718C9">
          <w:rPr>
            <w:noProof/>
            <w:webHidden/>
          </w:rPr>
          <w:instrText xml:space="preserve"> PAGEREF _Toc123734682 \h </w:instrText>
        </w:r>
        <w:r w:rsidR="004718C9">
          <w:rPr>
            <w:noProof/>
            <w:webHidden/>
          </w:rPr>
        </w:r>
        <w:r w:rsidR="004718C9">
          <w:rPr>
            <w:noProof/>
            <w:webHidden/>
          </w:rPr>
          <w:fldChar w:fldCharType="separate"/>
        </w:r>
        <w:r w:rsidR="004718C9">
          <w:rPr>
            <w:noProof/>
            <w:webHidden/>
          </w:rPr>
          <w:t>3</w:t>
        </w:r>
        <w:r w:rsidR="004718C9">
          <w:rPr>
            <w:noProof/>
            <w:webHidden/>
          </w:rPr>
          <w:fldChar w:fldCharType="end"/>
        </w:r>
      </w:hyperlink>
    </w:p>
    <w:p w14:paraId="25D87927" w14:textId="43F225F8" w:rsidR="004718C9" w:rsidRDefault="00000000">
      <w:pPr>
        <w:pStyle w:val="TOC1"/>
        <w:rPr>
          <w:rFonts w:eastAsiaTheme="minorEastAsia" w:cstheme="minorBidi"/>
          <w:noProof/>
          <w:kern w:val="0"/>
          <w:sz w:val="22"/>
          <w:lang w:eastAsia="en-AU"/>
        </w:rPr>
      </w:pPr>
      <w:hyperlink w:anchor="_Toc123734683" w:history="1">
        <w:r w:rsidR="004718C9" w:rsidRPr="009C3BC9">
          <w:rPr>
            <w:rStyle w:val="Hyperlink"/>
            <w:noProof/>
          </w:rPr>
          <w:t>Abbreviations and glossary of key terms</w:t>
        </w:r>
        <w:r w:rsidR="004718C9">
          <w:rPr>
            <w:noProof/>
            <w:webHidden/>
          </w:rPr>
          <w:tab/>
        </w:r>
        <w:r w:rsidR="004718C9">
          <w:rPr>
            <w:noProof/>
            <w:webHidden/>
          </w:rPr>
          <w:fldChar w:fldCharType="begin"/>
        </w:r>
        <w:r w:rsidR="004718C9">
          <w:rPr>
            <w:noProof/>
            <w:webHidden/>
          </w:rPr>
          <w:instrText xml:space="preserve"> PAGEREF _Toc123734683 \h </w:instrText>
        </w:r>
        <w:r w:rsidR="004718C9">
          <w:rPr>
            <w:noProof/>
            <w:webHidden/>
          </w:rPr>
        </w:r>
        <w:r w:rsidR="004718C9">
          <w:rPr>
            <w:noProof/>
            <w:webHidden/>
          </w:rPr>
          <w:fldChar w:fldCharType="separate"/>
        </w:r>
        <w:r w:rsidR="004718C9">
          <w:rPr>
            <w:noProof/>
            <w:webHidden/>
          </w:rPr>
          <w:t>5</w:t>
        </w:r>
        <w:r w:rsidR="004718C9">
          <w:rPr>
            <w:noProof/>
            <w:webHidden/>
          </w:rPr>
          <w:fldChar w:fldCharType="end"/>
        </w:r>
      </w:hyperlink>
    </w:p>
    <w:p w14:paraId="7CAC8270" w14:textId="2415314A" w:rsidR="004718C9" w:rsidRDefault="00000000">
      <w:pPr>
        <w:pStyle w:val="TOC1"/>
        <w:rPr>
          <w:rFonts w:eastAsiaTheme="minorEastAsia" w:cstheme="minorBidi"/>
          <w:noProof/>
          <w:kern w:val="0"/>
          <w:sz w:val="22"/>
          <w:lang w:eastAsia="en-AU"/>
        </w:rPr>
      </w:pPr>
      <w:hyperlink w:anchor="_Toc123734684" w:history="1">
        <w:r w:rsidR="004718C9" w:rsidRPr="009C3BC9">
          <w:rPr>
            <w:rStyle w:val="Hyperlink"/>
            <w:noProof/>
          </w:rPr>
          <w:t>Executive Summary</w:t>
        </w:r>
        <w:r w:rsidR="004718C9">
          <w:rPr>
            <w:noProof/>
            <w:webHidden/>
          </w:rPr>
          <w:tab/>
        </w:r>
        <w:r w:rsidR="004718C9">
          <w:rPr>
            <w:noProof/>
            <w:webHidden/>
          </w:rPr>
          <w:fldChar w:fldCharType="begin"/>
        </w:r>
        <w:r w:rsidR="004718C9">
          <w:rPr>
            <w:noProof/>
            <w:webHidden/>
          </w:rPr>
          <w:instrText xml:space="preserve"> PAGEREF _Toc123734684 \h </w:instrText>
        </w:r>
        <w:r w:rsidR="004718C9">
          <w:rPr>
            <w:noProof/>
            <w:webHidden/>
          </w:rPr>
        </w:r>
        <w:r w:rsidR="004718C9">
          <w:rPr>
            <w:noProof/>
            <w:webHidden/>
          </w:rPr>
          <w:fldChar w:fldCharType="separate"/>
        </w:r>
        <w:r w:rsidR="004718C9">
          <w:rPr>
            <w:noProof/>
            <w:webHidden/>
          </w:rPr>
          <w:t>7</w:t>
        </w:r>
        <w:r w:rsidR="004718C9">
          <w:rPr>
            <w:noProof/>
            <w:webHidden/>
          </w:rPr>
          <w:fldChar w:fldCharType="end"/>
        </w:r>
      </w:hyperlink>
    </w:p>
    <w:p w14:paraId="01150883" w14:textId="05AD9D87" w:rsidR="004718C9" w:rsidRDefault="00000000">
      <w:pPr>
        <w:pStyle w:val="TOC2"/>
        <w:rPr>
          <w:rFonts w:eastAsiaTheme="minorEastAsia" w:cstheme="minorBidi"/>
          <w:noProof/>
          <w:kern w:val="0"/>
          <w:sz w:val="22"/>
          <w:lang w:eastAsia="en-AU"/>
        </w:rPr>
      </w:pPr>
      <w:hyperlink w:anchor="_Toc123734685" w:history="1">
        <w:r w:rsidR="004718C9" w:rsidRPr="009C3BC9">
          <w:rPr>
            <w:rStyle w:val="Hyperlink"/>
            <w:noProof/>
          </w:rPr>
          <w:t>Introduction</w:t>
        </w:r>
        <w:r w:rsidR="004718C9">
          <w:rPr>
            <w:noProof/>
            <w:webHidden/>
          </w:rPr>
          <w:tab/>
        </w:r>
        <w:r w:rsidR="004718C9">
          <w:rPr>
            <w:noProof/>
            <w:webHidden/>
          </w:rPr>
          <w:fldChar w:fldCharType="begin"/>
        </w:r>
        <w:r w:rsidR="004718C9">
          <w:rPr>
            <w:noProof/>
            <w:webHidden/>
          </w:rPr>
          <w:instrText xml:space="preserve"> PAGEREF _Toc123734685 \h </w:instrText>
        </w:r>
        <w:r w:rsidR="004718C9">
          <w:rPr>
            <w:noProof/>
            <w:webHidden/>
          </w:rPr>
        </w:r>
        <w:r w:rsidR="004718C9">
          <w:rPr>
            <w:noProof/>
            <w:webHidden/>
          </w:rPr>
          <w:fldChar w:fldCharType="separate"/>
        </w:r>
        <w:r w:rsidR="004718C9">
          <w:rPr>
            <w:noProof/>
            <w:webHidden/>
          </w:rPr>
          <w:t>7</w:t>
        </w:r>
        <w:r w:rsidR="004718C9">
          <w:rPr>
            <w:noProof/>
            <w:webHidden/>
          </w:rPr>
          <w:fldChar w:fldCharType="end"/>
        </w:r>
      </w:hyperlink>
    </w:p>
    <w:p w14:paraId="1EF44CF4" w14:textId="1C3796ED" w:rsidR="004718C9" w:rsidRDefault="00000000">
      <w:pPr>
        <w:pStyle w:val="TOC2"/>
        <w:rPr>
          <w:rFonts w:eastAsiaTheme="minorEastAsia" w:cstheme="minorBidi"/>
          <w:noProof/>
          <w:kern w:val="0"/>
          <w:sz w:val="22"/>
          <w:lang w:eastAsia="en-AU"/>
        </w:rPr>
      </w:pPr>
      <w:hyperlink w:anchor="_Toc123734686" w:history="1">
        <w:r w:rsidR="004718C9" w:rsidRPr="009C3BC9">
          <w:rPr>
            <w:rStyle w:val="Hyperlink"/>
            <w:noProof/>
          </w:rPr>
          <w:t>Methodology</w:t>
        </w:r>
        <w:r w:rsidR="004718C9">
          <w:rPr>
            <w:noProof/>
            <w:webHidden/>
          </w:rPr>
          <w:tab/>
        </w:r>
        <w:r w:rsidR="004718C9">
          <w:rPr>
            <w:noProof/>
            <w:webHidden/>
          </w:rPr>
          <w:fldChar w:fldCharType="begin"/>
        </w:r>
        <w:r w:rsidR="004718C9">
          <w:rPr>
            <w:noProof/>
            <w:webHidden/>
          </w:rPr>
          <w:instrText xml:space="preserve"> PAGEREF _Toc123734686 \h </w:instrText>
        </w:r>
        <w:r w:rsidR="004718C9">
          <w:rPr>
            <w:noProof/>
            <w:webHidden/>
          </w:rPr>
        </w:r>
        <w:r w:rsidR="004718C9">
          <w:rPr>
            <w:noProof/>
            <w:webHidden/>
          </w:rPr>
          <w:fldChar w:fldCharType="separate"/>
        </w:r>
        <w:r w:rsidR="004718C9">
          <w:rPr>
            <w:noProof/>
            <w:webHidden/>
          </w:rPr>
          <w:t>7</w:t>
        </w:r>
        <w:r w:rsidR="004718C9">
          <w:rPr>
            <w:noProof/>
            <w:webHidden/>
          </w:rPr>
          <w:fldChar w:fldCharType="end"/>
        </w:r>
      </w:hyperlink>
    </w:p>
    <w:p w14:paraId="1D38EB6F" w14:textId="40530D24" w:rsidR="004718C9" w:rsidRDefault="00000000">
      <w:pPr>
        <w:pStyle w:val="TOC2"/>
        <w:rPr>
          <w:rFonts w:eastAsiaTheme="minorEastAsia" w:cstheme="minorBidi"/>
          <w:noProof/>
          <w:kern w:val="0"/>
          <w:sz w:val="22"/>
          <w:lang w:eastAsia="en-AU"/>
        </w:rPr>
      </w:pPr>
      <w:hyperlink w:anchor="_Toc123734687" w:history="1">
        <w:r w:rsidR="004718C9" w:rsidRPr="009C3BC9">
          <w:rPr>
            <w:rStyle w:val="Hyperlink"/>
            <w:noProof/>
          </w:rPr>
          <w:t>Key findings</w:t>
        </w:r>
        <w:r w:rsidR="004718C9">
          <w:rPr>
            <w:noProof/>
            <w:webHidden/>
          </w:rPr>
          <w:tab/>
        </w:r>
        <w:r w:rsidR="004718C9">
          <w:rPr>
            <w:noProof/>
            <w:webHidden/>
          </w:rPr>
          <w:fldChar w:fldCharType="begin"/>
        </w:r>
        <w:r w:rsidR="004718C9">
          <w:rPr>
            <w:noProof/>
            <w:webHidden/>
          </w:rPr>
          <w:instrText xml:space="preserve"> PAGEREF _Toc123734687 \h </w:instrText>
        </w:r>
        <w:r w:rsidR="004718C9">
          <w:rPr>
            <w:noProof/>
            <w:webHidden/>
          </w:rPr>
        </w:r>
        <w:r w:rsidR="004718C9">
          <w:rPr>
            <w:noProof/>
            <w:webHidden/>
          </w:rPr>
          <w:fldChar w:fldCharType="separate"/>
        </w:r>
        <w:r w:rsidR="004718C9">
          <w:rPr>
            <w:noProof/>
            <w:webHidden/>
          </w:rPr>
          <w:t>8</w:t>
        </w:r>
        <w:r w:rsidR="004718C9">
          <w:rPr>
            <w:noProof/>
            <w:webHidden/>
          </w:rPr>
          <w:fldChar w:fldCharType="end"/>
        </w:r>
      </w:hyperlink>
    </w:p>
    <w:p w14:paraId="2BACC88C" w14:textId="2C3CF3C0" w:rsidR="004718C9" w:rsidRDefault="00000000">
      <w:pPr>
        <w:pStyle w:val="TOC2"/>
        <w:rPr>
          <w:rFonts w:eastAsiaTheme="minorEastAsia" w:cstheme="minorBidi"/>
          <w:noProof/>
          <w:kern w:val="0"/>
          <w:sz w:val="22"/>
          <w:lang w:eastAsia="en-AU"/>
        </w:rPr>
      </w:pPr>
      <w:hyperlink w:anchor="_Toc123734688" w:history="1">
        <w:r w:rsidR="004718C9" w:rsidRPr="009C3BC9">
          <w:rPr>
            <w:rStyle w:val="Hyperlink"/>
            <w:noProof/>
          </w:rPr>
          <w:t>Recommendations</w:t>
        </w:r>
        <w:r w:rsidR="004718C9">
          <w:rPr>
            <w:noProof/>
            <w:webHidden/>
          </w:rPr>
          <w:tab/>
        </w:r>
        <w:r w:rsidR="004718C9">
          <w:rPr>
            <w:noProof/>
            <w:webHidden/>
          </w:rPr>
          <w:fldChar w:fldCharType="begin"/>
        </w:r>
        <w:r w:rsidR="004718C9">
          <w:rPr>
            <w:noProof/>
            <w:webHidden/>
          </w:rPr>
          <w:instrText xml:space="preserve"> PAGEREF _Toc123734688 \h </w:instrText>
        </w:r>
        <w:r w:rsidR="004718C9">
          <w:rPr>
            <w:noProof/>
            <w:webHidden/>
          </w:rPr>
        </w:r>
        <w:r w:rsidR="004718C9">
          <w:rPr>
            <w:noProof/>
            <w:webHidden/>
          </w:rPr>
          <w:fldChar w:fldCharType="separate"/>
        </w:r>
        <w:r w:rsidR="004718C9">
          <w:rPr>
            <w:noProof/>
            <w:webHidden/>
          </w:rPr>
          <w:t>11</w:t>
        </w:r>
        <w:r w:rsidR="004718C9">
          <w:rPr>
            <w:noProof/>
            <w:webHidden/>
          </w:rPr>
          <w:fldChar w:fldCharType="end"/>
        </w:r>
      </w:hyperlink>
    </w:p>
    <w:p w14:paraId="1E965C12" w14:textId="2BF924BD" w:rsidR="004718C9" w:rsidRDefault="00000000">
      <w:pPr>
        <w:pStyle w:val="TOC1"/>
        <w:tabs>
          <w:tab w:val="left" w:pos="440"/>
        </w:tabs>
        <w:rPr>
          <w:rFonts w:eastAsiaTheme="minorEastAsia" w:cstheme="minorBidi"/>
          <w:noProof/>
          <w:kern w:val="0"/>
          <w:sz w:val="22"/>
          <w:lang w:eastAsia="en-AU"/>
        </w:rPr>
      </w:pPr>
      <w:hyperlink w:anchor="_Toc123734689" w:history="1">
        <w:r w:rsidR="004718C9" w:rsidRPr="009C3BC9">
          <w:rPr>
            <w:rStyle w:val="Hyperlink"/>
            <w:noProof/>
          </w:rPr>
          <w:t>1.</w:t>
        </w:r>
        <w:r w:rsidR="004718C9">
          <w:rPr>
            <w:rFonts w:eastAsiaTheme="minorEastAsia" w:cstheme="minorBidi"/>
            <w:noProof/>
            <w:kern w:val="0"/>
            <w:sz w:val="22"/>
            <w:lang w:eastAsia="en-AU"/>
          </w:rPr>
          <w:tab/>
        </w:r>
        <w:r w:rsidR="004718C9" w:rsidRPr="009C3BC9">
          <w:rPr>
            <w:rStyle w:val="Hyperlink"/>
            <w:noProof/>
          </w:rPr>
          <w:t>Introduction</w:t>
        </w:r>
        <w:r w:rsidR="004718C9">
          <w:rPr>
            <w:noProof/>
            <w:webHidden/>
          </w:rPr>
          <w:tab/>
        </w:r>
        <w:r w:rsidR="004718C9">
          <w:rPr>
            <w:noProof/>
            <w:webHidden/>
          </w:rPr>
          <w:fldChar w:fldCharType="begin"/>
        </w:r>
        <w:r w:rsidR="004718C9">
          <w:rPr>
            <w:noProof/>
            <w:webHidden/>
          </w:rPr>
          <w:instrText xml:space="preserve"> PAGEREF _Toc123734689 \h </w:instrText>
        </w:r>
        <w:r w:rsidR="004718C9">
          <w:rPr>
            <w:noProof/>
            <w:webHidden/>
          </w:rPr>
        </w:r>
        <w:r w:rsidR="004718C9">
          <w:rPr>
            <w:noProof/>
            <w:webHidden/>
          </w:rPr>
          <w:fldChar w:fldCharType="separate"/>
        </w:r>
        <w:r w:rsidR="004718C9">
          <w:rPr>
            <w:noProof/>
            <w:webHidden/>
          </w:rPr>
          <w:t>13</w:t>
        </w:r>
        <w:r w:rsidR="004718C9">
          <w:rPr>
            <w:noProof/>
            <w:webHidden/>
          </w:rPr>
          <w:fldChar w:fldCharType="end"/>
        </w:r>
      </w:hyperlink>
    </w:p>
    <w:p w14:paraId="0956D906" w14:textId="682FFBC6" w:rsidR="004718C9" w:rsidRDefault="00000000">
      <w:pPr>
        <w:pStyle w:val="TOC2"/>
        <w:rPr>
          <w:rFonts w:eastAsiaTheme="minorEastAsia" w:cstheme="minorBidi"/>
          <w:noProof/>
          <w:kern w:val="0"/>
          <w:sz w:val="22"/>
          <w:lang w:eastAsia="en-AU"/>
        </w:rPr>
      </w:pPr>
      <w:hyperlink w:anchor="_Toc123734690" w:history="1">
        <w:r w:rsidR="004718C9" w:rsidRPr="009C3BC9">
          <w:rPr>
            <w:rStyle w:val="Hyperlink"/>
            <w:noProof/>
          </w:rPr>
          <w:t>1.1.</w:t>
        </w:r>
        <w:r w:rsidR="004718C9">
          <w:rPr>
            <w:rFonts w:eastAsiaTheme="minorEastAsia" w:cstheme="minorBidi"/>
            <w:noProof/>
            <w:kern w:val="0"/>
            <w:sz w:val="22"/>
            <w:lang w:eastAsia="en-AU"/>
          </w:rPr>
          <w:tab/>
        </w:r>
        <w:r w:rsidR="004718C9" w:rsidRPr="009C3BC9">
          <w:rPr>
            <w:rStyle w:val="Hyperlink"/>
            <w:noProof/>
          </w:rPr>
          <w:t>Background and context of the BSP</w:t>
        </w:r>
        <w:r w:rsidR="004718C9">
          <w:rPr>
            <w:noProof/>
            <w:webHidden/>
          </w:rPr>
          <w:tab/>
        </w:r>
        <w:r w:rsidR="004718C9">
          <w:rPr>
            <w:noProof/>
            <w:webHidden/>
          </w:rPr>
          <w:fldChar w:fldCharType="begin"/>
        </w:r>
        <w:r w:rsidR="004718C9">
          <w:rPr>
            <w:noProof/>
            <w:webHidden/>
          </w:rPr>
          <w:instrText xml:space="preserve"> PAGEREF _Toc123734690 \h </w:instrText>
        </w:r>
        <w:r w:rsidR="004718C9">
          <w:rPr>
            <w:noProof/>
            <w:webHidden/>
          </w:rPr>
        </w:r>
        <w:r w:rsidR="004718C9">
          <w:rPr>
            <w:noProof/>
            <w:webHidden/>
          </w:rPr>
          <w:fldChar w:fldCharType="separate"/>
        </w:r>
        <w:r w:rsidR="004718C9">
          <w:rPr>
            <w:noProof/>
            <w:webHidden/>
          </w:rPr>
          <w:t>13</w:t>
        </w:r>
        <w:r w:rsidR="004718C9">
          <w:rPr>
            <w:noProof/>
            <w:webHidden/>
          </w:rPr>
          <w:fldChar w:fldCharType="end"/>
        </w:r>
      </w:hyperlink>
    </w:p>
    <w:p w14:paraId="63D07908" w14:textId="4A4424FE" w:rsidR="004718C9" w:rsidRDefault="00000000">
      <w:pPr>
        <w:pStyle w:val="TOC2"/>
        <w:rPr>
          <w:rFonts w:eastAsiaTheme="minorEastAsia" w:cstheme="minorBidi"/>
          <w:noProof/>
          <w:kern w:val="0"/>
          <w:sz w:val="22"/>
          <w:lang w:eastAsia="en-AU"/>
        </w:rPr>
      </w:pPr>
      <w:hyperlink w:anchor="_Toc123734691" w:history="1">
        <w:r w:rsidR="004718C9" w:rsidRPr="009C3BC9">
          <w:rPr>
            <w:rStyle w:val="Hyperlink"/>
            <w:noProof/>
          </w:rPr>
          <w:t>1.2.</w:t>
        </w:r>
        <w:r w:rsidR="004718C9">
          <w:rPr>
            <w:rFonts w:eastAsiaTheme="minorEastAsia" w:cstheme="minorBidi"/>
            <w:noProof/>
            <w:kern w:val="0"/>
            <w:sz w:val="22"/>
            <w:lang w:eastAsia="en-AU"/>
          </w:rPr>
          <w:tab/>
        </w:r>
        <w:r w:rsidR="004718C9" w:rsidRPr="009C3BC9">
          <w:rPr>
            <w:rStyle w:val="Hyperlink"/>
            <w:noProof/>
          </w:rPr>
          <w:t>Business Solutions Program</w:t>
        </w:r>
        <w:r w:rsidR="004718C9">
          <w:rPr>
            <w:noProof/>
            <w:webHidden/>
          </w:rPr>
          <w:tab/>
        </w:r>
        <w:r w:rsidR="004718C9">
          <w:rPr>
            <w:noProof/>
            <w:webHidden/>
          </w:rPr>
          <w:fldChar w:fldCharType="begin"/>
        </w:r>
        <w:r w:rsidR="004718C9">
          <w:rPr>
            <w:noProof/>
            <w:webHidden/>
          </w:rPr>
          <w:instrText xml:space="preserve"> PAGEREF _Toc123734691 \h </w:instrText>
        </w:r>
        <w:r w:rsidR="004718C9">
          <w:rPr>
            <w:noProof/>
            <w:webHidden/>
          </w:rPr>
        </w:r>
        <w:r w:rsidR="004718C9">
          <w:rPr>
            <w:noProof/>
            <w:webHidden/>
          </w:rPr>
          <w:fldChar w:fldCharType="separate"/>
        </w:r>
        <w:r w:rsidR="004718C9">
          <w:rPr>
            <w:noProof/>
            <w:webHidden/>
          </w:rPr>
          <w:t>14</w:t>
        </w:r>
        <w:r w:rsidR="004718C9">
          <w:rPr>
            <w:noProof/>
            <w:webHidden/>
          </w:rPr>
          <w:fldChar w:fldCharType="end"/>
        </w:r>
      </w:hyperlink>
    </w:p>
    <w:p w14:paraId="4FC012CA" w14:textId="08518E54" w:rsidR="004718C9" w:rsidRDefault="00000000">
      <w:pPr>
        <w:pStyle w:val="TOC2"/>
        <w:rPr>
          <w:rFonts w:eastAsiaTheme="minorEastAsia" w:cstheme="minorBidi"/>
          <w:noProof/>
          <w:kern w:val="0"/>
          <w:sz w:val="22"/>
          <w:lang w:eastAsia="en-AU"/>
        </w:rPr>
      </w:pPr>
      <w:hyperlink w:anchor="_Toc123734692" w:history="1">
        <w:r w:rsidR="004718C9" w:rsidRPr="009C3BC9">
          <w:rPr>
            <w:rStyle w:val="Hyperlink"/>
            <w:noProof/>
          </w:rPr>
          <w:t>1.3.</w:t>
        </w:r>
        <w:r w:rsidR="004718C9">
          <w:rPr>
            <w:rFonts w:eastAsiaTheme="minorEastAsia" w:cstheme="minorBidi"/>
            <w:noProof/>
            <w:kern w:val="0"/>
            <w:sz w:val="22"/>
            <w:lang w:eastAsia="en-AU"/>
          </w:rPr>
          <w:tab/>
        </w:r>
        <w:r w:rsidR="004718C9" w:rsidRPr="009C3BC9">
          <w:rPr>
            <w:rStyle w:val="Hyperlink"/>
            <w:noProof/>
          </w:rPr>
          <w:t>Evaluation report structure</w:t>
        </w:r>
        <w:r w:rsidR="004718C9">
          <w:rPr>
            <w:noProof/>
            <w:webHidden/>
          </w:rPr>
          <w:tab/>
        </w:r>
        <w:r w:rsidR="004718C9">
          <w:rPr>
            <w:noProof/>
            <w:webHidden/>
          </w:rPr>
          <w:fldChar w:fldCharType="begin"/>
        </w:r>
        <w:r w:rsidR="004718C9">
          <w:rPr>
            <w:noProof/>
            <w:webHidden/>
          </w:rPr>
          <w:instrText xml:space="preserve"> PAGEREF _Toc123734692 \h </w:instrText>
        </w:r>
        <w:r w:rsidR="004718C9">
          <w:rPr>
            <w:noProof/>
            <w:webHidden/>
          </w:rPr>
        </w:r>
        <w:r w:rsidR="004718C9">
          <w:rPr>
            <w:noProof/>
            <w:webHidden/>
          </w:rPr>
          <w:fldChar w:fldCharType="separate"/>
        </w:r>
        <w:r w:rsidR="004718C9">
          <w:rPr>
            <w:noProof/>
            <w:webHidden/>
          </w:rPr>
          <w:t>15</w:t>
        </w:r>
        <w:r w:rsidR="004718C9">
          <w:rPr>
            <w:noProof/>
            <w:webHidden/>
          </w:rPr>
          <w:fldChar w:fldCharType="end"/>
        </w:r>
      </w:hyperlink>
    </w:p>
    <w:p w14:paraId="169DC0AD" w14:textId="6330EF4A" w:rsidR="004718C9" w:rsidRDefault="00000000">
      <w:pPr>
        <w:pStyle w:val="TOC1"/>
        <w:tabs>
          <w:tab w:val="left" w:pos="440"/>
        </w:tabs>
        <w:rPr>
          <w:rFonts w:eastAsiaTheme="minorEastAsia" w:cstheme="minorBidi"/>
          <w:noProof/>
          <w:kern w:val="0"/>
          <w:sz w:val="22"/>
          <w:lang w:eastAsia="en-AU"/>
        </w:rPr>
      </w:pPr>
      <w:hyperlink w:anchor="_Toc123734693" w:history="1">
        <w:r w:rsidR="004718C9" w:rsidRPr="009C3BC9">
          <w:rPr>
            <w:rStyle w:val="Hyperlink"/>
            <w:noProof/>
          </w:rPr>
          <w:t>2.</w:t>
        </w:r>
        <w:r w:rsidR="004718C9">
          <w:rPr>
            <w:rFonts w:eastAsiaTheme="minorEastAsia" w:cstheme="minorBidi"/>
            <w:noProof/>
            <w:kern w:val="0"/>
            <w:sz w:val="22"/>
            <w:lang w:eastAsia="en-AU"/>
          </w:rPr>
          <w:tab/>
        </w:r>
        <w:r w:rsidR="004718C9" w:rsidRPr="009C3BC9">
          <w:rPr>
            <w:rStyle w:val="Hyperlink"/>
            <w:noProof/>
          </w:rPr>
          <w:t>Evaluation methodology</w:t>
        </w:r>
        <w:r w:rsidR="004718C9">
          <w:rPr>
            <w:noProof/>
            <w:webHidden/>
          </w:rPr>
          <w:tab/>
        </w:r>
        <w:r w:rsidR="004718C9">
          <w:rPr>
            <w:noProof/>
            <w:webHidden/>
          </w:rPr>
          <w:fldChar w:fldCharType="begin"/>
        </w:r>
        <w:r w:rsidR="004718C9">
          <w:rPr>
            <w:noProof/>
            <w:webHidden/>
          </w:rPr>
          <w:instrText xml:space="preserve"> PAGEREF _Toc123734693 \h </w:instrText>
        </w:r>
        <w:r w:rsidR="004718C9">
          <w:rPr>
            <w:noProof/>
            <w:webHidden/>
          </w:rPr>
        </w:r>
        <w:r w:rsidR="004718C9">
          <w:rPr>
            <w:noProof/>
            <w:webHidden/>
          </w:rPr>
          <w:fldChar w:fldCharType="separate"/>
        </w:r>
        <w:r w:rsidR="004718C9">
          <w:rPr>
            <w:noProof/>
            <w:webHidden/>
          </w:rPr>
          <w:t>16</w:t>
        </w:r>
        <w:r w:rsidR="004718C9">
          <w:rPr>
            <w:noProof/>
            <w:webHidden/>
          </w:rPr>
          <w:fldChar w:fldCharType="end"/>
        </w:r>
      </w:hyperlink>
    </w:p>
    <w:p w14:paraId="3CF578E6" w14:textId="56B1FB57" w:rsidR="004718C9" w:rsidRDefault="00000000">
      <w:pPr>
        <w:pStyle w:val="TOC2"/>
        <w:rPr>
          <w:rFonts w:eastAsiaTheme="minorEastAsia" w:cstheme="minorBidi"/>
          <w:noProof/>
          <w:kern w:val="0"/>
          <w:sz w:val="22"/>
          <w:lang w:eastAsia="en-AU"/>
        </w:rPr>
      </w:pPr>
      <w:hyperlink w:anchor="_Toc123734694" w:history="1">
        <w:r w:rsidR="004718C9" w:rsidRPr="009C3BC9">
          <w:rPr>
            <w:rStyle w:val="Hyperlink"/>
            <w:noProof/>
          </w:rPr>
          <w:t>2.1.</w:t>
        </w:r>
        <w:r w:rsidR="004718C9">
          <w:rPr>
            <w:rFonts w:eastAsiaTheme="minorEastAsia" w:cstheme="minorBidi"/>
            <w:noProof/>
            <w:kern w:val="0"/>
            <w:sz w:val="22"/>
            <w:lang w:eastAsia="en-AU"/>
          </w:rPr>
          <w:tab/>
        </w:r>
        <w:r w:rsidR="004718C9" w:rsidRPr="009C3BC9">
          <w:rPr>
            <w:rStyle w:val="Hyperlink"/>
            <w:noProof/>
          </w:rPr>
          <w:t>Evaluation purpose, objective, and framework</w:t>
        </w:r>
        <w:r w:rsidR="004718C9">
          <w:rPr>
            <w:noProof/>
            <w:webHidden/>
          </w:rPr>
          <w:tab/>
        </w:r>
        <w:r w:rsidR="004718C9">
          <w:rPr>
            <w:noProof/>
            <w:webHidden/>
          </w:rPr>
          <w:fldChar w:fldCharType="begin"/>
        </w:r>
        <w:r w:rsidR="004718C9">
          <w:rPr>
            <w:noProof/>
            <w:webHidden/>
          </w:rPr>
          <w:instrText xml:space="preserve"> PAGEREF _Toc123734694 \h </w:instrText>
        </w:r>
        <w:r w:rsidR="004718C9">
          <w:rPr>
            <w:noProof/>
            <w:webHidden/>
          </w:rPr>
        </w:r>
        <w:r w:rsidR="004718C9">
          <w:rPr>
            <w:noProof/>
            <w:webHidden/>
          </w:rPr>
          <w:fldChar w:fldCharType="separate"/>
        </w:r>
        <w:r w:rsidR="004718C9">
          <w:rPr>
            <w:noProof/>
            <w:webHidden/>
          </w:rPr>
          <w:t>16</w:t>
        </w:r>
        <w:r w:rsidR="004718C9">
          <w:rPr>
            <w:noProof/>
            <w:webHidden/>
          </w:rPr>
          <w:fldChar w:fldCharType="end"/>
        </w:r>
      </w:hyperlink>
    </w:p>
    <w:p w14:paraId="302BF768" w14:textId="0821F2A4" w:rsidR="004718C9" w:rsidRDefault="00000000">
      <w:pPr>
        <w:pStyle w:val="TOC2"/>
        <w:rPr>
          <w:rFonts w:eastAsiaTheme="minorEastAsia" w:cstheme="minorBidi"/>
          <w:noProof/>
          <w:kern w:val="0"/>
          <w:sz w:val="22"/>
          <w:lang w:eastAsia="en-AU"/>
        </w:rPr>
      </w:pPr>
      <w:hyperlink w:anchor="_Toc123734695" w:history="1">
        <w:r w:rsidR="004718C9" w:rsidRPr="009C3BC9">
          <w:rPr>
            <w:rStyle w:val="Hyperlink"/>
            <w:noProof/>
          </w:rPr>
          <w:t>2.2.</w:t>
        </w:r>
        <w:r w:rsidR="004718C9">
          <w:rPr>
            <w:rFonts w:eastAsiaTheme="minorEastAsia" w:cstheme="minorBidi"/>
            <w:noProof/>
            <w:kern w:val="0"/>
            <w:sz w:val="22"/>
            <w:lang w:eastAsia="en-AU"/>
          </w:rPr>
          <w:tab/>
        </w:r>
        <w:r w:rsidR="004718C9" w:rsidRPr="009C3BC9">
          <w:rPr>
            <w:rStyle w:val="Hyperlink"/>
            <w:noProof/>
          </w:rPr>
          <w:t>Evaluation scope</w:t>
        </w:r>
        <w:r w:rsidR="004718C9">
          <w:rPr>
            <w:noProof/>
            <w:webHidden/>
          </w:rPr>
          <w:tab/>
        </w:r>
        <w:r w:rsidR="004718C9">
          <w:rPr>
            <w:noProof/>
            <w:webHidden/>
          </w:rPr>
          <w:fldChar w:fldCharType="begin"/>
        </w:r>
        <w:r w:rsidR="004718C9">
          <w:rPr>
            <w:noProof/>
            <w:webHidden/>
          </w:rPr>
          <w:instrText xml:space="preserve"> PAGEREF _Toc123734695 \h </w:instrText>
        </w:r>
        <w:r w:rsidR="004718C9">
          <w:rPr>
            <w:noProof/>
            <w:webHidden/>
          </w:rPr>
        </w:r>
        <w:r w:rsidR="004718C9">
          <w:rPr>
            <w:noProof/>
            <w:webHidden/>
          </w:rPr>
          <w:fldChar w:fldCharType="separate"/>
        </w:r>
        <w:r w:rsidR="004718C9">
          <w:rPr>
            <w:noProof/>
            <w:webHidden/>
          </w:rPr>
          <w:t>19</w:t>
        </w:r>
        <w:r w:rsidR="004718C9">
          <w:rPr>
            <w:noProof/>
            <w:webHidden/>
          </w:rPr>
          <w:fldChar w:fldCharType="end"/>
        </w:r>
      </w:hyperlink>
    </w:p>
    <w:p w14:paraId="21BF212E" w14:textId="020CE566" w:rsidR="004718C9" w:rsidRDefault="00000000">
      <w:pPr>
        <w:pStyle w:val="TOC2"/>
        <w:rPr>
          <w:rFonts w:eastAsiaTheme="minorEastAsia" w:cstheme="minorBidi"/>
          <w:noProof/>
          <w:kern w:val="0"/>
          <w:sz w:val="22"/>
          <w:lang w:eastAsia="en-AU"/>
        </w:rPr>
      </w:pPr>
      <w:hyperlink w:anchor="_Toc123734696" w:history="1">
        <w:r w:rsidR="004718C9" w:rsidRPr="009C3BC9">
          <w:rPr>
            <w:rStyle w:val="Hyperlink"/>
            <w:noProof/>
          </w:rPr>
          <w:t>2.3.</w:t>
        </w:r>
        <w:r w:rsidR="004718C9">
          <w:rPr>
            <w:rFonts w:eastAsiaTheme="minorEastAsia" w:cstheme="minorBidi"/>
            <w:noProof/>
            <w:kern w:val="0"/>
            <w:sz w:val="22"/>
            <w:lang w:eastAsia="en-AU"/>
          </w:rPr>
          <w:tab/>
        </w:r>
        <w:r w:rsidR="004718C9" w:rsidRPr="009C3BC9">
          <w:rPr>
            <w:rStyle w:val="Hyperlink"/>
            <w:noProof/>
          </w:rPr>
          <w:t>Methodology</w:t>
        </w:r>
        <w:r w:rsidR="004718C9">
          <w:rPr>
            <w:noProof/>
            <w:webHidden/>
          </w:rPr>
          <w:tab/>
        </w:r>
        <w:r w:rsidR="004718C9">
          <w:rPr>
            <w:noProof/>
            <w:webHidden/>
          </w:rPr>
          <w:fldChar w:fldCharType="begin"/>
        </w:r>
        <w:r w:rsidR="004718C9">
          <w:rPr>
            <w:noProof/>
            <w:webHidden/>
          </w:rPr>
          <w:instrText xml:space="preserve"> PAGEREF _Toc123734696 \h </w:instrText>
        </w:r>
        <w:r w:rsidR="004718C9">
          <w:rPr>
            <w:noProof/>
            <w:webHidden/>
          </w:rPr>
        </w:r>
        <w:r w:rsidR="004718C9">
          <w:rPr>
            <w:noProof/>
            <w:webHidden/>
          </w:rPr>
          <w:fldChar w:fldCharType="separate"/>
        </w:r>
        <w:r w:rsidR="004718C9">
          <w:rPr>
            <w:noProof/>
            <w:webHidden/>
          </w:rPr>
          <w:t>19</w:t>
        </w:r>
        <w:r w:rsidR="004718C9">
          <w:rPr>
            <w:noProof/>
            <w:webHidden/>
          </w:rPr>
          <w:fldChar w:fldCharType="end"/>
        </w:r>
      </w:hyperlink>
    </w:p>
    <w:p w14:paraId="3C68B7BB" w14:textId="165D9DAC" w:rsidR="004718C9" w:rsidRDefault="00000000">
      <w:pPr>
        <w:pStyle w:val="TOC2"/>
        <w:rPr>
          <w:rFonts w:eastAsiaTheme="minorEastAsia" w:cstheme="minorBidi"/>
          <w:noProof/>
          <w:kern w:val="0"/>
          <w:sz w:val="22"/>
          <w:lang w:eastAsia="en-AU"/>
        </w:rPr>
      </w:pPr>
      <w:hyperlink w:anchor="_Toc123734697" w:history="1">
        <w:r w:rsidR="004718C9" w:rsidRPr="009C3BC9">
          <w:rPr>
            <w:rStyle w:val="Hyperlink"/>
            <w:noProof/>
          </w:rPr>
          <w:t>2.4.</w:t>
        </w:r>
        <w:r w:rsidR="004718C9">
          <w:rPr>
            <w:rFonts w:eastAsiaTheme="minorEastAsia" w:cstheme="minorBidi"/>
            <w:noProof/>
            <w:kern w:val="0"/>
            <w:sz w:val="22"/>
            <w:lang w:eastAsia="en-AU"/>
          </w:rPr>
          <w:tab/>
        </w:r>
        <w:r w:rsidR="004718C9" w:rsidRPr="009C3BC9">
          <w:rPr>
            <w:rStyle w:val="Hyperlink"/>
            <w:noProof/>
          </w:rPr>
          <w:t>Data collection</w:t>
        </w:r>
        <w:r w:rsidR="004718C9">
          <w:rPr>
            <w:noProof/>
            <w:webHidden/>
          </w:rPr>
          <w:tab/>
        </w:r>
        <w:r w:rsidR="004718C9">
          <w:rPr>
            <w:noProof/>
            <w:webHidden/>
          </w:rPr>
          <w:fldChar w:fldCharType="begin"/>
        </w:r>
        <w:r w:rsidR="004718C9">
          <w:rPr>
            <w:noProof/>
            <w:webHidden/>
          </w:rPr>
          <w:instrText xml:space="preserve"> PAGEREF _Toc123734697 \h </w:instrText>
        </w:r>
        <w:r w:rsidR="004718C9">
          <w:rPr>
            <w:noProof/>
            <w:webHidden/>
          </w:rPr>
        </w:r>
        <w:r w:rsidR="004718C9">
          <w:rPr>
            <w:noProof/>
            <w:webHidden/>
          </w:rPr>
          <w:fldChar w:fldCharType="separate"/>
        </w:r>
        <w:r w:rsidR="004718C9">
          <w:rPr>
            <w:noProof/>
            <w:webHidden/>
          </w:rPr>
          <w:t>20</w:t>
        </w:r>
        <w:r w:rsidR="004718C9">
          <w:rPr>
            <w:noProof/>
            <w:webHidden/>
          </w:rPr>
          <w:fldChar w:fldCharType="end"/>
        </w:r>
      </w:hyperlink>
    </w:p>
    <w:p w14:paraId="185D487E" w14:textId="7EAD3BF9" w:rsidR="004718C9" w:rsidRDefault="00000000">
      <w:pPr>
        <w:pStyle w:val="TOC2"/>
        <w:rPr>
          <w:rFonts w:eastAsiaTheme="minorEastAsia" w:cstheme="minorBidi"/>
          <w:noProof/>
          <w:kern w:val="0"/>
          <w:sz w:val="22"/>
          <w:lang w:eastAsia="en-AU"/>
        </w:rPr>
      </w:pPr>
      <w:hyperlink w:anchor="_Toc123734698" w:history="1">
        <w:r w:rsidR="004718C9" w:rsidRPr="009C3BC9">
          <w:rPr>
            <w:rStyle w:val="Hyperlink"/>
            <w:noProof/>
          </w:rPr>
          <w:t>2.5.</w:t>
        </w:r>
        <w:r w:rsidR="004718C9">
          <w:rPr>
            <w:rFonts w:eastAsiaTheme="minorEastAsia" w:cstheme="minorBidi"/>
            <w:noProof/>
            <w:kern w:val="0"/>
            <w:sz w:val="22"/>
            <w:lang w:eastAsia="en-AU"/>
          </w:rPr>
          <w:tab/>
        </w:r>
        <w:r w:rsidR="004718C9" w:rsidRPr="009C3BC9">
          <w:rPr>
            <w:rStyle w:val="Hyperlink"/>
            <w:noProof/>
          </w:rPr>
          <w:t>Data analysis</w:t>
        </w:r>
        <w:r w:rsidR="004718C9">
          <w:rPr>
            <w:noProof/>
            <w:webHidden/>
          </w:rPr>
          <w:tab/>
        </w:r>
        <w:r w:rsidR="004718C9">
          <w:rPr>
            <w:noProof/>
            <w:webHidden/>
          </w:rPr>
          <w:fldChar w:fldCharType="begin"/>
        </w:r>
        <w:r w:rsidR="004718C9">
          <w:rPr>
            <w:noProof/>
            <w:webHidden/>
          </w:rPr>
          <w:instrText xml:space="preserve"> PAGEREF _Toc123734698 \h </w:instrText>
        </w:r>
        <w:r w:rsidR="004718C9">
          <w:rPr>
            <w:noProof/>
            <w:webHidden/>
          </w:rPr>
        </w:r>
        <w:r w:rsidR="004718C9">
          <w:rPr>
            <w:noProof/>
            <w:webHidden/>
          </w:rPr>
          <w:fldChar w:fldCharType="separate"/>
        </w:r>
        <w:r w:rsidR="004718C9">
          <w:rPr>
            <w:noProof/>
            <w:webHidden/>
          </w:rPr>
          <w:t>21</w:t>
        </w:r>
        <w:r w:rsidR="004718C9">
          <w:rPr>
            <w:noProof/>
            <w:webHidden/>
          </w:rPr>
          <w:fldChar w:fldCharType="end"/>
        </w:r>
      </w:hyperlink>
    </w:p>
    <w:p w14:paraId="4DB2CF28" w14:textId="54AB9F08" w:rsidR="004718C9" w:rsidRDefault="00000000">
      <w:pPr>
        <w:pStyle w:val="TOC2"/>
        <w:rPr>
          <w:rFonts w:eastAsiaTheme="minorEastAsia" w:cstheme="minorBidi"/>
          <w:noProof/>
          <w:kern w:val="0"/>
          <w:sz w:val="22"/>
          <w:lang w:eastAsia="en-AU"/>
        </w:rPr>
      </w:pPr>
      <w:hyperlink w:anchor="_Toc123734699" w:history="1">
        <w:r w:rsidR="004718C9" w:rsidRPr="009C3BC9">
          <w:rPr>
            <w:rStyle w:val="Hyperlink"/>
            <w:noProof/>
          </w:rPr>
          <w:t>2.6.</w:t>
        </w:r>
        <w:r w:rsidR="004718C9">
          <w:rPr>
            <w:rFonts w:eastAsiaTheme="minorEastAsia" w:cstheme="minorBidi"/>
            <w:noProof/>
            <w:kern w:val="0"/>
            <w:sz w:val="22"/>
            <w:lang w:eastAsia="en-AU"/>
          </w:rPr>
          <w:tab/>
        </w:r>
        <w:r w:rsidR="004718C9" w:rsidRPr="009C3BC9">
          <w:rPr>
            <w:rStyle w:val="Hyperlink"/>
            <w:noProof/>
          </w:rPr>
          <w:t>Ethics</w:t>
        </w:r>
        <w:r w:rsidR="004718C9">
          <w:rPr>
            <w:noProof/>
            <w:webHidden/>
          </w:rPr>
          <w:tab/>
        </w:r>
        <w:r w:rsidR="004718C9">
          <w:rPr>
            <w:noProof/>
            <w:webHidden/>
          </w:rPr>
          <w:fldChar w:fldCharType="begin"/>
        </w:r>
        <w:r w:rsidR="004718C9">
          <w:rPr>
            <w:noProof/>
            <w:webHidden/>
          </w:rPr>
          <w:instrText xml:space="preserve"> PAGEREF _Toc123734699 \h </w:instrText>
        </w:r>
        <w:r w:rsidR="004718C9">
          <w:rPr>
            <w:noProof/>
            <w:webHidden/>
          </w:rPr>
        </w:r>
        <w:r w:rsidR="004718C9">
          <w:rPr>
            <w:noProof/>
            <w:webHidden/>
          </w:rPr>
          <w:fldChar w:fldCharType="separate"/>
        </w:r>
        <w:r w:rsidR="004718C9">
          <w:rPr>
            <w:noProof/>
            <w:webHidden/>
          </w:rPr>
          <w:t>21</w:t>
        </w:r>
        <w:r w:rsidR="004718C9">
          <w:rPr>
            <w:noProof/>
            <w:webHidden/>
          </w:rPr>
          <w:fldChar w:fldCharType="end"/>
        </w:r>
      </w:hyperlink>
    </w:p>
    <w:p w14:paraId="5FC21303" w14:textId="59591414" w:rsidR="004718C9" w:rsidRDefault="00000000">
      <w:pPr>
        <w:pStyle w:val="TOC2"/>
        <w:rPr>
          <w:rFonts w:eastAsiaTheme="minorEastAsia" w:cstheme="minorBidi"/>
          <w:noProof/>
          <w:kern w:val="0"/>
          <w:sz w:val="22"/>
          <w:lang w:eastAsia="en-AU"/>
        </w:rPr>
      </w:pPr>
      <w:hyperlink w:anchor="_Toc123734700" w:history="1">
        <w:r w:rsidR="004718C9" w:rsidRPr="009C3BC9">
          <w:rPr>
            <w:rStyle w:val="Hyperlink"/>
            <w:noProof/>
          </w:rPr>
          <w:t>2.7.</w:t>
        </w:r>
        <w:r w:rsidR="004718C9">
          <w:rPr>
            <w:rFonts w:eastAsiaTheme="minorEastAsia" w:cstheme="minorBidi"/>
            <w:noProof/>
            <w:kern w:val="0"/>
            <w:sz w:val="22"/>
            <w:lang w:eastAsia="en-AU"/>
          </w:rPr>
          <w:tab/>
        </w:r>
        <w:r w:rsidR="004718C9" w:rsidRPr="009C3BC9">
          <w:rPr>
            <w:rStyle w:val="Hyperlink"/>
            <w:noProof/>
          </w:rPr>
          <w:t>Limitations</w:t>
        </w:r>
        <w:r w:rsidR="004718C9">
          <w:rPr>
            <w:noProof/>
            <w:webHidden/>
          </w:rPr>
          <w:tab/>
        </w:r>
        <w:r w:rsidR="004718C9">
          <w:rPr>
            <w:noProof/>
            <w:webHidden/>
          </w:rPr>
          <w:fldChar w:fldCharType="begin"/>
        </w:r>
        <w:r w:rsidR="004718C9">
          <w:rPr>
            <w:noProof/>
            <w:webHidden/>
          </w:rPr>
          <w:instrText xml:space="preserve"> PAGEREF _Toc123734700 \h </w:instrText>
        </w:r>
        <w:r w:rsidR="004718C9">
          <w:rPr>
            <w:noProof/>
            <w:webHidden/>
          </w:rPr>
        </w:r>
        <w:r w:rsidR="004718C9">
          <w:rPr>
            <w:noProof/>
            <w:webHidden/>
          </w:rPr>
          <w:fldChar w:fldCharType="separate"/>
        </w:r>
        <w:r w:rsidR="004718C9">
          <w:rPr>
            <w:noProof/>
            <w:webHidden/>
          </w:rPr>
          <w:t>21</w:t>
        </w:r>
        <w:r w:rsidR="004718C9">
          <w:rPr>
            <w:noProof/>
            <w:webHidden/>
          </w:rPr>
          <w:fldChar w:fldCharType="end"/>
        </w:r>
      </w:hyperlink>
    </w:p>
    <w:p w14:paraId="33603FFE" w14:textId="2183BD8F" w:rsidR="004718C9" w:rsidRDefault="00000000">
      <w:pPr>
        <w:pStyle w:val="TOC1"/>
        <w:tabs>
          <w:tab w:val="left" w:pos="440"/>
        </w:tabs>
        <w:rPr>
          <w:rFonts w:eastAsiaTheme="minorEastAsia" w:cstheme="minorBidi"/>
          <w:noProof/>
          <w:kern w:val="0"/>
          <w:sz w:val="22"/>
          <w:lang w:eastAsia="en-AU"/>
        </w:rPr>
      </w:pPr>
      <w:hyperlink w:anchor="_Toc123734701" w:history="1">
        <w:r w:rsidR="004718C9" w:rsidRPr="009C3BC9">
          <w:rPr>
            <w:rStyle w:val="Hyperlink"/>
            <w:noProof/>
          </w:rPr>
          <w:t>3.</w:t>
        </w:r>
        <w:r w:rsidR="004718C9">
          <w:rPr>
            <w:rFonts w:eastAsiaTheme="minorEastAsia" w:cstheme="minorBidi"/>
            <w:noProof/>
            <w:kern w:val="0"/>
            <w:sz w:val="22"/>
            <w:lang w:eastAsia="en-AU"/>
          </w:rPr>
          <w:tab/>
        </w:r>
        <w:r w:rsidR="004718C9" w:rsidRPr="009C3BC9">
          <w:rPr>
            <w:rStyle w:val="Hyperlink"/>
            <w:noProof/>
          </w:rPr>
          <w:t>Program design</w:t>
        </w:r>
        <w:r w:rsidR="004718C9">
          <w:rPr>
            <w:noProof/>
            <w:webHidden/>
          </w:rPr>
          <w:tab/>
        </w:r>
        <w:r w:rsidR="004718C9">
          <w:rPr>
            <w:noProof/>
            <w:webHidden/>
          </w:rPr>
          <w:fldChar w:fldCharType="begin"/>
        </w:r>
        <w:r w:rsidR="004718C9">
          <w:rPr>
            <w:noProof/>
            <w:webHidden/>
          </w:rPr>
          <w:instrText xml:space="preserve"> PAGEREF _Toc123734701 \h </w:instrText>
        </w:r>
        <w:r w:rsidR="004718C9">
          <w:rPr>
            <w:noProof/>
            <w:webHidden/>
          </w:rPr>
        </w:r>
        <w:r w:rsidR="004718C9">
          <w:rPr>
            <w:noProof/>
            <w:webHidden/>
          </w:rPr>
          <w:fldChar w:fldCharType="separate"/>
        </w:r>
        <w:r w:rsidR="004718C9">
          <w:rPr>
            <w:noProof/>
            <w:webHidden/>
          </w:rPr>
          <w:t>23</w:t>
        </w:r>
        <w:r w:rsidR="004718C9">
          <w:rPr>
            <w:noProof/>
            <w:webHidden/>
          </w:rPr>
          <w:fldChar w:fldCharType="end"/>
        </w:r>
      </w:hyperlink>
    </w:p>
    <w:p w14:paraId="0E83CE51" w14:textId="20B1831F" w:rsidR="004718C9" w:rsidRDefault="00000000">
      <w:pPr>
        <w:pStyle w:val="TOC2"/>
        <w:rPr>
          <w:rFonts w:eastAsiaTheme="minorEastAsia" w:cstheme="minorBidi"/>
          <w:noProof/>
          <w:kern w:val="0"/>
          <w:sz w:val="22"/>
          <w:lang w:eastAsia="en-AU"/>
        </w:rPr>
      </w:pPr>
      <w:hyperlink w:anchor="_Toc123734702" w:history="1">
        <w:r w:rsidR="004718C9" w:rsidRPr="009C3BC9">
          <w:rPr>
            <w:rStyle w:val="Hyperlink"/>
            <w:noProof/>
          </w:rPr>
          <w:t>3.1.</w:t>
        </w:r>
        <w:r w:rsidR="004718C9">
          <w:rPr>
            <w:rFonts w:eastAsiaTheme="minorEastAsia" w:cstheme="minorBidi"/>
            <w:noProof/>
            <w:kern w:val="0"/>
            <w:sz w:val="22"/>
            <w:lang w:eastAsia="en-AU"/>
          </w:rPr>
          <w:tab/>
        </w:r>
        <w:r w:rsidR="004718C9" w:rsidRPr="009C3BC9">
          <w:rPr>
            <w:rStyle w:val="Hyperlink"/>
            <w:noProof/>
          </w:rPr>
          <w:t>Framing BSP policy intent</w:t>
        </w:r>
        <w:r w:rsidR="004718C9">
          <w:rPr>
            <w:noProof/>
            <w:webHidden/>
          </w:rPr>
          <w:tab/>
        </w:r>
        <w:r w:rsidR="004718C9">
          <w:rPr>
            <w:noProof/>
            <w:webHidden/>
          </w:rPr>
          <w:fldChar w:fldCharType="begin"/>
        </w:r>
        <w:r w:rsidR="004718C9">
          <w:rPr>
            <w:noProof/>
            <w:webHidden/>
          </w:rPr>
          <w:instrText xml:space="preserve"> PAGEREF _Toc123734702 \h </w:instrText>
        </w:r>
        <w:r w:rsidR="004718C9">
          <w:rPr>
            <w:noProof/>
            <w:webHidden/>
          </w:rPr>
        </w:r>
        <w:r w:rsidR="004718C9">
          <w:rPr>
            <w:noProof/>
            <w:webHidden/>
          </w:rPr>
          <w:fldChar w:fldCharType="separate"/>
        </w:r>
        <w:r w:rsidR="004718C9">
          <w:rPr>
            <w:noProof/>
            <w:webHidden/>
          </w:rPr>
          <w:t>24</w:t>
        </w:r>
        <w:r w:rsidR="004718C9">
          <w:rPr>
            <w:noProof/>
            <w:webHidden/>
          </w:rPr>
          <w:fldChar w:fldCharType="end"/>
        </w:r>
      </w:hyperlink>
    </w:p>
    <w:p w14:paraId="718EA123" w14:textId="7B54C38B" w:rsidR="004718C9" w:rsidRDefault="00000000">
      <w:pPr>
        <w:pStyle w:val="TOC2"/>
        <w:rPr>
          <w:rFonts w:eastAsiaTheme="minorEastAsia" w:cstheme="minorBidi"/>
          <w:noProof/>
          <w:kern w:val="0"/>
          <w:sz w:val="22"/>
          <w:lang w:eastAsia="en-AU"/>
        </w:rPr>
      </w:pPr>
      <w:hyperlink w:anchor="_Toc123734703" w:history="1">
        <w:r w:rsidR="004718C9" w:rsidRPr="009C3BC9">
          <w:rPr>
            <w:rStyle w:val="Hyperlink"/>
            <w:noProof/>
          </w:rPr>
          <w:t>3.2.</w:t>
        </w:r>
        <w:r w:rsidR="004718C9">
          <w:rPr>
            <w:rFonts w:eastAsiaTheme="minorEastAsia" w:cstheme="minorBidi"/>
            <w:noProof/>
            <w:kern w:val="0"/>
            <w:sz w:val="22"/>
            <w:lang w:eastAsia="en-AU"/>
          </w:rPr>
          <w:tab/>
        </w:r>
        <w:r w:rsidR="004718C9" w:rsidRPr="009C3BC9">
          <w:rPr>
            <w:rStyle w:val="Hyperlink"/>
            <w:noProof/>
          </w:rPr>
          <w:t>Key components of current BSP design</w:t>
        </w:r>
        <w:r w:rsidR="004718C9">
          <w:rPr>
            <w:noProof/>
            <w:webHidden/>
          </w:rPr>
          <w:tab/>
        </w:r>
        <w:r w:rsidR="004718C9">
          <w:rPr>
            <w:noProof/>
            <w:webHidden/>
          </w:rPr>
          <w:fldChar w:fldCharType="begin"/>
        </w:r>
        <w:r w:rsidR="004718C9">
          <w:rPr>
            <w:noProof/>
            <w:webHidden/>
          </w:rPr>
          <w:instrText xml:space="preserve"> PAGEREF _Toc123734703 \h </w:instrText>
        </w:r>
        <w:r w:rsidR="004718C9">
          <w:rPr>
            <w:noProof/>
            <w:webHidden/>
          </w:rPr>
        </w:r>
        <w:r w:rsidR="004718C9">
          <w:rPr>
            <w:noProof/>
            <w:webHidden/>
          </w:rPr>
          <w:fldChar w:fldCharType="separate"/>
        </w:r>
        <w:r w:rsidR="004718C9">
          <w:rPr>
            <w:noProof/>
            <w:webHidden/>
          </w:rPr>
          <w:t>27</w:t>
        </w:r>
        <w:r w:rsidR="004718C9">
          <w:rPr>
            <w:noProof/>
            <w:webHidden/>
          </w:rPr>
          <w:fldChar w:fldCharType="end"/>
        </w:r>
      </w:hyperlink>
    </w:p>
    <w:p w14:paraId="07C89FE6" w14:textId="5FDB8177" w:rsidR="004718C9" w:rsidRDefault="00000000">
      <w:pPr>
        <w:pStyle w:val="TOC2"/>
        <w:rPr>
          <w:rFonts w:eastAsiaTheme="minorEastAsia" w:cstheme="minorBidi"/>
          <w:noProof/>
          <w:kern w:val="0"/>
          <w:sz w:val="22"/>
          <w:lang w:eastAsia="en-AU"/>
        </w:rPr>
      </w:pPr>
      <w:hyperlink w:anchor="_Toc123734704" w:history="1">
        <w:r w:rsidR="004718C9" w:rsidRPr="009C3BC9">
          <w:rPr>
            <w:rStyle w:val="Hyperlink"/>
            <w:noProof/>
          </w:rPr>
          <w:t>3.3.</w:t>
        </w:r>
        <w:r w:rsidR="004718C9">
          <w:rPr>
            <w:rFonts w:eastAsiaTheme="minorEastAsia" w:cstheme="minorBidi"/>
            <w:noProof/>
            <w:kern w:val="0"/>
            <w:sz w:val="22"/>
            <w:lang w:eastAsia="en-AU"/>
          </w:rPr>
          <w:tab/>
        </w:r>
        <w:r w:rsidR="004718C9" w:rsidRPr="009C3BC9">
          <w:rPr>
            <w:rStyle w:val="Hyperlink"/>
            <w:noProof/>
          </w:rPr>
          <w:t>IBA’s COVID-19 Indigenous Business Relief Program</w:t>
        </w:r>
        <w:r w:rsidR="004718C9">
          <w:rPr>
            <w:noProof/>
            <w:webHidden/>
          </w:rPr>
          <w:tab/>
        </w:r>
        <w:r w:rsidR="004718C9">
          <w:rPr>
            <w:noProof/>
            <w:webHidden/>
          </w:rPr>
          <w:fldChar w:fldCharType="begin"/>
        </w:r>
        <w:r w:rsidR="004718C9">
          <w:rPr>
            <w:noProof/>
            <w:webHidden/>
          </w:rPr>
          <w:instrText xml:space="preserve"> PAGEREF _Toc123734704 \h </w:instrText>
        </w:r>
        <w:r w:rsidR="004718C9">
          <w:rPr>
            <w:noProof/>
            <w:webHidden/>
          </w:rPr>
        </w:r>
        <w:r w:rsidR="004718C9">
          <w:rPr>
            <w:noProof/>
            <w:webHidden/>
          </w:rPr>
          <w:fldChar w:fldCharType="separate"/>
        </w:r>
        <w:r w:rsidR="004718C9">
          <w:rPr>
            <w:noProof/>
            <w:webHidden/>
          </w:rPr>
          <w:t>32</w:t>
        </w:r>
        <w:r w:rsidR="004718C9">
          <w:rPr>
            <w:noProof/>
            <w:webHidden/>
          </w:rPr>
          <w:fldChar w:fldCharType="end"/>
        </w:r>
      </w:hyperlink>
    </w:p>
    <w:p w14:paraId="36AAE87D" w14:textId="137F6351" w:rsidR="004718C9" w:rsidRDefault="00000000">
      <w:pPr>
        <w:pStyle w:val="TOC1"/>
        <w:tabs>
          <w:tab w:val="left" w:pos="440"/>
        </w:tabs>
        <w:rPr>
          <w:rFonts w:eastAsiaTheme="minorEastAsia" w:cstheme="minorBidi"/>
          <w:noProof/>
          <w:kern w:val="0"/>
          <w:sz w:val="22"/>
          <w:lang w:eastAsia="en-AU"/>
        </w:rPr>
      </w:pPr>
      <w:hyperlink w:anchor="_Toc123734705" w:history="1">
        <w:r w:rsidR="004718C9" w:rsidRPr="009C3BC9">
          <w:rPr>
            <w:rStyle w:val="Hyperlink"/>
            <w:noProof/>
          </w:rPr>
          <w:t>4.</w:t>
        </w:r>
        <w:r w:rsidR="004718C9">
          <w:rPr>
            <w:rFonts w:eastAsiaTheme="minorEastAsia" w:cstheme="minorBidi"/>
            <w:noProof/>
            <w:kern w:val="0"/>
            <w:sz w:val="22"/>
            <w:lang w:eastAsia="en-AU"/>
          </w:rPr>
          <w:tab/>
        </w:r>
        <w:r w:rsidR="004718C9" w:rsidRPr="009C3BC9">
          <w:rPr>
            <w:rStyle w:val="Hyperlink"/>
            <w:noProof/>
          </w:rPr>
          <w:t>Program delivery and performance management</w:t>
        </w:r>
        <w:r w:rsidR="004718C9">
          <w:rPr>
            <w:noProof/>
            <w:webHidden/>
          </w:rPr>
          <w:tab/>
        </w:r>
        <w:r w:rsidR="004718C9">
          <w:rPr>
            <w:noProof/>
            <w:webHidden/>
          </w:rPr>
          <w:fldChar w:fldCharType="begin"/>
        </w:r>
        <w:r w:rsidR="004718C9">
          <w:rPr>
            <w:noProof/>
            <w:webHidden/>
          </w:rPr>
          <w:instrText xml:space="preserve"> PAGEREF _Toc123734705 \h </w:instrText>
        </w:r>
        <w:r w:rsidR="004718C9">
          <w:rPr>
            <w:noProof/>
            <w:webHidden/>
          </w:rPr>
        </w:r>
        <w:r w:rsidR="004718C9">
          <w:rPr>
            <w:noProof/>
            <w:webHidden/>
          </w:rPr>
          <w:fldChar w:fldCharType="separate"/>
        </w:r>
        <w:r w:rsidR="004718C9">
          <w:rPr>
            <w:noProof/>
            <w:webHidden/>
          </w:rPr>
          <w:t>36</w:t>
        </w:r>
        <w:r w:rsidR="004718C9">
          <w:rPr>
            <w:noProof/>
            <w:webHidden/>
          </w:rPr>
          <w:fldChar w:fldCharType="end"/>
        </w:r>
      </w:hyperlink>
    </w:p>
    <w:p w14:paraId="55A5C426" w14:textId="5E569A16" w:rsidR="004718C9" w:rsidRDefault="00000000">
      <w:pPr>
        <w:pStyle w:val="TOC2"/>
        <w:rPr>
          <w:rFonts w:eastAsiaTheme="minorEastAsia" w:cstheme="minorBidi"/>
          <w:noProof/>
          <w:kern w:val="0"/>
          <w:sz w:val="22"/>
          <w:lang w:eastAsia="en-AU"/>
        </w:rPr>
      </w:pPr>
      <w:hyperlink w:anchor="_Toc123734706" w:history="1">
        <w:r w:rsidR="004718C9" w:rsidRPr="009C3BC9">
          <w:rPr>
            <w:rStyle w:val="Hyperlink"/>
            <w:noProof/>
          </w:rPr>
          <w:t>4.1.</w:t>
        </w:r>
        <w:r w:rsidR="004718C9">
          <w:rPr>
            <w:rFonts w:eastAsiaTheme="minorEastAsia" w:cstheme="minorBidi"/>
            <w:noProof/>
            <w:kern w:val="0"/>
            <w:sz w:val="22"/>
            <w:lang w:eastAsia="en-AU"/>
          </w:rPr>
          <w:tab/>
        </w:r>
        <w:r w:rsidR="004718C9" w:rsidRPr="009C3BC9">
          <w:rPr>
            <w:rStyle w:val="Hyperlink"/>
            <w:noProof/>
          </w:rPr>
          <w:t>Measuring performance of the BSP</w:t>
        </w:r>
        <w:r w:rsidR="004718C9">
          <w:rPr>
            <w:noProof/>
            <w:webHidden/>
          </w:rPr>
          <w:tab/>
        </w:r>
        <w:r w:rsidR="004718C9">
          <w:rPr>
            <w:noProof/>
            <w:webHidden/>
          </w:rPr>
          <w:fldChar w:fldCharType="begin"/>
        </w:r>
        <w:r w:rsidR="004718C9">
          <w:rPr>
            <w:noProof/>
            <w:webHidden/>
          </w:rPr>
          <w:instrText xml:space="preserve"> PAGEREF _Toc123734706 \h </w:instrText>
        </w:r>
        <w:r w:rsidR="004718C9">
          <w:rPr>
            <w:noProof/>
            <w:webHidden/>
          </w:rPr>
        </w:r>
        <w:r w:rsidR="004718C9">
          <w:rPr>
            <w:noProof/>
            <w:webHidden/>
          </w:rPr>
          <w:fldChar w:fldCharType="separate"/>
        </w:r>
        <w:r w:rsidR="004718C9">
          <w:rPr>
            <w:noProof/>
            <w:webHidden/>
          </w:rPr>
          <w:t>36</w:t>
        </w:r>
        <w:r w:rsidR="004718C9">
          <w:rPr>
            <w:noProof/>
            <w:webHidden/>
          </w:rPr>
          <w:fldChar w:fldCharType="end"/>
        </w:r>
      </w:hyperlink>
    </w:p>
    <w:p w14:paraId="5362BD3F" w14:textId="40AB9059" w:rsidR="004718C9" w:rsidRDefault="00000000">
      <w:pPr>
        <w:pStyle w:val="TOC2"/>
        <w:rPr>
          <w:rFonts w:eastAsiaTheme="minorEastAsia" w:cstheme="minorBidi"/>
          <w:noProof/>
          <w:kern w:val="0"/>
          <w:sz w:val="22"/>
          <w:lang w:eastAsia="en-AU"/>
        </w:rPr>
      </w:pPr>
      <w:hyperlink w:anchor="_Toc123734707" w:history="1">
        <w:r w:rsidR="004718C9" w:rsidRPr="009C3BC9">
          <w:rPr>
            <w:rStyle w:val="Hyperlink"/>
            <w:noProof/>
          </w:rPr>
          <w:t>4.2.</w:t>
        </w:r>
        <w:r w:rsidR="004718C9">
          <w:rPr>
            <w:rFonts w:eastAsiaTheme="minorEastAsia" w:cstheme="minorBidi"/>
            <w:noProof/>
            <w:kern w:val="0"/>
            <w:sz w:val="22"/>
            <w:lang w:eastAsia="en-AU"/>
          </w:rPr>
          <w:tab/>
        </w:r>
        <w:r w:rsidR="004718C9" w:rsidRPr="009C3BC9">
          <w:rPr>
            <w:rStyle w:val="Hyperlink"/>
            <w:noProof/>
          </w:rPr>
          <w:t>Recommendation for future program delivery</w:t>
        </w:r>
        <w:r w:rsidR="004718C9">
          <w:rPr>
            <w:noProof/>
            <w:webHidden/>
          </w:rPr>
          <w:tab/>
        </w:r>
        <w:r w:rsidR="004718C9">
          <w:rPr>
            <w:noProof/>
            <w:webHidden/>
          </w:rPr>
          <w:fldChar w:fldCharType="begin"/>
        </w:r>
        <w:r w:rsidR="004718C9">
          <w:rPr>
            <w:noProof/>
            <w:webHidden/>
          </w:rPr>
          <w:instrText xml:space="preserve"> PAGEREF _Toc123734707 \h </w:instrText>
        </w:r>
        <w:r w:rsidR="004718C9">
          <w:rPr>
            <w:noProof/>
            <w:webHidden/>
          </w:rPr>
        </w:r>
        <w:r w:rsidR="004718C9">
          <w:rPr>
            <w:noProof/>
            <w:webHidden/>
          </w:rPr>
          <w:fldChar w:fldCharType="separate"/>
        </w:r>
        <w:r w:rsidR="004718C9">
          <w:rPr>
            <w:noProof/>
            <w:webHidden/>
          </w:rPr>
          <w:t>56</w:t>
        </w:r>
        <w:r w:rsidR="004718C9">
          <w:rPr>
            <w:noProof/>
            <w:webHidden/>
          </w:rPr>
          <w:fldChar w:fldCharType="end"/>
        </w:r>
      </w:hyperlink>
    </w:p>
    <w:p w14:paraId="0E02F2C1" w14:textId="36C94903" w:rsidR="004718C9" w:rsidRDefault="00000000">
      <w:pPr>
        <w:pStyle w:val="TOC1"/>
        <w:tabs>
          <w:tab w:val="left" w:pos="440"/>
        </w:tabs>
        <w:rPr>
          <w:rFonts w:eastAsiaTheme="minorEastAsia" w:cstheme="minorBidi"/>
          <w:noProof/>
          <w:kern w:val="0"/>
          <w:sz w:val="22"/>
          <w:lang w:eastAsia="en-AU"/>
        </w:rPr>
      </w:pPr>
      <w:hyperlink w:anchor="_Toc123734708" w:history="1">
        <w:r w:rsidR="004718C9" w:rsidRPr="009C3BC9">
          <w:rPr>
            <w:rStyle w:val="Hyperlink"/>
            <w:noProof/>
          </w:rPr>
          <w:t>5.</w:t>
        </w:r>
        <w:r w:rsidR="004718C9">
          <w:rPr>
            <w:rFonts w:eastAsiaTheme="minorEastAsia" w:cstheme="minorBidi"/>
            <w:noProof/>
            <w:kern w:val="0"/>
            <w:sz w:val="22"/>
            <w:lang w:eastAsia="en-AU"/>
          </w:rPr>
          <w:tab/>
        </w:r>
        <w:r w:rsidR="004718C9" w:rsidRPr="009C3BC9">
          <w:rPr>
            <w:rStyle w:val="Hyperlink"/>
            <w:noProof/>
          </w:rPr>
          <w:t>IBA’s governance, policies, and procedures</w:t>
        </w:r>
        <w:r w:rsidR="004718C9">
          <w:rPr>
            <w:noProof/>
            <w:webHidden/>
          </w:rPr>
          <w:tab/>
        </w:r>
        <w:r w:rsidR="004718C9">
          <w:rPr>
            <w:noProof/>
            <w:webHidden/>
          </w:rPr>
          <w:fldChar w:fldCharType="begin"/>
        </w:r>
        <w:r w:rsidR="004718C9">
          <w:rPr>
            <w:noProof/>
            <w:webHidden/>
          </w:rPr>
          <w:instrText xml:space="preserve"> PAGEREF _Toc123734708 \h </w:instrText>
        </w:r>
        <w:r w:rsidR="004718C9">
          <w:rPr>
            <w:noProof/>
            <w:webHidden/>
          </w:rPr>
        </w:r>
        <w:r w:rsidR="004718C9">
          <w:rPr>
            <w:noProof/>
            <w:webHidden/>
          </w:rPr>
          <w:fldChar w:fldCharType="separate"/>
        </w:r>
        <w:r w:rsidR="004718C9">
          <w:rPr>
            <w:noProof/>
            <w:webHidden/>
          </w:rPr>
          <w:t>57</w:t>
        </w:r>
        <w:r w:rsidR="004718C9">
          <w:rPr>
            <w:noProof/>
            <w:webHidden/>
          </w:rPr>
          <w:fldChar w:fldCharType="end"/>
        </w:r>
      </w:hyperlink>
    </w:p>
    <w:p w14:paraId="222799ED" w14:textId="7B14AD78" w:rsidR="004718C9" w:rsidRDefault="00000000">
      <w:pPr>
        <w:pStyle w:val="TOC2"/>
        <w:rPr>
          <w:rFonts w:eastAsiaTheme="minorEastAsia" w:cstheme="minorBidi"/>
          <w:noProof/>
          <w:kern w:val="0"/>
          <w:sz w:val="22"/>
          <w:lang w:eastAsia="en-AU"/>
        </w:rPr>
      </w:pPr>
      <w:hyperlink w:anchor="_Toc123734709" w:history="1">
        <w:r w:rsidR="004718C9" w:rsidRPr="009C3BC9">
          <w:rPr>
            <w:rStyle w:val="Hyperlink"/>
            <w:noProof/>
          </w:rPr>
          <w:t>5.1.</w:t>
        </w:r>
        <w:r w:rsidR="004718C9">
          <w:rPr>
            <w:rFonts w:eastAsiaTheme="minorEastAsia" w:cstheme="minorBidi"/>
            <w:noProof/>
            <w:kern w:val="0"/>
            <w:sz w:val="22"/>
            <w:lang w:eastAsia="en-AU"/>
          </w:rPr>
          <w:tab/>
        </w:r>
        <w:r w:rsidR="004718C9" w:rsidRPr="009C3BC9">
          <w:rPr>
            <w:rStyle w:val="Hyperlink"/>
            <w:noProof/>
          </w:rPr>
          <w:t>Overarching governance for IBA</w:t>
        </w:r>
        <w:r w:rsidR="004718C9">
          <w:rPr>
            <w:noProof/>
            <w:webHidden/>
          </w:rPr>
          <w:tab/>
        </w:r>
        <w:r w:rsidR="004718C9">
          <w:rPr>
            <w:noProof/>
            <w:webHidden/>
          </w:rPr>
          <w:fldChar w:fldCharType="begin"/>
        </w:r>
        <w:r w:rsidR="004718C9">
          <w:rPr>
            <w:noProof/>
            <w:webHidden/>
          </w:rPr>
          <w:instrText xml:space="preserve"> PAGEREF _Toc123734709 \h </w:instrText>
        </w:r>
        <w:r w:rsidR="004718C9">
          <w:rPr>
            <w:noProof/>
            <w:webHidden/>
          </w:rPr>
        </w:r>
        <w:r w:rsidR="004718C9">
          <w:rPr>
            <w:noProof/>
            <w:webHidden/>
          </w:rPr>
          <w:fldChar w:fldCharType="separate"/>
        </w:r>
        <w:r w:rsidR="004718C9">
          <w:rPr>
            <w:noProof/>
            <w:webHidden/>
          </w:rPr>
          <w:t>57</w:t>
        </w:r>
        <w:r w:rsidR="004718C9">
          <w:rPr>
            <w:noProof/>
            <w:webHidden/>
          </w:rPr>
          <w:fldChar w:fldCharType="end"/>
        </w:r>
      </w:hyperlink>
    </w:p>
    <w:p w14:paraId="6448DB55" w14:textId="09A33C46" w:rsidR="004718C9" w:rsidRDefault="00000000">
      <w:pPr>
        <w:pStyle w:val="TOC1"/>
        <w:tabs>
          <w:tab w:val="left" w:pos="440"/>
        </w:tabs>
        <w:rPr>
          <w:rFonts w:eastAsiaTheme="minorEastAsia" w:cstheme="minorBidi"/>
          <w:noProof/>
          <w:kern w:val="0"/>
          <w:sz w:val="22"/>
          <w:lang w:eastAsia="en-AU"/>
        </w:rPr>
      </w:pPr>
      <w:hyperlink w:anchor="_Toc123734710" w:history="1">
        <w:r w:rsidR="004718C9" w:rsidRPr="009C3BC9">
          <w:rPr>
            <w:rStyle w:val="Hyperlink"/>
            <w:noProof/>
          </w:rPr>
          <w:t>6.</w:t>
        </w:r>
        <w:r w:rsidR="004718C9">
          <w:rPr>
            <w:rFonts w:eastAsiaTheme="minorEastAsia" w:cstheme="minorBidi"/>
            <w:noProof/>
            <w:kern w:val="0"/>
            <w:sz w:val="22"/>
            <w:lang w:eastAsia="en-AU"/>
          </w:rPr>
          <w:tab/>
        </w:r>
        <w:r w:rsidR="004718C9" w:rsidRPr="009C3BC9">
          <w:rPr>
            <w:rStyle w:val="Hyperlink"/>
            <w:noProof/>
          </w:rPr>
          <w:t>Program outcomes of the BSP</w:t>
        </w:r>
        <w:r w:rsidR="004718C9">
          <w:rPr>
            <w:noProof/>
            <w:webHidden/>
          </w:rPr>
          <w:tab/>
        </w:r>
        <w:r w:rsidR="004718C9">
          <w:rPr>
            <w:noProof/>
            <w:webHidden/>
          </w:rPr>
          <w:fldChar w:fldCharType="begin"/>
        </w:r>
        <w:r w:rsidR="004718C9">
          <w:rPr>
            <w:noProof/>
            <w:webHidden/>
          </w:rPr>
          <w:instrText xml:space="preserve"> PAGEREF _Toc123734710 \h </w:instrText>
        </w:r>
        <w:r w:rsidR="004718C9">
          <w:rPr>
            <w:noProof/>
            <w:webHidden/>
          </w:rPr>
        </w:r>
        <w:r w:rsidR="004718C9">
          <w:rPr>
            <w:noProof/>
            <w:webHidden/>
          </w:rPr>
          <w:fldChar w:fldCharType="separate"/>
        </w:r>
        <w:r w:rsidR="004718C9">
          <w:rPr>
            <w:noProof/>
            <w:webHidden/>
          </w:rPr>
          <w:t>64</w:t>
        </w:r>
        <w:r w:rsidR="004718C9">
          <w:rPr>
            <w:noProof/>
            <w:webHidden/>
          </w:rPr>
          <w:fldChar w:fldCharType="end"/>
        </w:r>
      </w:hyperlink>
    </w:p>
    <w:p w14:paraId="5A133B99" w14:textId="3EA7A5A2" w:rsidR="004718C9" w:rsidRDefault="00000000">
      <w:pPr>
        <w:pStyle w:val="TOC2"/>
        <w:rPr>
          <w:rFonts w:eastAsiaTheme="minorEastAsia" w:cstheme="minorBidi"/>
          <w:noProof/>
          <w:kern w:val="0"/>
          <w:sz w:val="22"/>
          <w:lang w:eastAsia="en-AU"/>
        </w:rPr>
      </w:pPr>
      <w:hyperlink w:anchor="_Toc123734711" w:history="1">
        <w:r w:rsidR="004718C9" w:rsidRPr="009C3BC9">
          <w:rPr>
            <w:rStyle w:val="Hyperlink"/>
            <w:noProof/>
          </w:rPr>
          <w:t>6.1.</w:t>
        </w:r>
        <w:r w:rsidR="004718C9">
          <w:rPr>
            <w:rFonts w:eastAsiaTheme="minorEastAsia" w:cstheme="minorBidi"/>
            <w:noProof/>
            <w:kern w:val="0"/>
            <w:sz w:val="22"/>
            <w:lang w:eastAsia="en-AU"/>
          </w:rPr>
          <w:tab/>
        </w:r>
        <w:r w:rsidR="004718C9" w:rsidRPr="009C3BC9">
          <w:rPr>
            <w:rStyle w:val="Hyperlink"/>
            <w:noProof/>
          </w:rPr>
          <w:t>Short-term outcomes – enabling customers along the business development journey</w:t>
        </w:r>
        <w:r w:rsidR="004718C9">
          <w:rPr>
            <w:noProof/>
            <w:webHidden/>
          </w:rPr>
          <w:tab/>
        </w:r>
        <w:r w:rsidR="004718C9">
          <w:rPr>
            <w:noProof/>
            <w:webHidden/>
          </w:rPr>
          <w:fldChar w:fldCharType="begin"/>
        </w:r>
        <w:r w:rsidR="004718C9">
          <w:rPr>
            <w:noProof/>
            <w:webHidden/>
          </w:rPr>
          <w:instrText xml:space="preserve"> PAGEREF _Toc123734711 \h </w:instrText>
        </w:r>
        <w:r w:rsidR="004718C9">
          <w:rPr>
            <w:noProof/>
            <w:webHidden/>
          </w:rPr>
        </w:r>
        <w:r w:rsidR="004718C9">
          <w:rPr>
            <w:noProof/>
            <w:webHidden/>
          </w:rPr>
          <w:fldChar w:fldCharType="separate"/>
        </w:r>
        <w:r w:rsidR="004718C9">
          <w:rPr>
            <w:noProof/>
            <w:webHidden/>
          </w:rPr>
          <w:t>65</w:t>
        </w:r>
        <w:r w:rsidR="004718C9">
          <w:rPr>
            <w:noProof/>
            <w:webHidden/>
          </w:rPr>
          <w:fldChar w:fldCharType="end"/>
        </w:r>
      </w:hyperlink>
    </w:p>
    <w:p w14:paraId="2EE22FC1" w14:textId="08BF088A" w:rsidR="004718C9" w:rsidRDefault="00000000">
      <w:pPr>
        <w:pStyle w:val="TOC2"/>
        <w:rPr>
          <w:rFonts w:eastAsiaTheme="minorEastAsia" w:cstheme="minorBidi"/>
          <w:noProof/>
          <w:kern w:val="0"/>
          <w:sz w:val="22"/>
          <w:lang w:eastAsia="en-AU"/>
        </w:rPr>
      </w:pPr>
      <w:hyperlink w:anchor="_Toc123734712" w:history="1">
        <w:r w:rsidR="004718C9" w:rsidRPr="009C3BC9">
          <w:rPr>
            <w:rStyle w:val="Hyperlink"/>
            <w:noProof/>
          </w:rPr>
          <w:t>6.2.</w:t>
        </w:r>
        <w:r w:rsidR="004718C9">
          <w:rPr>
            <w:rFonts w:eastAsiaTheme="minorEastAsia" w:cstheme="minorBidi"/>
            <w:noProof/>
            <w:kern w:val="0"/>
            <w:sz w:val="22"/>
            <w:lang w:eastAsia="en-AU"/>
          </w:rPr>
          <w:tab/>
        </w:r>
        <w:r w:rsidR="004718C9" w:rsidRPr="009C3BC9">
          <w:rPr>
            <w:rStyle w:val="Hyperlink"/>
            <w:noProof/>
          </w:rPr>
          <w:t>Medium-term outcomes – sustaining business viability</w:t>
        </w:r>
        <w:r w:rsidR="004718C9">
          <w:rPr>
            <w:noProof/>
            <w:webHidden/>
          </w:rPr>
          <w:tab/>
        </w:r>
        <w:r w:rsidR="004718C9">
          <w:rPr>
            <w:noProof/>
            <w:webHidden/>
          </w:rPr>
          <w:fldChar w:fldCharType="begin"/>
        </w:r>
        <w:r w:rsidR="004718C9">
          <w:rPr>
            <w:noProof/>
            <w:webHidden/>
          </w:rPr>
          <w:instrText xml:space="preserve"> PAGEREF _Toc123734712 \h </w:instrText>
        </w:r>
        <w:r w:rsidR="004718C9">
          <w:rPr>
            <w:noProof/>
            <w:webHidden/>
          </w:rPr>
        </w:r>
        <w:r w:rsidR="004718C9">
          <w:rPr>
            <w:noProof/>
            <w:webHidden/>
          </w:rPr>
          <w:fldChar w:fldCharType="separate"/>
        </w:r>
        <w:r w:rsidR="004718C9">
          <w:rPr>
            <w:noProof/>
            <w:webHidden/>
          </w:rPr>
          <w:t>73</w:t>
        </w:r>
        <w:r w:rsidR="004718C9">
          <w:rPr>
            <w:noProof/>
            <w:webHidden/>
          </w:rPr>
          <w:fldChar w:fldCharType="end"/>
        </w:r>
      </w:hyperlink>
    </w:p>
    <w:p w14:paraId="364ECA6B" w14:textId="4C9AB44C" w:rsidR="004718C9" w:rsidRDefault="00000000">
      <w:pPr>
        <w:pStyle w:val="TOC2"/>
        <w:rPr>
          <w:rFonts w:eastAsiaTheme="minorEastAsia" w:cstheme="minorBidi"/>
          <w:noProof/>
          <w:kern w:val="0"/>
          <w:sz w:val="22"/>
          <w:lang w:eastAsia="en-AU"/>
        </w:rPr>
      </w:pPr>
      <w:hyperlink w:anchor="_Toc123734713" w:history="1">
        <w:r w:rsidR="004718C9" w:rsidRPr="009C3BC9">
          <w:rPr>
            <w:rStyle w:val="Hyperlink"/>
            <w:noProof/>
          </w:rPr>
          <w:t>6.3.</w:t>
        </w:r>
        <w:r w:rsidR="004718C9">
          <w:rPr>
            <w:rFonts w:eastAsiaTheme="minorEastAsia" w:cstheme="minorBidi"/>
            <w:noProof/>
            <w:kern w:val="0"/>
            <w:sz w:val="22"/>
            <w:lang w:eastAsia="en-AU"/>
          </w:rPr>
          <w:tab/>
        </w:r>
        <w:r w:rsidR="004718C9" w:rsidRPr="009C3BC9">
          <w:rPr>
            <w:rStyle w:val="Hyperlink"/>
            <w:noProof/>
          </w:rPr>
          <w:t>Long-term outcomes – contributing to the overall business sector and creating broader benefits</w:t>
        </w:r>
        <w:r w:rsidR="004718C9">
          <w:rPr>
            <w:noProof/>
            <w:webHidden/>
          </w:rPr>
          <w:tab/>
        </w:r>
        <w:r w:rsidR="004718C9">
          <w:rPr>
            <w:noProof/>
            <w:webHidden/>
          </w:rPr>
          <w:fldChar w:fldCharType="begin"/>
        </w:r>
        <w:r w:rsidR="004718C9">
          <w:rPr>
            <w:noProof/>
            <w:webHidden/>
          </w:rPr>
          <w:instrText xml:space="preserve"> PAGEREF _Toc123734713 \h </w:instrText>
        </w:r>
        <w:r w:rsidR="004718C9">
          <w:rPr>
            <w:noProof/>
            <w:webHidden/>
          </w:rPr>
        </w:r>
        <w:r w:rsidR="004718C9">
          <w:rPr>
            <w:noProof/>
            <w:webHidden/>
          </w:rPr>
          <w:fldChar w:fldCharType="separate"/>
        </w:r>
        <w:r w:rsidR="004718C9">
          <w:rPr>
            <w:noProof/>
            <w:webHidden/>
          </w:rPr>
          <w:t>76</w:t>
        </w:r>
        <w:r w:rsidR="004718C9">
          <w:rPr>
            <w:noProof/>
            <w:webHidden/>
          </w:rPr>
          <w:fldChar w:fldCharType="end"/>
        </w:r>
      </w:hyperlink>
    </w:p>
    <w:p w14:paraId="07B83368" w14:textId="33A07299" w:rsidR="004718C9" w:rsidRDefault="00000000">
      <w:pPr>
        <w:pStyle w:val="TOC1"/>
        <w:tabs>
          <w:tab w:val="left" w:pos="440"/>
        </w:tabs>
        <w:rPr>
          <w:rFonts w:eastAsiaTheme="minorEastAsia" w:cstheme="minorBidi"/>
          <w:noProof/>
          <w:kern w:val="0"/>
          <w:sz w:val="22"/>
          <w:lang w:eastAsia="en-AU"/>
        </w:rPr>
      </w:pPr>
      <w:hyperlink w:anchor="_Toc123734714" w:history="1">
        <w:r w:rsidR="004718C9" w:rsidRPr="009C3BC9">
          <w:rPr>
            <w:rStyle w:val="Hyperlink"/>
            <w:noProof/>
          </w:rPr>
          <w:t>7.</w:t>
        </w:r>
        <w:r w:rsidR="004718C9">
          <w:rPr>
            <w:rFonts w:eastAsiaTheme="minorEastAsia" w:cstheme="minorBidi"/>
            <w:noProof/>
            <w:kern w:val="0"/>
            <w:sz w:val="22"/>
            <w:lang w:eastAsia="en-AU"/>
          </w:rPr>
          <w:tab/>
        </w:r>
        <w:r w:rsidR="004718C9" w:rsidRPr="009C3BC9">
          <w:rPr>
            <w:rStyle w:val="Hyperlink"/>
            <w:noProof/>
          </w:rPr>
          <w:t>Core values/strength-based approach to program delivery</w:t>
        </w:r>
        <w:r w:rsidR="004718C9">
          <w:rPr>
            <w:noProof/>
            <w:webHidden/>
          </w:rPr>
          <w:tab/>
        </w:r>
        <w:r w:rsidR="004718C9">
          <w:rPr>
            <w:noProof/>
            <w:webHidden/>
          </w:rPr>
          <w:fldChar w:fldCharType="begin"/>
        </w:r>
        <w:r w:rsidR="004718C9">
          <w:rPr>
            <w:noProof/>
            <w:webHidden/>
          </w:rPr>
          <w:instrText xml:space="preserve"> PAGEREF _Toc123734714 \h </w:instrText>
        </w:r>
        <w:r w:rsidR="004718C9">
          <w:rPr>
            <w:noProof/>
            <w:webHidden/>
          </w:rPr>
        </w:r>
        <w:r w:rsidR="004718C9">
          <w:rPr>
            <w:noProof/>
            <w:webHidden/>
          </w:rPr>
          <w:fldChar w:fldCharType="separate"/>
        </w:r>
        <w:r w:rsidR="004718C9">
          <w:rPr>
            <w:noProof/>
            <w:webHidden/>
          </w:rPr>
          <w:t>80</w:t>
        </w:r>
        <w:r w:rsidR="004718C9">
          <w:rPr>
            <w:noProof/>
            <w:webHidden/>
          </w:rPr>
          <w:fldChar w:fldCharType="end"/>
        </w:r>
      </w:hyperlink>
    </w:p>
    <w:p w14:paraId="4098C9AA" w14:textId="50627E12" w:rsidR="004718C9" w:rsidRDefault="00000000">
      <w:pPr>
        <w:pStyle w:val="TOC2"/>
        <w:rPr>
          <w:rFonts w:eastAsiaTheme="minorEastAsia" w:cstheme="minorBidi"/>
          <w:noProof/>
          <w:kern w:val="0"/>
          <w:sz w:val="22"/>
          <w:lang w:eastAsia="en-AU"/>
        </w:rPr>
      </w:pPr>
      <w:hyperlink w:anchor="_Toc123734715" w:history="1">
        <w:r w:rsidR="004718C9" w:rsidRPr="009C3BC9">
          <w:rPr>
            <w:rStyle w:val="Hyperlink"/>
            <w:noProof/>
          </w:rPr>
          <w:t>7.1.</w:t>
        </w:r>
        <w:r w:rsidR="004718C9">
          <w:rPr>
            <w:rFonts w:eastAsiaTheme="minorEastAsia" w:cstheme="minorBidi"/>
            <w:noProof/>
            <w:kern w:val="0"/>
            <w:sz w:val="22"/>
            <w:lang w:eastAsia="en-AU"/>
          </w:rPr>
          <w:tab/>
        </w:r>
        <w:r w:rsidR="004718C9" w:rsidRPr="009C3BC9">
          <w:rPr>
            <w:rStyle w:val="Hyperlink"/>
            <w:noProof/>
          </w:rPr>
          <w:t>Build on strengths to make positive contributions to the lives of Indigenous Australians</w:t>
        </w:r>
        <w:r w:rsidR="004718C9">
          <w:rPr>
            <w:noProof/>
            <w:webHidden/>
          </w:rPr>
          <w:tab/>
        </w:r>
        <w:r w:rsidR="004718C9">
          <w:rPr>
            <w:noProof/>
            <w:webHidden/>
          </w:rPr>
          <w:fldChar w:fldCharType="begin"/>
        </w:r>
        <w:r w:rsidR="004718C9">
          <w:rPr>
            <w:noProof/>
            <w:webHidden/>
          </w:rPr>
          <w:instrText xml:space="preserve"> PAGEREF _Toc123734715 \h </w:instrText>
        </w:r>
        <w:r w:rsidR="004718C9">
          <w:rPr>
            <w:noProof/>
            <w:webHidden/>
          </w:rPr>
        </w:r>
        <w:r w:rsidR="004718C9">
          <w:rPr>
            <w:noProof/>
            <w:webHidden/>
          </w:rPr>
          <w:fldChar w:fldCharType="separate"/>
        </w:r>
        <w:r w:rsidR="004718C9">
          <w:rPr>
            <w:noProof/>
            <w:webHidden/>
          </w:rPr>
          <w:t>81</w:t>
        </w:r>
        <w:r w:rsidR="004718C9">
          <w:rPr>
            <w:noProof/>
            <w:webHidden/>
          </w:rPr>
          <w:fldChar w:fldCharType="end"/>
        </w:r>
      </w:hyperlink>
    </w:p>
    <w:p w14:paraId="407D5108" w14:textId="1748695E" w:rsidR="004718C9" w:rsidRDefault="00000000">
      <w:pPr>
        <w:pStyle w:val="TOC2"/>
        <w:rPr>
          <w:rFonts w:eastAsiaTheme="minorEastAsia" w:cstheme="minorBidi"/>
          <w:noProof/>
          <w:kern w:val="0"/>
          <w:sz w:val="22"/>
          <w:lang w:eastAsia="en-AU"/>
        </w:rPr>
      </w:pPr>
      <w:hyperlink w:anchor="_Toc123734716" w:history="1">
        <w:r w:rsidR="004718C9" w:rsidRPr="009C3BC9">
          <w:rPr>
            <w:rStyle w:val="Hyperlink"/>
            <w:noProof/>
          </w:rPr>
          <w:t>7.2.</w:t>
        </w:r>
        <w:r w:rsidR="004718C9">
          <w:rPr>
            <w:rFonts w:eastAsiaTheme="minorEastAsia" w:cstheme="minorBidi"/>
            <w:noProof/>
            <w:kern w:val="0"/>
            <w:sz w:val="22"/>
            <w:lang w:eastAsia="en-AU"/>
          </w:rPr>
          <w:tab/>
        </w:r>
        <w:r w:rsidR="004718C9" w:rsidRPr="009C3BC9">
          <w:rPr>
            <w:rStyle w:val="Hyperlink"/>
            <w:noProof/>
          </w:rPr>
          <w:t>Programs designed and delivered in collaboration</w:t>
        </w:r>
        <w:r w:rsidR="004718C9">
          <w:rPr>
            <w:noProof/>
            <w:webHidden/>
          </w:rPr>
          <w:tab/>
        </w:r>
        <w:r w:rsidR="004718C9">
          <w:rPr>
            <w:noProof/>
            <w:webHidden/>
          </w:rPr>
          <w:fldChar w:fldCharType="begin"/>
        </w:r>
        <w:r w:rsidR="004718C9">
          <w:rPr>
            <w:noProof/>
            <w:webHidden/>
          </w:rPr>
          <w:instrText xml:space="preserve"> PAGEREF _Toc123734716 \h </w:instrText>
        </w:r>
        <w:r w:rsidR="004718C9">
          <w:rPr>
            <w:noProof/>
            <w:webHidden/>
          </w:rPr>
        </w:r>
        <w:r w:rsidR="004718C9">
          <w:rPr>
            <w:noProof/>
            <w:webHidden/>
          </w:rPr>
          <w:fldChar w:fldCharType="separate"/>
        </w:r>
        <w:r w:rsidR="004718C9">
          <w:rPr>
            <w:noProof/>
            <w:webHidden/>
          </w:rPr>
          <w:t>82</w:t>
        </w:r>
        <w:r w:rsidR="004718C9">
          <w:rPr>
            <w:noProof/>
            <w:webHidden/>
          </w:rPr>
          <w:fldChar w:fldCharType="end"/>
        </w:r>
      </w:hyperlink>
    </w:p>
    <w:p w14:paraId="229A6451" w14:textId="02B63A8F" w:rsidR="004718C9" w:rsidRDefault="00000000">
      <w:pPr>
        <w:pStyle w:val="TOC2"/>
        <w:rPr>
          <w:rFonts w:eastAsiaTheme="minorEastAsia" w:cstheme="minorBidi"/>
          <w:noProof/>
          <w:kern w:val="0"/>
          <w:sz w:val="22"/>
          <w:lang w:eastAsia="en-AU"/>
        </w:rPr>
      </w:pPr>
      <w:hyperlink w:anchor="_Toc123734717" w:history="1">
        <w:r w:rsidR="004718C9" w:rsidRPr="009C3BC9">
          <w:rPr>
            <w:rStyle w:val="Hyperlink"/>
            <w:noProof/>
          </w:rPr>
          <w:t>7.3.</w:t>
        </w:r>
        <w:r w:rsidR="004718C9">
          <w:rPr>
            <w:rFonts w:eastAsiaTheme="minorEastAsia" w:cstheme="minorBidi"/>
            <w:noProof/>
            <w:kern w:val="0"/>
            <w:sz w:val="22"/>
            <w:lang w:eastAsia="en-AU"/>
          </w:rPr>
          <w:tab/>
        </w:r>
        <w:r w:rsidR="004718C9" w:rsidRPr="009C3BC9">
          <w:rPr>
            <w:rStyle w:val="Hyperlink"/>
            <w:noProof/>
          </w:rPr>
          <w:t>Demonstrate cultural respect toward Indigenous Australians</w:t>
        </w:r>
        <w:r w:rsidR="004718C9">
          <w:rPr>
            <w:noProof/>
            <w:webHidden/>
          </w:rPr>
          <w:tab/>
        </w:r>
        <w:r w:rsidR="004718C9">
          <w:rPr>
            <w:noProof/>
            <w:webHidden/>
          </w:rPr>
          <w:fldChar w:fldCharType="begin"/>
        </w:r>
        <w:r w:rsidR="004718C9">
          <w:rPr>
            <w:noProof/>
            <w:webHidden/>
          </w:rPr>
          <w:instrText xml:space="preserve"> PAGEREF _Toc123734717 \h </w:instrText>
        </w:r>
        <w:r w:rsidR="004718C9">
          <w:rPr>
            <w:noProof/>
            <w:webHidden/>
          </w:rPr>
        </w:r>
        <w:r w:rsidR="004718C9">
          <w:rPr>
            <w:noProof/>
            <w:webHidden/>
          </w:rPr>
          <w:fldChar w:fldCharType="separate"/>
        </w:r>
        <w:r w:rsidR="004718C9">
          <w:rPr>
            <w:noProof/>
            <w:webHidden/>
          </w:rPr>
          <w:t>82</w:t>
        </w:r>
        <w:r w:rsidR="004718C9">
          <w:rPr>
            <w:noProof/>
            <w:webHidden/>
          </w:rPr>
          <w:fldChar w:fldCharType="end"/>
        </w:r>
      </w:hyperlink>
    </w:p>
    <w:p w14:paraId="18074B0C" w14:textId="77267014" w:rsidR="004718C9" w:rsidRDefault="00000000">
      <w:pPr>
        <w:pStyle w:val="TOC1"/>
        <w:tabs>
          <w:tab w:val="left" w:pos="440"/>
        </w:tabs>
        <w:rPr>
          <w:rFonts w:eastAsiaTheme="minorEastAsia" w:cstheme="minorBidi"/>
          <w:noProof/>
          <w:kern w:val="0"/>
          <w:sz w:val="22"/>
          <w:lang w:eastAsia="en-AU"/>
        </w:rPr>
      </w:pPr>
      <w:hyperlink w:anchor="_Toc123734718" w:history="1">
        <w:r w:rsidR="004718C9" w:rsidRPr="009C3BC9">
          <w:rPr>
            <w:rStyle w:val="Hyperlink"/>
            <w:noProof/>
          </w:rPr>
          <w:t>8.</w:t>
        </w:r>
        <w:r w:rsidR="004718C9">
          <w:rPr>
            <w:rFonts w:eastAsiaTheme="minorEastAsia" w:cstheme="minorBidi"/>
            <w:noProof/>
            <w:kern w:val="0"/>
            <w:sz w:val="22"/>
            <w:lang w:eastAsia="en-AU"/>
          </w:rPr>
          <w:tab/>
        </w:r>
        <w:r w:rsidR="004718C9" w:rsidRPr="009C3BC9">
          <w:rPr>
            <w:rStyle w:val="Hyperlink"/>
            <w:noProof/>
          </w:rPr>
          <w:t>Future directions</w:t>
        </w:r>
        <w:r w:rsidR="004718C9">
          <w:rPr>
            <w:noProof/>
            <w:webHidden/>
          </w:rPr>
          <w:tab/>
        </w:r>
        <w:r w:rsidR="004718C9">
          <w:rPr>
            <w:noProof/>
            <w:webHidden/>
          </w:rPr>
          <w:fldChar w:fldCharType="begin"/>
        </w:r>
        <w:r w:rsidR="004718C9">
          <w:rPr>
            <w:noProof/>
            <w:webHidden/>
          </w:rPr>
          <w:instrText xml:space="preserve"> PAGEREF _Toc123734718 \h </w:instrText>
        </w:r>
        <w:r w:rsidR="004718C9">
          <w:rPr>
            <w:noProof/>
            <w:webHidden/>
          </w:rPr>
        </w:r>
        <w:r w:rsidR="004718C9">
          <w:rPr>
            <w:noProof/>
            <w:webHidden/>
          </w:rPr>
          <w:fldChar w:fldCharType="separate"/>
        </w:r>
        <w:r w:rsidR="004718C9">
          <w:rPr>
            <w:noProof/>
            <w:webHidden/>
          </w:rPr>
          <w:t>85</w:t>
        </w:r>
        <w:r w:rsidR="004718C9">
          <w:rPr>
            <w:noProof/>
            <w:webHidden/>
          </w:rPr>
          <w:fldChar w:fldCharType="end"/>
        </w:r>
      </w:hyperlink>
    </w:p>
    <w:p w14:paraId="6AD6DA1B" w14:textId="4E2D7A56" w:rsidR="004718C9" w:rsidRDefault="00000000">
      <w:pPr>
        <w:pStyle w:val="TOC2"/>
        <w:rPr>
          <w:rFonts w:eastAsiaTheme="minorEastAsia" w:cstheme="minorBidi"/>
          <w:noProof/>
          <w:kern w:val="0"/>
          <w:sz w:val="22"/>
          <w:lang w:eastAsia="en-AU"/>
        </w:rPr>
      </w:pPr>
      <w:hyperlink w:anchor="_Toc123734719" w:history="1">
        <w:r w:rsidR="004718C9" w:rsidRPr="009C3BC9">
          <w:rPr>
            <w:rStyle w:val="Hyperlink"/>
            <w:noProof/>
          </w:rPr>
          <w:t>8.1.</w:t>
        </w:r>
        <w:r w:rsidR="004718C9">
          <w:rPr>
            <w:rFonts w:eastAsiaTheme="minorEastAsia" w:cstheme="minorBidi"/>
            <w:noProof/>
            <w:kern w:val="0"/>
            <w:sz w:val="22"/>
            <w:lang w:eastAsia="en-AU"/>
          </w:rPr>
          <w:tab/>
        </w:r>
        <w:r w:rsidR="004718C9" w:rsidRPr="009C3BC9">
          <w:rPr>
            <w:rStyle w:val="Hyperlink"/>
            <w:noProof/>
          </w:rPr>
          <w:t>Closing the Gap Priority Reforms</w:t>
        </w:r>
        <w:r w:rsidR="004718C9">
          <w:rPr>
            <w:noProof/>
            <w:webHidden/>
          </w:rPr>
          <w:tab/>
        </w:r>
        <w:r w:rsidR="004718C9">
          <w:rPr>
            <w:noProof/>
            <w:webHidden/>
          </w:rPr>
          <w:fldChar w:fldCharType="begin"/>
        </w:r>
        <w:r w:rsidR="004718C9">
          <w:rPr>
            <w:noProof/>
            <w:webHidden/>
          </w:rPr>
          <w:instrText xml:space="preserve"> PAGEREF _Toc123734719 \h </w:instrText>
        </w:r>
        <w:r w:rsidR="004718C9">
          <w:rPr>
            <w:noProof/>
            <w:webHidden/>
          </w:rPr>
        </w:r>
        <w:r w:rsidR="004718C9">
          <w:rPr>
            <w:noProof/>
            <w:webHidden/>
          </w:rPr>
          <w:fldChar w:fldCharType="separate"/>
        </w:r>
        <w:r w:rsidR="004718C9">
          <w:rPr>
            <w:noProof/>
            <w:webHidden/>
          </w:rPr>
          <w:t>85</w:t>
        </w:r>
        <w:r w:rsidR="004718C9">
          <w:rPr>
            <w:noProof/>
            <w:webHidden/>
          </w:rPr>
          <w:fldChar w:fldCharType="end"/>
        </w:r>
      </w:hyperlink>
    </w:p>
    <w:p w14:paraId="4F7A3A57" w14:textId="41FBF641" w:rsidR="004718C9" w:rsidRDefault="00000000">
      <w:pPr>
        <w:pStyle w:val="TOC2"/>
        <w:rPr>
          <w:rFonts w:eastAsiaTheme="minorEastAsia" w:cstheme="minorBidi"/>
          <w:noProof/>
          <w:kern w:val="0"/>
          <w:sz w:val="22"/>
          <w:lang w:eastAsia="en-AU"/>
        </w:rPr>
      </w:pPr>
      <w:hyperlink w:anchor="_Toc123734720" w:history="1">
        <w:r w:rsidR="004718C9" w:rsidRPr="009C3BC9">
          <w:rPr>
            <w:rStyle w:val="Hyperlink"/>
            <w:noProof/>
          </w:rPr>
          <w:t>8.2.</w:t>
        </w:r>
        <w:r w:rsidR="004718C9">
          <w:rPr>
            <w:rFonts w:eastAsiaTheme="minorEastAsia" w:cstheme="minorBidi"/>
            <w:noProof/>
            <w:kern w:val="0"/>
            <w:sz w:val="22"/>
            <w:lang w:eastAsia="en-AU"/>
          </w:rPr>
          <w:tab/>
        </w:r>
        <w:r w:rsidR="004718C9" w:rsidRPr="009C3BC9">
          <w:rPr>
            <w:rStyle w:val="Hyperlink"/>
            <w:noProof/>
          </w:rPr>
          <w:t>Industry and stakeholder feedback</w:t>
        </w:r>
        <w:r w:rsidR="004718C9">
          <w:rPr>
            <w:noProof/>
            <w:webHidden/>
          </w:rPr>
          <w:tab/>
        </w:r>
        <w:r w:rsidR="004718C9">
          <w:rPr>
            <w:noProof/>
            <w:webHidden/>
          </w:rPr>
          <w:fldChar w:fldCharType="begin"/>
        </w:r>
        <w:r w:rsidR="004718C9">
          <w:rPr>
            <w:noProof/>
            <w:webHidden/>
          </w:rPr>
          <w:instrText xml:space="preserve"> PAGEREF _Toc123734720 \h </w:instrText>
        </w:r>
        <w:r w:rsidR="004718C9">
          <w:rPr>
            <w:noProof/>
            <w:webHidden/>
          </w:rPr>
        </w:r>
        <w:r w:rsidR="004718C9">
          <w:rPr>
            <w:noProof/>
            <w:webHidden/>
          </w:rPr>
          <w:fldChar w:fldCharType="separate"/>
        </w:r>
        <w:r w:rsidR="004718C9">
          <w:rPr>
            <w:noProof/>
            <w:webHidden/>
          </w:rPr>
          <w:t>87</w:t>
        </w:r>
        <w:r w:rsidR="004718C9">
          <w:rPr>
            <w:noProof/>
            <w:webHidden/>
          </w:rPr>
          <w:fldChar w:fldCharType="end"/>
        </w:r>
      </w:hyperlink>
    </w:p>
    <w:p w14:paraId="1F1CF140" w14:textId="2C207E71" w:rsidR="004718C9" w:rsidRDefault="00000000">
      <w:pPr>
        <w:pStyle w:val="TOC2"/>
        <w:rPr>
          <w:rFonts w:eastAsiaTheme="minorEastAsia" w:cstheme="minorBidi"/>
          <w:noProof/>
          <w:kern w:val="0"/>
          <w:sz w:val="22"/>
          <w:lang w:eastAsia="en-AU"/>
        </w:rPr>
      </w:pPr>
      <w:hyperlink w:anchor="_Toc123734721" w:history="1">
        <w:r w:rsidR="004718C9" w:rsidRPr="009C3BC9">
          <w:rPr>
            <w:rStyle w:val="Hyperlink"/>
            <w:noProof/>
          </w:rPr>
          <w:t>8.3.</w:t>
        </w:r>
        <w:r w:rsidR="004718C9">
          <w:rPr>
            <w:rFonts w:eastAsiaTheme="minorEastAsia" w:cstheme="minorBidi"/>
            <w:noProof/>
            <w:kern w:val="0"/>
            <w:sz w:val="22"/>
            <w:lang w:eastAsia="en-AU"/>
          </w:rPr>
          <w:tab/>
        </w:r>
        <w:r w:rsidR="004718C9" w:rsidRPr="009C3BC9">
          <w:rPr>
            <w:rStyle w:val="Hyperlink"/>
            <w:noProof/>
          </w:rPr>
          <w:t>BSP in a broader business context</w:t>
        </w:r>
        <w:r w:rsidR="004718C9">
          <w:rPr>
            <w:noProof/>
            <w:webHidden/>
          </w:rPr>
          <w:tab/>
        </w:r>
        <w:r w:rsidR="004718C9">
          <w:rPr>
            <w:noProof/>
            <w:webHidden/>
          </w:rPr>
          <w:fldChar w:fldCharType="begin"/>
        </w:r>
        <w:r w:rsidR="004718C9">
          <w:rPr>
            <w:noProof/>
            <w:webHidden/>
          </w:rPr>
          <w:instrText xml:space="preserve"> PAGEREF _Toc123734721 \h </w:instrText>
        </w:r>
        <w:r w:rsidR="004718C9">
          <w:rPr>
            <w:noProof/>
            <w:webHidden/>
          </w:rPr>
        </w:r>
        <w:r w:rsidR="004718C9">
          <w:rPr>
            <w:noProof/>
            <w:webHidden/>
          </w:rPr>
          <w:fldChar w:fldCharType="separate"/>
        </w:r>
        <w:r w:rsidR="004718C9">
          <w:rPr>
            <w:noProof/>
            <w:webHidden/>
          </w:rPr>
          <w:t>89</w:t>
        </w:r>
        <w:r w:rsidR="004718C9">
          <w:rPr>
            <w:noProof/>
            <w:webHidden/>
          </w:rPr>
          <w:fldChar w:fldCharType="end"/>
        </w:r>
      </w:hyperlink>
    </w:p>
    <w:p w14:paraId="345FEF54" w14:textId="01CFB9D2" w:rsidR="004718C9" w:rsidRDefault="00000000">
      <w:pPr>
        <w:pStyle w:val="TOC2"/>
        <w:rPr>
          <w:rFonts w:eastAsiaTheme="minorEastAsia" w:cstheme="minorBidi"/>
          <w:noProof/>
          <w:kern w:val="0"/>
          <w:sz w:val="22"/>
          <w:lang w:eastAsia="en-AU"/>
        </w:rPr>
      </w:pPr>
      <w:hyperlink w:anchor="_Toc123734722" w:history="1">
        <w:r w:rsidR="004718C9" w:rsidRPr="009C3BC9">
          <w:rPr>
            <w:rStyle w:val="Hyperlink"/>
            <w:noProof/>
          </w:rPr>
          <w:t>8.4.</w:t>
        </w:r>
        <w:r w:rsidR="004718C9">
          <w:rPr>
            <w:rFonts w:eastAsiaTheme="minorEastAsia" w:cstheme="minorBidi"/>
            <w:noProof/>
            <w:kern w:val="0"/>
            <w:sz w:val="22"/>
            <w:lang w:eastAsia="en-AU"/>
          </w:rPr>
          <w:tab/>
        </w:r>
        <w:r w:rsidR="004718C9" w:rsidRPr="009C3BC9">
          <w:rPr>
            <w:rStyle w:val="Hyperlink"/>
            <w:noProof/>
          </w:rPr>
          <w:t>Better integration of the BSP with other IBA business support offerings</w:t>
        </w:r>
        <w:r w:rsidR="004718C9">
          <w:rPr>
            <w:noProof/>
            <w:webHidden/>
          </w:rPr>
          <w:tab/>
        </w:r>
        <w:r w:rsidR="004718C9">
          <w:rPr>
            <w:noProof/>
            <w:webHidden/>
          </w:rPr>
          <w:fldChar w:fldCharType="begin"/>
        </w:r>
        <w:r w:rsidR="004718C9">
          <w:rPr>
            <w:noProof/>
            <w:webHidden/>
          </w:rPr>
          <w:instrText xml:space="preserve"> PAGEREF _Toc123734722 \h </w:instrText>
        </w:r>
        <w:r w:rsidR="004718C9">
          <w:rPr>
            <w:noProof/>
            <w:webHidden/>
          </w:rPr>
        </w:r>
        <w:r w:rsidR="004718C9">
          <w:rPr>
            <w:noProof/>
            <w:webHidden/>
          </w:rPr>
          <w:fldChar w:fldCharType="separate"/>
        </w:r>
        <w:r w:rsidR="004718C9">
          <w:rPr>
            <w:noProof/>
            <w:webHidden/>
          </w:rPr>
          <w:t>93</w:t>
        </w:r>
        <w:r w:rsidR="004718C9">
          <w:rPr>
            <w:noProof/>
            <w:webHidden/>
          </w:rPr>
          <w:fldChar w:fldCharType="end"/>
        </w:r>
      </w:hyperlink>
    </w:p>
    <w:p w14:paraId="5F6D4381" w14:textId="553FA828" w:rsidR="004718C9" w:rsidRDefault="00000000">
      <w:pPr>
        <w:pStyle w:val="TOC1"/>
        <w:rPr>
          <w:rFonts w:eastAsiaTheme="minorEastAsia" w:cstheme="minorBidi"/>
          <w:noProof/>
          <w:kern w:val="0"/>
          <w:sz w:val="22"/>
          <w:lang w:eastAsia="en-AU"/>
        </w:rPr>
      </w:pPr>
      <w:hyperlink w:anchor="_Toc123734723" w:history="1">
        <w:r w:rsidR="004718C9" w:rsidRPr="009C3BC9">
          <w:rPr>
            <w:rStyle w:val="Hyperlink"/>
            <w:noProof/>
          </w:rPr>
          <w:t>Appendix A: IBA governance framework</w:t>
        </w:r>
        <w:r w:rsidR="004718C9">
          <w:rPr>
            <w:noProof/>
            <w:webHidden/>
          </w:rPr>
          <w:tab/>
        </w:r>
        <w:r w:rsidR="004718C9">
          <w:rPr>
            <w:noProof/>
            <w:webHidden/>
          </w:rPr>
          <w:fldChar w:fldCharType="begin"/>
        </w:r>
        <w:r w:rsidR="004718C9">
          <w:rPr>
            <w:noProof/>
            <w:webHidden/>
          </w:rPr>
          <w:instrText xml:space="preserve"> PAGEREF _Toc123734723 \h </w:instrText>
        </w:r>
        <w:r w:rsidR="004718C9">
          <w:rPr>
            <w:noProof/>
            <w:webHidden/>
          </w:rPr>
        </w:r>
        <w:r w:rsidR="004718C9">
          <w:rPr>
            <w:noProof/>
            <w:webHidden/>
          </w:rPr>
          <w:fldChar w:fldCharType="separate"/>
        </w:r>
        <w:r w:rsidR="004718C9">
          <w:rPr>
            <w:noProof/>
            <w:webHidden/>
          </w:rPr>
          <w:t>96</w:t>
        </w:r>
        <w:r w:rsidR="004718C9">
          <w:rPr>
            <w:noProof/>
            <w:webHidden/>
          </w:rPr>
          <w:fldChar w:fldCharType="end"/>
        </w:r>
      </w:hyperlink>
    </w:p>
    <w:p w14:paraId="7DC38B78" w14:textId="0296533B" w:rsidR="004718C9" w:rsidRDefault="00000000">
      <w:pPr>
        <w:pStyle w:val="TOC1"/>
        <w:rPr>
          <w:rFonts w:eastAsiaTheme="minorEastAsia" w:cstheme="minorBidi"/>
          <w:noProof/>
          <w:kern w:val="0"/>
          <w:sz w:val="22"/>
          <w:lang w:eastAsia="en-AU"/>
        </w:rPr>
      </w:pPr>
      <w:hyperlink w:anchor="_Toc123734724" w:history="1">
        <w:r w:rsidR="004718C9" w:rsidRPr="009C3BC9">
          <w:rPr>
            <w:rStyle w:val="Hyperlink"/>
            <w:noProof/>
          </w:rPr>
          <w:t>Appendix B: The Indigenous Business Sector Strategy</w:t>
        </w:r>
        <w:r w:rsidR="004718C9">
          <w:rPr>
            <w:noProof/>
            <w:webHidden/>
          </w:rPr>
          <w:tab/>
        </w:r>
        <w:r w:rsidR="004718C9">
          <w:rPr>
            <w:noProof/>
            <w:webHidden/>
          </w:rPr>
          <w:fldChar w:fldCharType="begin"/>
        </w:r>
        <w:r w:rsidR="004718C9">
          <w:rPr>
            <w:noProof/>
            <w:webHidden/>
          </w:rPr>
          <w:instrText xml:space="preserve"> PAGEREF _Toc123734724 \h </w:instrText>
        </w:r>
        <w:r w:rsidR="004718C9">
          <w:rPr>
            <w:noProof/>
            <w:webHidden/>
          </w:rPr>
        </w:r>
        <w:r w:rsidR="004718C9">
          <w:rPr>
            <w:noProof/>
            <w:webHidden/>
          </w:rPr>
          <w:fldChar w:fldCharType="separate"/>
        </w:r>
        <w:r w:rsidR="004718C9">
          <w:rPr>
            <w:noProof/>
            <w:webHidden/>
          </w:rPr>
          <w:t>98</w:t>
        </w:r>
        <w:r w:rsidR="004718C9">
          <w:rPr>
            <w:noProof/>
            <w:webHidden/>
          </w:rPr>
          <w:fldChar w:fldCharType="end"/>
        </w:r>
      </w:hyperlink>
    </w:p>
    <w:p w14:paraId="51CA721B" w14:textId="15D29D8E" w:rsidR="004718C9" w:rsidRDefault="00000000">
      <w:pPr>
        <w:pStyle w:val="TOC1"/>
        <w:rPr>
          <w:rFonts w:eastAsiaTheme="minorEastAsia" w:cstheme="minorBidi"/>
          <w:noProof/>
          <w:kern w:val="0"/>
          <w:sz w:val="22"/>
          <w:lang w:eastAsia="en-AU"/>
        </w:rPr>
      </w:pPr>
      <w:hyperlink w:anchor="_Toc123734725" w:history="1">
        <w:r w:rsidR="004718C9" w:rsidRPr="009C3BC9">
          <w:rPr>
            <w:rStyle w:val="Hyperlink"/>
            <w:noProof/>
          </w:rPr>
          <w:t>Appendix C: Analytical and Evaluation Framework</w:t>
        </w:r>
        <w:r w:rsidR="004718C9">
          <w:rPr>
            <w:noProof/>
            <w:webHidden/>
          </w:rPr>
          <w:tab/>
        </w:r>
        <w:r w:rsidR="004718C9">
          <w:rPr>
            <w:noProof/>
            <w:webHidden/>
          </w:rPr>
          <w:fldChar w:fldCharType="begin"/>
        </w:r>
        <w:r w:rsidR="004718C9">
          <w:rPr>
            <w:noProof/>
            <w:webHidden/>
          </w:rPr>
          <w:instrText xml:space="preserve"> PAGEREF _Toc123734725 \h </w:instrText>
        </w:r>
        <w:r w:rsidR="004718C9">
          <w:rPr>
            <w:noProof/>
            <w:webHidden/>
          </w:rPr>
        </w:r>
        <w:r w:rsidR="004718C9">
          <w:rPr>
            <w:noProof/>
            <w:webHidden/>
          </w:rPr>
          <w:fldChar w:fldCharType="separate"/>
        </w:r>
        <w:r w:rsidR="004718C9">
          <w:rPr>
            <w:noProof/>
            <w:webHidden/>
          </w:rPr>
          <w:t>101</w:t>
        </w:r>
        <w:r w:rsidR="004718C9">
          <w:rPr>
            <w:noProof/>
            <w:webHidden/>
          </w:rPr>
          <w:fldChar w:fldCharType="end"/>
        </w:r>
      </w:hyperlink>
    </w:p>
    <w:p w14:paraId="5E8844DB" w14:textId="43DBB7E6" w:rsidR="004718C9" w:rsidRDefault="00000000">
      <w:pPr>
        <w:pStyle w:val="TOC1"/>
        <w:rPr>
          <w:rFonts w:eastAsiaTheme="minorEastAsia" w:cstheme="minorBidi"/>
          <w:noProof/>
          <w:kern w:val="0"/>
          <w:sz w:val="22"/>
          <w:lang w:eastAsia="en-AU"/>
        </w:rPr>
      </w:pPr>
      <w:hyperlink w:anchor="_Toc123734726" w:history="1">
        <w:r w:rsidR="004718C9" w:rsidRPr="009C3BC9">
          <w:rPr>
            <w:rStyle w:val="Hyperlink"/>
            <w:noProof/>
          </w:rPr>
          <w:t>Appendix D: BSP Theory of Change and Program Logic</w:t>
        </w:r>
        <w:r w:rsidR="004718C9">
          <w:rPr>
            <w:noProof/>
            <w:webHidden/>
          </w:rPr>
          <w:tab/>
        </w:r>
        <w:r w:rsidR="004718C9">
          <w:rPr>
            <w:noProof/>
            <w:webHidden/>
          </w:rPr>
          <w:fldChar w:fldCharType="begin"/>
        </w:r>
        <w:r w:rsidR="004718C9">
          <w:rPr>
            <w:noProof/>
            <w:webHidden/>
          </w:rPr>
          <w:instrText xml:space="preserve"> PAGEREF _Toc123734726 \h </w:instrText>
        </w:r>
        <w:r w:rsidR="004718C9">
          <w:rPr>
            <w:noProof/>
            <w:webHidden/>
          </w:rPr>
        </w:r>
        <w:r w:rsidR="004718C9">
          <w:rPr>
            <w:noProof/>
            <w:webHidden/>
          </w:rPr>
          <w:fldChar w:fldCharType="separate"/>
        </w:r>
        <w:r w:rsidR="004718C9">
          <w:rPr>
            <w:noProof/>
            <w:webHidden/>
          </w:rPr>
          <w:t>111</w:t>
        </w:r>
        <w:r w:rsidR="004718C9">
          <w:rPr>
            <w:noProof/>
            <w:webHidden/>
          </w:rPr>
          <w:fldChar w:fldCharType="end"/>
        </w:r>
      </w:hyperlink>
    </w:p>
    <w:p w14:paraId="2CC6779A" w14:textId="09AABC73" w:rsidR="004718C9" w:rsidRDefault="00000000">
      <w:pPr>
        <w:pStyle w:val="TOC1"/>
        <w:rPr>
          <w:rFonts w:eastAsiaTheme="minorEastAsia" w:cstheme="minorBidi"/>
          <w:noProof/>
          <w:kern w:val="0"/>
          <w:sz w:val="22"/>
          <w:lang w:eastAsia="en-AU"/>
        </w:rPr>
      </w:pPr>
      <w:hyperlink w:anchor="_Toc123734727" w:history="1">
        <w:r w:rsidR="004718C9" w:rsidRPr="009C3BC9">
          <w:rPr>
            <w:rStyle w:val="Hyperlink"/>
            <w:noProof/>
          </w:rPr>
          <w:t>Appendix E: Demographic data from surveys</w:t>
        </w:r>
        <w:r w:rsidR="004718C9">
          <w:rPr>
            <w:noProof/>
            <w:webHidden/>
          </w:rPr>
          <w:tab/>
        </w:r>
        <w:r w:rsidR="004718C9">
          <w:rPr>
            <w:noProof/>
            <w:webHidden/>
          </w:rPr>
          <w:fldChar w:fldCharType="begin"/>
        </w:r>
        <w:r w:rsidR="004718C9">
          <w:rPr>
            <w:noProof/>
            <w:webHidden/>
          </w:rPr>
          <w:instrText xml:space="preserve"> PAGEREF _Toc123734727 \h </w:instrText>
        </w:r>
        <w:r w:rsidR="004718C9">
          <w:rPr>
            <w:noProof/>
            <w:webHidden/>
          </w:rPr>
        </w:r>
        <w:r w:rsidR="004718C9">
          <w:rPr>
            <w:noProof/>
            <w:webHidden/>
          </w:rPr>
          <w:fldChar w:fldCharType="separate"/>
        </w:r>
        <w:r w:rsidR="004718C9">
          <w:rPr>
            <w:noProof/>
            <w:webHidden/>
          </w:rPr>
          <w:t>116</w:t>
        </w:r>
        <w:r w:rsidR="004718C9">
          <w:rPr>
            <w:noProof/>
            <w:webHidden/>
          </w:rPr>
          <w:fldChar w:fldCharType="end"/>
        </w:r>
      </w:hyperlink>
    </w:p>
    <w:p w14:paraId="54E713F4" w14:textId="50D960CC" w:rsidR="004718C9" w:rsidRDefault="00000000">
      <w:pPr>
        <w:pStyle w:val="TOC2"/>
        <w:rPr>
          <w:rFonts w:eastAsiaTheme="minorEastAsia" w:cstheme="minorBidi"/>
          <w:noProof/>
          <w:kern w:val="0"/>
          <w:sz w:val="22"/>
          <w:lang w:eastAsia="en-AU"/>
        </w:rPr>
      </w:pPr>
      <w:hyperlink w:anchor="_Toc123734728" w:history="1">
        <w:r w:rsidR="004718C9" w:rsidRPr="009C3BC9">
          <w:rPr>
            <w:rStyle w:val="Hyperlink"/>
            <w:noProof/>
          </w:rPr>
          <w:t>Indigenous Business Survey</w:t>
        </w:r>
        <w:r w:rsidR="004718C9">
          <w:rPr>
            <w:noProof/>
            <w:webHidden/>
          </w:rPr>
          <w:tab/>
        </w:r>
        <w:r w:rsidR="004718C9">
          <w:rPr>
            <w:noProof/>
            <w:webHidden/>
          </w:rPr>
          <w:fldChar w:fldCharType="begin"/>
        </w:r>
        <w:r w:rsidR="004718C9">
          <w:rPr>
            <w:noProof/>
            <w:webHidden/>
          </w:rPr>
          <w:instrText xml:space="preserve"> PAGEREF _Toc123734728 \h </w:instrText>
        </w:r>
        <w:r w:rsidR="004718C9">
          <w:rPr>
            <w:noProof/>
            <w:webHidden/>
          </w:rPr>
        </w:r>
        <w:r w:rsidR="004718C9">
          <w:rPr>
            <w:noProof/>
            <w:webHidden/>
          </w:rPr>
          <w:fldChar w:fldCharType="separate"/>
        </w:r>
        <w:r w:rsidR="004718C9">
          <w:rPr>
            <w:noProof/>
            <w:webHidden/>
          </w:rPr>
          <w:t>116</w:t>
        </w:r>
        <w:r w:rsidR="004718C9">
          <w:rPr>
            <w:noProof/>
            <w:webHidden/>
          </w:rPr>
          <w:fldChar w:fldCharType="end"/>
        </w:r>
      </w:hyperlink>
    </w:p>
    <w:p w14:paraId="3FF55CA5" w14:textId="054559D8" w:rsidR="004718C9" w:rsidRDefault="00000000">
      <w:pPr>
        <w:pStyle w:val="TOC2"/>
        <w:rPr>
          <w:rFonts w:eastAsiaTheme="minorEastAsia" w:cstheme="minorBidi"/>
          <w:noProof/>
          <w:kern w:val="0"/>
          <w:sz w:val="22"/>
          <w:lang w:eastAsia="en-AU"/>
        </w:rPr>
      </w:pPr>
      <w:hyperlink w:anchor="_Toc123734729" w:history="1">
        <w:r w:rsidR="004718C9" w:rsidRPr="009C3BC9">
          <w:rPr>
            <w:rStyle w:val="Hyperlink"/>
            <w:noProof/>
          </w:rPr>
          <w:t>Delivery Partner Survey</w:t>
        </w:r>
        <w:r w:rsidR="004718C9">
          <w:rPr>
            <w:noProof/>
            <w:webHidden/>
          </w:rPr>
          <w:tab/>
        </w:r>
        <w:r w:rsidR="004718C9">
          <w:rPr>
            <w:noProof/>
            <w:webHidden/>
          </w:rPr>
          <w:fldChar w:fldCharType="begin"/>
        </w:r>
        <w:r w:rsidR="004718C9">
          <w:rPr>
            <w:noProof/>
            <w:webHidden/>
          </w:rPr>
          <w:instrText xml:space="preserve"> PAGEREF _Toc123734729 \h </w:instrText>
        </w:r>
        <w:r w:rsidR="004718C9">
          <w:rPr>
            <w:noProof/>
            <w:webHidden/>
          </w:rPr>
        </w:r>
        <w:r w:rsidR="004718C9">
          <w:rPr>
            <w:noProof/>
            <w:webHidden/>
          </w:rPr>
          <w:fldChar w:fldCharType="separate"/>
        </w:r>
        <w:r w:rsidR="004718C9">
          <w:rPr>
            <w:noProof/>
            <w:webHidden/>
          </w:rPr>
          <w:t>120</w:t>
        </w:r>
        <w:r w:rsidR="004718C9">
          <w:rPr>
            <w:noProof/>
            <w:webHidden/>
          </w:rPr>
          <w:fldChar w:fldCharType="end"/>
        </w:r>
      </w:hyperlink>
    </w:p>
    <w:p w14:paraId="42EFFA16" w14:textId="6B0CC341" w:rsidR="004718C9" w:rsidRDefault="00000000">
      <w:pPr>
        <w:pStyle w:val="TOC1"/>
        <w:rPr>
          <w:rFonts w:eastAsiaTheme="minorEastAsia" w:cstheme="minorBidi"/>
          <w:noProof/>
          <w:kern w:val="0"/>
          <w:sz w:val="22"/>
          <w:lang w:eastAsia="en-AU"/>
        </w:rPr>
      </w:pPr>
      <w:hyperlink w:anchor="_Toc123734730" w:history="1">
        <w:r w:rsidR="004718C9" w:rsidRPr="009C3BC9">
          <w:rPr>
            <w:rStyle w:val="Hyperlink"/>
            <w:noProof/>
          </w:rPr>
          <w:t>Appendix F: BSP loans by industry</w:t>
        </w:r>
        <w:r w:rsidR="004718C9">
          <w:rPr>
            <w:noProof/>
            <w:webHidden/>
          </w:rPr>
          <w:tab/>
        </w:r>
        <w:r w:rsidR="004718C9">
          <w:rPr>
            <w:noProof/>
            <w:webHidden/>
          </w:rPr>
          <w:fldChar w:fldCharType="begin"/>
        </w:r>
        <w:r w:rsidR="004718C9">
          <w:rPr>
            <w:noProof/>
            <w:webHidden/>
          </w:rPr>
          <w:instrText xml:space="preserve"> PAGEREF _Toc123734730 \h </w:instrText>
        </w:r>
        <w:r w:rsidR="004718C9">
          <w:rPr>
            <w:noProof/>
            <w:webHidden/>
          </w:rPr>
        </w:r>
        <w:r w:rsidR="004718C9">
          <w:rPr>
            <w:noProof/>
            <w:webHidden/>
          </w:rPr>
          <w:fldChar w:fldCharType="separate"/>
        </w:r>
        <w:r w:rsidR="004718C9">
          <w:rPr>
            <w:noProof/>
            <w:webHidden/>
          </w:rPr>
          <w:t>121</w:t>
        </w:r>
        <w:r w:rsidR="004718C9">
          <w:rPr>
            <w:noProof/>
            <w:webHidden/>
          </w:rPr>
          <w:fldChar w:fldCharType="end"/>
        </w:r>
      </w:hyperlink>
    </w:p>
    <w:p w14:paraId="0B59F729" w14:textId="437CA118" w:rsidR="004718C9" w:rsidRDefault="00000000">
      <w:pPr>
        <w:pStyle w:val="TOC1"/>
        <w:rPr>
          <w:rFonts w:eastAsiaTheme="minorEastAsia" w:cstheme="minorBidi"/>
          <w:noProof/>
          <w:kern w:val="0"/>
          <w:sz w:val="22"/>
          <w:lang w:eastAsia="en-AU"/>
        </w:rPr>
      </w:pPr>
      <w:hyperlink w:anchor="_Toc123734731" w:history="1">
        <w:r w:rsidR="004718C9" w:rsidRPr="009C3BC9">
          <w:rPr>
            <w:rStyle w:val="Hyperlink"/>
            <w:noProof/>
          </w:rPr>
          <w:t>Appendix G: Overseas indigenous business support programs</w:t>
        </w:r>
        <w:r w:rsidR="004718C9">
          <w:rPr>
            <w:noProof/>
            <w:webHidden/>
          </w:rPr>
          <w:tab/>
        </w:r>
        <w:r w:rsidR="004718C9">
          <w:rPr>
            <w:noProof/>
            <w:webHidden/>
          </w:rPr>
          <w:fldChar w:fldCharType="begin"/>
        </w:r>
        <w:r w:rsidR="004718C9">
          <w:rPr>
            <w:noProof/>
            <w:webHidden/>
          </w:rPr>
          <w:instrText xml:space="preserve"> PAGEREF _Toc123734731 \h </w:instrText>
        </w:r>
        <w:r w:rsidR="004718C9">
          <w:rPr>
            <w:noProof/>
            <w:webHidden/>
          </w:rPr>
        </w:r>
        <w:r w:rsidR="004718C9">
          <w:rPr>
            <w:noProof/>
            <w:webHidden/>
          </w:rPr>
          <w:fldChar w:fldCharType="separate"/>
        </w:r>
        <w:r w:rsidR="004718C9">
          <w:rPr>
            <w:noProof/>
            <w:webHidden/>
          </w:rPr>
          <w:t>122</w:t>
        </w:r>
        <w:r w:rsidR="004718C9">
          <w:rPr>
            <w:noProof/>
            <w:webHidden/>
          </w:rPr>
          <w:fldChar w:fldCharType="end"/>
        </w:r>
      </w:hyperlink>
    </w:p>
    <w:p w14:paraId="029E8DAA" w14:textId="156B9938" w:rsidR="00423A65" w:rsidRPr="00FE73DE" w:rsidRDefault="00A906DB" w:rsidP="00423A65">
      <w:r w:rsidRPr="00FE73DE">
        <w:rPr>
          <w:kern w:val="10"/>
        </w:rPr>
        <w:fldChar w:fldCharType="end"/>
      </w:r>
    </w:p>
    <w:p w14:paraId="17AD53CE" w14:textId="77777777" w:rsidR="00423A65" w:rsidRPr="00FE73DE" w:rsidRDefault="00423A65" w:rsidP="00423A65">
      <w:pPr>
        <w:spacing w:after="200" w:line="276" w:lineRule="auto"/>
        <w:jc w:val="left"/>
      </w:pPr>
      <w:r w:rsidRPr="00FE73DE">
        <w:br w:type="page"/>
      </w:r>
    </w:p>
    <w:p w14:paraId="6F74BD48" w14:textId="2ED337DA" w:rsidR="00423A65" w:rsidRPr="00FE73DE" w:rsidRDefault="009B4818" w:rsidP="009C76D8">
      <w:pPr>
        <w:pStyle w:val="Heading1"/>
        <w:numPr>
          <w:ilvl w:val="0"/>
          <w:numId w:val="0"/>
        </w:numPr>
      </w:pPr>
      <w:bookmarkStart w:id="3" w:name="_Toc123734683"/>
      <w:r>
        <w:t>A</w:t>
      </w:r>
      <w:r w:rsidR="00423A65" w:rsidRPr="00FE73DE">
        <w:t>bbreviations</w:t>
      </w:r>
      <w:r w:rsidR="00C7682C" w:rsidRPr="00FE73DE">
        <w:t xml:space="preserve"> and glossary</w:t>
      </w:r>
      <w:r w:rsidR="00C12E49" w:rsidRPr="00FE73DE">
        <w:t xml:space="preserve"> of key terms</w:t>
      </w:r>
      <w:bookmarkEnd w:id="3"/>
    </w:p>
    <w:tbl>
      <w:tblPr>
        <w:tblStyle w:val="SustineoTableStyle1"/>
        <w:tblW w:w="0" w:type="auto"/>
        <w:tblLook w:val="0420" w:firstRow="1" w:lastRow="0" w:firstColumn="0" w:lastColumn="0" w:noHBand="0" w:noVBand="1"/>
      </w:tblPr>
      <w:tblGrid>
        <w:gridCol w:w="2263"/>
        <w:gridCol w:w="6627"/>
      </w:tblGrid>
      <w:tr w:rsidR="00426836" w:rsidRPr="00FE73DE" w14:paraId="1E6EB129" w14:textId="77777777" w:rsidTr="001B522B">
        <w:trPr>
          <w:cnfStyle w:val="100000000000" w:firstRow="1" w:lastRow="0" w:firstColumn="0" w:lastColumn="0" w:oddVBand="0" w:evenVBand="0" w:oddHBand="0" w:evenHBand="0" w:firstRowFirstColumn="0" w:firstRowLastColumn="0" w:lastRowFirstColumn="0" w:lastRowLastColumn="0"/>
          <w:tblHeader/>
        </w:trPr>
        <w:tc>
          <w:tcPr>
            <w:tcW w:w="2263" w:type="dxa"/>
          </w:tcPr>
          <w:p w14:paraId="6C8E73E1" w14:textId="77777777" w:rsidR="00423A65" w:rsidRPr="00FE73DE" w:rsidRDefault="00423A65" w:rsidP="00D03D0F">
            <w:pPr>
              <w:pStyle w:val="TableText"/>
            </w:pPr>
            <w:r w:rsidRPr="00FE73DE">
              <w:t>Acronym</w:t>
            </w:r>
          </w:p>
        </w:tc>
        <w:tc>
          <w:tcPr>
            <w:tcW w:w="6627" w:type="dxa"/>
          </w:tcPr>
          <w:p w14:paraId="30008157" w14:textId="77777777" w:rsidR="00423A65" w:rsidRPr="00FE73DE" w:rsidRDefault="00423A65" w:rsidP="00D03D0F">
            <w:pPr>
              <w:pStyle w:val="TableText"/>
            </w:pPr>
            <w:r w:rsidRPr="00FE73DE">
              <w:t>Description</w:t>
            </w:r>
          </w:p>
        </w:tc>
      </w:tr>
      <w:tr w:rsidR="007E584A" w:rsidRPr="00FE73DE" w14:paraId="530A186D" w14:textId="77777777" w:rsidTr="00276777">
        <w:tc>
          <w:tcPr>
            <w:tcW w:w="2263" w:type="dxa"/>
            <w:vAlign w:val="center"/>
          </w:tcPr>
          <w:p w14:paraId="1B9C34BB" w14:textId="78ACF3EF" w:rsidR="007E584A" w:rsidRPr="00FE73DE" w:rsidRDefault="007E584A" w:rsidP="00DD2782">
            <w:pPr>
              <w:pStyle w:val="TableText"/>
              <w:rPr>
                <w:rFonts w:ascii="Franklin Gothic Book" w:hAnsi="Franklin Gothic Book" w:cs="Calibri"/>
              </w:rPr>
            </w:pPr>
            <w:r>
              <w:rPr>
                <w:rFonts w:ascii="Franklin Gothic Book" w:hAnsi="Franklin Gothic Book" w:cs="Calibri"/>
              </w:rPr>
              <w:t>ABS</w:t>
            </w:r>
          </w:p>
        </w:tc>
        <w:tc>
          <w:tcPr>
            <w:tcW w:w="6627" w:type="dxa"/>
            <w:vAlign w:val="center"/>
          </w:tcPr>
          <w:p w14:paraId="529FAF04" w14:textId="67D17804" w:rsidR="007E584A" w:rsidRPr="00FE73DE" w:rsidRDefault="007E584A" w:rsidP="00DD2782">
            <w:pPr>
              <w:pStyle w:val="TableText"/>
              <w:rPr>
                <w:rFonts w:ascii="Franklin Gothic Book" w:hAnsi="Franklin Gothic Book" w:cs="Calibri"/>
              </w:rPr>
            </w:pPr>
            <w:r>
              <w:rPr>
                <w:rFonts w:ascii="Franklin Gothic Book" w:hAnsi="Franklin Gothic Book" w:cs="Calibri"/>
              </w:rPr>
              <w:t>Australian Bureau of Statistics</w:t>
            </w:r>
          </w:p>
        </w:tc>
      </w:tr>
      <w:tr w:rsidR="000C762D" w:rsidRPr="00FE73DE" w14:paraId="301B8BE0"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10ABC020" w14:textId="07EDE2B3" w:rsidR="000C762D" w:rsidRDefault="000C762D" w:rsidP="00DD2782">
            <w:pPr>
              <w:pStyle w:val="TableText"/>
              <w:rPr>
                <w:rFonts w:ascii="Franklin Gothic Book" w:hAnsi="Franklin Gothic Book" w:cs="Calibri"/>
              </w:rPr>
            </w:pPr>
            <w:r w:rsidRPr="00FE73DE">
              <w:t>AIATSIS</w:t>
            </w:r>
          </w:p>
        </w:tc>
        <w:tc>
          <w:tcPr>
            <w:tcW w:w="6627" w:type="dxa"/>
            <w:vAlign w:val="center"/>
          </w:tcPr>
          <w:p w14:paraId="27F654AF" w14:textId="406EF985" w:rsidR="000C762D" w:rsidRDefault="000C762D" w:rsidP="00DD2782">
            <w:pPr>
              <w:pStyle w:val="TableText"/>
              <w:rPr>
                <w:rFonts w:ascii="Franklin Gothic Book" w:hAnsi="Franklin Gothic Book" w:cs="Calibri"/>
              </w:rPr>
            </w:pPr>
            <w:r w:rsidRPr="00FE73DE">
              <w:t>Australian Institute of Aboriginal and Torres Strait Islander Studies</w:t>
            </w:r>
          </w:p>
        </w:tc>
      </w:tr>
      <w:tr w:rsidR="00426836" w:rsidRPr="00FE73DE" w14:paraId="49D62476" w14:textId="77777777" w:rsidTr="00276777">
        <w:tc>
          <w:tcPr>
            <w:tcW w:w="2263" w:type="dxa"/>
            <w:vAlign w:val="center"/>
          </w:tcPr>
          <w:p w14:paraId="178F4179" w14:textId="1C1A7DAF" w:rsidR="00DD2782" w:rsidRPr="00FE73DE" w:rsidRDefault="00DD2782" w:rsidP="00DD2782">
            <w:pPr>
              <w:pStyle w:val="TableText"/>
            </w:pPr>
            <w:r w:rsidRPr="00FE73DE">
              <w:rPr>
                <w:rFonts w:ascii="Franklin Gothic Book" w:hAnsi="Franklin Gothic Book" w:cs="Calibri"/>
              </w:rPr>
              <w:t>ANAO</w:t>
            </w:r>
          </w:p>
        </w:tc>
        <w:tc>
          <w:tcPr>
            <w:tcW w:w="6627" w:type="dxa"/>
            <w:vAlign w:val="center"/>
          </w:tcPr>
          <w:p w14:paraId="6DCF6EAF" w14:textId="0691C959" w:rsidR="00DD2782" w:rsidRPr="00FE73DE" w:rsidRDefault="00DD2782" w:rsidP="00DD2782">
            <w:pPr>
              <w:pStyle w:val="TableText"/>
            </w:pPr>
            <w:r w:rsidRPr="00FE73DE">
              <w:rPr>
                <w:rFonts w:ascii="Franklin Gothic Book" w:hAnsi="Franklin Gothic Book" w:cs="Calibri"/>
              </w:rPr>
              <w:t>Australian National Audit Office</w:t>
            </w:r>
          </w:p>
        </w:tc>
      </w:tr>
      <w:tr w:rsidR="00604866" w:rsidRPr="00FE73DE" w14:paraId="5787D0A3"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6654AA67" w14:textId="24941814" w:rsidR="00604866" w:rsidRPr="00FE73DE" w:rsidRDefault="00604866" w:rsidP="00DD2782">
            <w:pPr>
              <w:pStyle w:val="TableText"/>
              <w:rPr>
                <w:rFonts w:ascii="Franklin Gothic Book" w:hAnsi="Franklin Gothic Book" w:cs="Calibri"/>
              </w:rPr>
            </w:pPr>
            <w:r w:rsidRPr="00FE73DE">
              <w:t>ATSI Act</w:t>
            </w:r>
          </w:p>
        </w:tc>
        <w:tc>
          <w:tcPr>
            <w:tcW w:w="6627" w:type="dxa"/>
            <w:vAlign w:val="center"/>
          </w:tcPr>
          <w:p w14:paraId="591A0D94" w14:textId="300643D5" w:rsidR="00604866" w:rsidRPr="00FE73DE" w:rsidRDefault="00604866" w:rsidP="00DD2782">
            <w:pPr>
              <w:pStyle w:val="TableText"/>
              <w:rPr>
                <w:rFonts w:ascii="Franklin Gothic Book" w:hAnsi="Franklin Gothic Book" w:cs="Calibri"/>
              </w:rPr>
            </w:pPr>
            <w:r w:rsidRPr="00FE73DE">
              <w:rPr>
                <w:i/>
                <w:iCs/>
              </w:rPr>
              <w:t>Aboriginal and Torres Strait Islander Act 2005</w:t>
            </w:r>
          </w:p>
        </w:tc>
      </w:tr>
      <w:tr w:rsidR="00426836" w:rsidRPr="00FE73DE" w14:paraId="5135F9F6" w14:textId="77777777" w:rsidTr="00276777">
        <w:tc>
          <w:tcPr>
            <w:tcW w:w="2263" w:type="dxa"/>
            <w:vAlign w:val="center"/>
          </w:tcPr>
          <w:p w14:paraId="3410B86E" w14:textId="206C4B42" w:rsidR="002F0D08" w:rsidRPr="00FE73DE" w:rsidRDefault="002F0D08" w:rsidP="00DD2782">
            <w:pPr>
              <w:pStyle w:val="TableText"/>
              <w:rPr>
                <w:rFonts w:ascii="Franklin Gothic Book" w:hAnsi="Franklin Gothic Book" w:cs="Calibri"/>
              </w:rPr>
            </w:pPr>
            <w:r w:rsidRPr="00FE73DE">
              <w:rPr>
                <w:rFonts w:cs="Arial"/>
                <w:color w:val="000000"/>
              </w:rPr>
              <w:t>ATSIC</w:t>
            </w:r>
          </w:p>
        </w:tc>
        <w:tc>
          <w:tcPr>
            <w:tcW w:w="6627" w:type="dxa"/>
            <w:vAlign w:val="center"/>
          </w:tcPr>
          <w:p w14:paraId="00803320" w14:textId="2B7342AF" w:rsidR="002F0D08" w:rsidRPr="00FE73DE" w:rsidRDefault="002F0D08" w:rsidP="00DD2782">
            <w:pPr>
              <w:pStyle w:val="TableText"/>
              <w:rPr>
                <w:rFonts w:ascii="Franklin Gothic Book" w:hAnsi="Franklin Gothic Book" w:cs="Calibri"/>
              </w:rPr>
            </w:pPr>
            <w:r w:rsidRPr="00FE73DE">
              <w:rPr>
                <w:rFonts w:cs="Arial"/>
                <w:color w:val="000000"/>
              </w:rPr>
              <w:t xml:space="preserve">Aboriginal and Torres Strait Islander Commission </w:t>
            </w:r>
          </w:p>
        </w:tc>
      </w:tr>
      <w:tr w:rsidR="00474C7A" w:rsidRPr="00FE73DE" w14:paraId="6F02B9C3"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12411772" w14:textId="5ADB7AD4" w:rsidR="00474C7A" w:rsidRPr="00FE73DE" w:rsidRDefault="00474C7A" w:rsidP="00DD2782">
            <w:pPr>
              <w:pStyle w:val="TableText"/>
              <w:rPr>
                <w:rFonts w:cs="Arial"/>
                <w:color w:val="000000"/>
              </w:rPr>
            </w:pPr>
            <w:r w:rsidRPr="00FE73DE">
              <w:rPr>
                <w:rFonts w:cs="Arial"/>
                <w:color w:val="000000"/>
              </w:rPr>
              <w:t>BAU</w:t>
            </w:r>
          </w:p>
        </w:tc>
        <w:tc>
          <w:tcPr>
            <w:tcW w:w="6627" w:type="dxa"/>
            <w:vAlign w:val="center"/>
          </w:tcPr>
          <w:p w14:paraId="662D32CC" w14:textId="265B47CD" w:rsidR="00474C7A" w:rsidRPr="00FE73DE" w:rsidRDefault="00474C7A" w:rsidP="00DD2782">
            <w:pPr>
              <w:pStyle w:val="TableText"/>
              <w:rPr>
                <w:rFonts w:cs="Arial"/>
                <w:color w:val="000000"/>
              </w:rPr>
            </w:pPr>
            <w:r w:rsidRPr="00FE73DE">
              <w:rPr>
                <w:rFonts w:cs="Arial"/>
                <w:color w:val="000000"/>
              </w:rPr>
              <w:t>Business as Usual</w:t>
            </w:r>
          </w:p>
        </w:tc>
      </w:tr>
      <w:tr w:rsidR="00426836" w:rsidRPr="00FE73DE" w14:paraId="7DEA28CF" w14:textId="77777777" w:rsidTr="00276777">
        <w:tc>
          <w:tcPr>
            <w:tcW w:w="2263" w:type="dxa"/>
            <w:vAlign w:val="center"/>
          </w:tcPr>
          <w:p w14:paraId="521E78CF" w14:textId="3AFFAB98" w:rsidR="000D75EF" w:rsidRPr="00FE73DE" w:rsidRDefault="000D75EF" w:rsidP="00DD2782">
            <w:pPr>
              <w:pStyle w:val="TableText"/>
              <w:rPr>
                <w:rFonts w:cs="Arial"/>
                <w:color w:val="000000"/>
              </w:rPr>
            </w:pPr>
            <w:r w:rsidRPr="00FE73DE">
              <w:rPr>
                <w:rFonts w:cs="Arial"/>
                <w:color w:val="000000"/>
              </w:rPr>
              <w:t>BDAP</w:t>
            </w:r>
          </w:p>
        </w:tc>
        <w:tc>
          <w:tcPr>
            <w:tcW w:w="6627" w:type="dxa"/>
            <w:vAlign w:val="center"/>
          </w:tcPr>
          <w:p w14:paraId="760D790F" w14:textId="6F75367B" w:rsidR="000D75EF" w:rsidRPr="00FE73DE" w:rsidRDefault="000D75EF" w:rsidP="00DD2782">
            <w:pPr>
              <w:pStyle w:val="TableText"/>
              <w:rPr>
                <w:rFonts w:cs="Arial"/>
                <w:color w:val="000000"/>
              </w:rPr>
            </w:pPr>
            <w:r w:rsidRPr="00FE73DE">
              <w:t xml:space="preserve">Business Development and Assistance Program </w:t>
            </w:r>
          </w:p>
        </w:tc>
      </w:tr>
      <w:tr w:rsidR="00426836" w:rsidRPr="00FE73DE" w14:paraId="2087DDCF"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36875254" w14:textId="0C37ECAF" w:rsidR="007C2593" w:rsidRPr="00FE73DE" w:rsidRDefault="007C2593" w:rsidP="00DD2782">
            <w:pPr>
              <w:pStyle w:val="TableText"/>
              <w:rPr>
                <w:rFonts w:cs="Arial"/>
                <w:color w:val="000000"/>
              </w:rPr>
            </w:pPr>
            <w:r w:rsidRPr="00FE73DE">
              <w:rPr>
                <w:rFonts w:cs="Arial"/>
                <w:color w:val="000000"/>
              </w:rPr>
              <w:t>BDO</w:t>
            </w:r>
          </w:p>
        </w:tc>
        <w:tc>
          <w:tcPr>
            <w:tcW w:w="6627" w:type="dxa"/>
            <w:vAlign w:val="center"/>
          </w:tcPr>
          <w:p w14:paraId="006E3F87" w14:textId="5CC01752" w:rsidR="007C2593" w:rsidRPr="00FE73DE" w:rsidRDefault="007C2593" w:rsidP="00DD2782">
            <w:pPr>
              <w:pStyle w:val="TableText"/>
              <w:rPr>
                <w:rFonts w:cs="Arial"/>
                <w:color w:val="000000"/>
              </w:rPr>
            </w:pPr>
            <w:r w:rsidRPr="00FE73DE">
              <w:rPr>
                <w:rFonts w:cs="Arial"/>
                <w:color w:val="000000"/>
              </w:rPr>
              <w:t>IBA Business Development Officer</w:t>
            </w:r>
          </w:p>
        </w:tc>
      </w:tr>
      <w:tr w:rsidR="00426836" w:rsidRPr="00FE73DE" w14:paraId="6FF27289" w14:textId="77777777" w:rsidTr="00276777">
        <w:tc>
          <w:tcPr>
            <w:tcW w:w="2263" w:type="dxa"/>
            <w:vAlign w:val="center"/>
          </w:tcPr>
          <w:p w14:paraId="061E1C4C" w14:textId="49FF0E9C" w:rsidR="00DD2782" w:rsidRPr="00FE73DE" w:rsidRDefault="00DD2782" w:rsidP="00DD2782">
            <w:pPr>
              <w:pStyle w:val="TableText"/>
            </w:pPr>
            <w:r w:rsidRPr="00FE73DE">
              <w:rPr>
                <w:rFonts w:ascii="Franklin Gothic Book" w:hAnsi="Franklin Gothic Book" w:cs="Calibri"/>
                <w:color w:val="000000"/>
              </w:rPr>
              <w:t>BSP</w:t>
            </w:r>
          </w:p>
        </w:tc>
        <w:tc>
          <w:tcPr>
            <w:tcW w:w="6627" w:type="dxa"/>
            <w:vAlign w:val="center"/>
          </w:tcPr>
          <w:p w14:paraId="4C3031C7" w14:textId="15966607" w:rsidR="00DD2782" w:rsidRPr="00FE73DE" w:rsidRDefault="00DD2782" w:rsidP="00DD2782">
            <w:pPr>
              <w:pStyle w:val="TableText"/>
            </w:pPr>
            <w:r w:rsidRPr="00FE73DE">
              <w:rPr>
                <w:rFonts w:ascii="Franklin Gothic Book" w:hAnsi="Franklin Gothic Book" w:cs="Calibri"/>
                <w:color w:val="000000"/>
              </w:rPr>
              <w:t>Business Solutions Program</w:t>
            </w:r>
          </w:p>
        </w:tc>
      </w:tr>
      <w:tr w:rsidR="007F59CA" w:rsidRPr="00FE73DE" w14:paraId="462FE1E0"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10A2A257" w14:textId="743AD37B" w:rsidR="007F59CA" w:rsidRPr="00FE73DE" w:rsidRDefault="007F59CA" w:rsidP="00DD2782">
            <w:pPr>
              <w:pStyle w:val="TableText"/>
              <w:rPr>
                <w:rFonts w:ascii="Franklin Gothic Book" w:hAnsi="Franklin Gothic Book" w:cs="Calibri"/>
                <w:color w:val="000000"/>
              </w:rPr>
            </w:pPr>
            <w:r>
              <w:rPr>
                <w:rFonts w:ascii="Franklin Gothic Book" w:hAnsi="Franklin Gothic Book" w:cs="Calibri"/>
                <w:color w:val="000000"/>
              </w:rPr>
              <w:t>Business survivability</w:t>
            </w:r>
          </w:p>
        </w:tc>
        <w:tc>
          <w:tcPr>
            <w:tcW w:w="6627" w:type="dxa"/>
            <w:vAlign w:val="center"/>
          </w:tcPr>
          <w:p w14:paraId="4A3AA099" w14:textId="1673EBFC" w:rsidR="007F59CA" w:rsidRPr="00FE73DE" w:rsidRDefault="00DC209D" w:rsidP="00DD2782">
            <w:pPr>
              <w:pStyle w:val="TableText"/>
              <w:rPr>
                <w:rFonts w:ascii="Franklin Gothic Book" w:hAnsi="Franklin Gothic Book" w:cs="Calibri"/>
                <w:color w:val="000000"/>
              </w:rPr>
            </w:pPr>
            <w:r>
              <w:rPr>
                <w:szCs w:val="24"/>
              </w:rPr>
              <w:t>T</w:t>
            </w:r>
            <w:r w:rsidR="00D968B2" w:rsidRPr="00FE73DE">
              <w:rPr>
                <w:szCs w:val="24"/>
              </w:rPr>
              <w:t xml:space="preserve">he </w:t>
            </w:r>
            <w:r w:rsidR="00D968B2">
              <w:rPr>
                <w:szCs w:val="24"/>
              </w:rPr>
              <w:t xml:space="preserve">BSP </w:t>
            </w:r>
            <w:r>
              <w:rPr>
                <w:szCs w:val="24"/>
              </w:rPr>
              <w:t xml:space="preserve">grant agreement </w:t>
            </w:r>
            <w:r w:rsidR="00D968B2">
              <w:rPr>
                <w:szCs w:val="24"/>
              </w:rPr>
              <w:t xml:space="preserve">requires reporting on the level of </w:t>
            </w:r>
            <w:r w:rsidR="00D968B2" w:rsidRPr="00FE73DE">
              <w:rPr>
                <w:szCs w:val="24"/>
              </w:rPr>
              <w:t xml:space="preserve">business survivability over a </w:t>
            </w:r>
            <w:r w:rsidR="00D968B2">
              <w:rPr>
                <w:szCs w:val="24"/>
              </w:rPr>
              <w:t>four</w:t>
            </w:r>
            <w:r w:rsidR="00D968B2" w:rsidRPr="00FE73DE">
              <w:rPr>
                <w:szCs w:val="24"/>
              </w:rPr>
              <w:t>-year time horizon up to the given reporting period</w:t>
            </w:r>
            <w:r w:rsidR="00D968B2">
              <w:rPr>
                <w:szCs w:val="24"/>
              </w:rPr>
              <w:t xml:space="preserve">. </w:t>
            </w:r>
            <w:r w:rsidR="00D968B2" w:rsidRPr="00F33154">
              <w:rPr>
                <w:szCs w:val="24"/>
              </w:rPr>
              <w:t xml:space="preserve">Results are compared with data showing “survival rate by employment size” as published by the ABS in the most recent available version of: </w:t>
            </w:r>
            <w:r w:rsidR="00D968B2" w:rsidRPr="00F33154">
              <w:rPr>
                <w:i/>
                <w:iCs/>
                <w:szCs w:val="24"/>
              </w:rPr>
              <w:t>Cat no. 81650.01 Counts of Australian Businesses, including entry and exits</w:t>
            </w:r>
            <w:r w:rsidR="00D968B2" w:rsidRPr="00F33154">
              <w:rPr>
                <w:szCs w:val="24"/>
              </w:rPr>
              <w:t xml:space="preserve">. </w:t>
            </w:r>
          </w:p>
        </w:tc>
      </w:tr>
      <w:tr w:rsidR="00426836" w:rsidRPr="00FE73DE" w14:paraId="7B37F0A5" w14:textId="77777777" w:rsidTr="00276777">
        <w:tc>
          <w:tcPr>
            <w:tcW w:w="2263" w:type="dxa"/>
            <w:vAlign w:val="center"/>
          </w:tcPr>
          <w:p w14:paraId="2E2CD7D9" w14:textId="796BE0E5" w:rsidR="00DA4B83" w:rsidRPr="00FE73DE" w:rsidRDefault="00DA4B83" w:rsidP="00DD2782">
            <w:pPr>
              <w:pStyle w:val="TableText"/>
              <w:rPr>
                <w:rFonts w:ascii="Franklin Gothic Book" w:hAnsi="Franklin Gothic Book" w:cs="Calibri"/>
                <w:color w:val="000000"/>
              </w:rPr>
            </w:pPr>
            <w:r w:rsidRPr="00FE73DE">
              <w:rPr>
                <w:rFonts w:ascii="Franklin Gothic Book" w:hAnsi="Franklin Gothic Book" w:cs="Calibri"/>
                <w:color w:val="000000"/>
              </w:rPr>
              <w:t>CRM</w:t>
            </w:r>
          </w:p>
        </w:tc>
        <w:tc>
          <w:tcPr>
            <w:tcW w:w="6627" w:type="dxa"/>
            <w:vAlign w:val="center"/>
          </w:tcPr>
          <w:p w14:paraId="096177A7" w14:textId="46C2DA3B" w:rsidR="00DA4B83" w:rsidRPr="00FE73DE" w:rsidRDefault="00DA4B83" w:rsidP="00DD2782">
            <w:pPr>
              <w:pStyle w:val="TableText"/>
              <w:rPr>
                <w:rFonts w:ascii="Franklin Gothic Book" w:hAnsi="Franklin Gothic Book" w:cs="Calibri"/>
                <w:color w:val="000000"/>
              </w:rPr>
            </w:pPr>
            <w:r w:rsidRPr="00FE73DE">
              <w:t>Customer Relationship Management software system</w:t>
            </w:r>
            <w:r w:rsidR="00D678F3" w:rsidRPr="00FE73DE">
              <w:t>.</w:t>
            </w:r>
            <w:r w:rsidR="007F59CA">
              <w:t xml:space="preserve"> </w:t>
            </w:r>
          </w:p>
        </w:tc>
      </w:tr>
      <w:tr w:rsidR="00426836" w:rsidRPr="00FE73DE" w14:paraId="5FB153DE"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3741AA7E" w14:textId="2551BDB3" w:rsidR="00DD2782" w:rsidRPr="00FE73DE" w:rsidRDefault="00DD2782" w:rsidP="00DD2782">
            <w:pPr>
              <w:pStyle w:val="TableText"/>
            </w:pPr>
            <w:r w:rsidRPr="00FE73DE">
              <w:rPr>
                <w:rFonts w:ascii="Franklin Gothic Book" w:hAnsi="Franklin Gothic Book" w:cs="Calibri"/>
              </w:rPr>
              <w:t>Early</w:t>
            </w:r>
            <w:r w:rsidR="002534CF" w:rsidRPr="00FE73DE">
              <w:rPr>
                <w:rFonts w:ascii="Franklin Gothic Book" w:hAnsi="Franklin Gothic Book" w:cs="Calibri"/>
              </w:rPr>
              <w:t xml:space="preserve"> </w:t>
            </w:r>
            <w:r w:rsidRPr="00FE73DE">
              <w:rPr>
                <w:rFonts w:ascii="Franklin Gothic Book" w:hAnsi="Franklin Gothic Book" w:cs="Calibri"/>
              </w:rPr>
              <w:t xml:space="preserve">stage </w:t>
            </w:r>
            <w:r w:rsidR="00ED7FB1" w:rsidRPr="00FE73DE">
              <w:rPr>
                <w:rFonts w:ascii="Franklin Gothic Book" w:hAnsi="Franklin Gothic Book" w:cs="Calibri"/>
              </w:rPr>
              <w:t>customer</w:t>
            </w:r>
            <w:r w:rsidRPr="00FE73DE">
              <w:rPr>
                <w:rFonts w:ascii="Franklin Gothic Book" w:hAnsi="Franklin Gothic Book" w:cs="Calibri"/>
              </w:rPr>
              <w:t xml:space="preserve">s </w:t>
            </w:r>
          </w:p>
        </w:tc>
        <w:tc>
          <w:tcPr>
            <w:tcW w:w="6627" w:type="dxa"/>
            <w:vAlign w:val="center"/>
          </w:tcPr>
          <w:p w14:paraId="6D3685A1" w14:textId="7780C7D4" w:rsidR="00DD2782" w:rsidRPr="00FE73DE" w:rsidRDefault="00DC209D" w:rsidP="00DD2782">
            <w:pPr>
              <w:pStyle w:val="TableText"/>
            </w:pPr>
            <w:r>
              <w:rPr>
                <w:rFonts w:ascii="Franklin Gothic Book" w:hAnsi="Franklin Gothic Book" w:cs="Calibri"/>
              </w:rPr>
              <w:t>The BSP grant agreement define e</w:t>
            </w:r>
            <w:r w:rsidR="00DD2782" w:rsidRPr="00FE73DE">
              <w:rPr>
                <w:rFonts w:ascii="Franklin Gothic Book" w:hAnsi="Franklin Gothic Book" w:cs="Calibri"/>
              </w:rPr>
              <w:t>arly</w:t>
            </w:r>
            <w:r w:rsidR="002534CF" w:rsidRPr="00FE73DE">
              <w:rPr>
                <w:rFonts w:ascii="Franklin Gothic Book" w:hAnsi="Franklin Gothic Book" w:cs="Calibri"/>
              </w:rPr>
              <w:t xml:space="preserve"> </w:t>
            </w:r>
            <w:r w:rsidR="00DD2782" w:rsidRPr="00FE73DE">
              <w:rPr>
                <w:rFonts w:ascii="Franklin Gothic Book" w:hAnsi="Franklin Gothic Book" w:cs="Calibri"/>
              </w:rPr>
              <w:t xml:space="preserve">stage </w:t>
            </w:r>
            <w:r w:rsidR="00ED7FB1" w:rsidRPr="00FE73DE">
              <w:rPr>
                <w:rFonts w:ascii="Franklin Gothic Book" w:hAnsi="Franklin Gothic Book" w:cs="Calibri"/>
              </w:rPr>
              <w:t>customer</w:t>
            </w:r>
            <w:r w:rsidR="00DD2782" w:rsidRPr="00FE73DE">
              <w:rPr>
                <w:rFonts w:ascii="Franklin Gothic Book" w:hAnsi="Franklin Gothic Book" w:cs="Calibri"/>
              </w:rPr>
              <w:t xml:space="preserve">s </w:t>
            </w:r>
            <w:r>
              <w:rPr>
                <w:rFonts w:ascii="Franklin Gothic Book" w:hAnsi="Franklin Gothic Book" w:cs="Calibri"/>
              </w:rPr>
              <w:t xml:space="preserve">as </w:t>
            </w:r>
            <w:r w:rsidR="00424C5D" w:rsidRPr="00FE73DE">
              <w:rPr>
                <w:rFonts w:ascii="Franklin Gothic Book" w:hAnsi="Franklin Gothic Book" w:cs="Calibri"/>
              </w:rPr>
              <w:t>IBA</w:t>
            </w:r>
            <w:r w:rsidR="00D678F3" w:rsidRPr="00FE73DE">
              <w:rPr>
                <w:rFonts w:ascii="Franklin Gothic Book" w:hAnsi="Franklin Gothic Book" w:cs="Calibri"/>
              </w:rPr>
              <w:t xml:space="preserve"> </w:t>
            </w:r>
            <w:r w:rsidR="00ED7FB1" w:rsidRPr="00FE73DE">
              <w:rPr>
                <w:rFonts w:ascii="Franklin Gothic Book" w:hAnsi="Franklin Gothic Book" w:cs="Calibri"/>
              </w:rPr>
              <w:t>customer</w:t>
            </w:r>
            <w:r w:rsidR="00DD2782" w:rsidRPr="00FE73DE">
              <w:rPr>
                <w:rFonts w:ascii="Franklin Gothic Book" w:hAnsi="Franklin Gothic Book" w:cs="Calibri"/>
              </w:rPr>
              <w:t xml:space="preserve">s whose business has been </w:t>
            </w:r>
            <w:r w:rsidR="00DD2782" w:rsidRPr="00FE73DE">
              <w:rPr>
                <w:rFonts w:ascii="Franklin Gothic Book" w:hAnsi="Franklin Gothic Book" w:cs="Calibri"/>
                <w:u w:val="single"/>
              </w:rPr>
              <w:t>operating</w:t>
            </w:r>
            <w:r w:rsidR="00DD2782" w:rsidRPr="00FE73DE">
              <w:rPr>
                <w:rFonts w:ascii="Franklin Gothic Book" w:hAnsi="Franklin Gothic Book" w:cs="Calibri"/>
              </w:rPr>
              <w:t xml:space="preserve"> for less than 24 months and includes </w:t>
            </w:r>
            <w:r w:rsidR="00ED7FB1" w:rsidRPr="00FE73DE">
              <w:rPr>
                <w:rFonts w:ascii="Franklin Gothic Book" w:hAnsi="Franklin Gothic Book" w:cs="Calibri"/>
              </w:rPr>
              <w:t>customer</w:t>
            </w:r>
            <w:r w:rsidR="00DD2782" w:rsidRPr="00FE73DE">
              <w:rPr>
                <w:rFonts w:ascii="Franklin Gothic Book" w:hAnsi="Franklin Gothic Book" w:cs="Calibri"/>
              </w:rPr>
              <w:t xml:space="preserve">s who have not yet started their business. </w:t>
            </w:r>
          </w:p>
        </w:tc>
      </w:tr>
      <w:tr w:rsidR="00E77CAB" w:rsidRPr="00FE73DE" w14:paraId="182D6BE7" w14:textId="77777777" w:rsidTr="00276777">
        <w:tc>
          <w:tcPr>
            <w:tcW w:w="2263" w:type="dxa"/>
            <w:vAlign w:val="center"/>
          </w:tcPr>
          <w:p w14:paraId="272870B7" w14:textId="6D0BCACF" w:rsidR="00E77CAB" w:rsidRPr="00FE73DE" w:rsidRDefault="00E77CAB" w:rsidP="00DD2782">
            <w:pPr>
              <w:pStyle w:val="TableText"/>
              <w:rPr>
                <w:rFonts w:ascii="Franklin Gothic Book" w:hAnsi="Franklin Gothic Book" w:cs="Calibri"/>
              </w:rPr>
            </w:pPr>
            <w:r>
              <w:rPr>
                <w:rFonts w:ascii="Franklin Gothic Book" w:hAnsi="Franklin Gothic Book" w:cs="Calibri"/>
              </w:rPr>
              <w:t>EOI</w:t>
            </w:r>
          </w:p>
        </w:tc>
        <w:tc>
          <w:tcPr>
            <w:tcW w:w="6627" w:type="dxa"/>
            <w:vAlign w:val="center"/>
          </w:tcPr>
          <w:p w14:paraId="5578D919" w14:textId="2CE6AF0C" w:rsidR="00E77CAB" w:rsidRPr="00FE73DE" w:rsidRDefault="00E77CAB" w:rsidP="00DD2782">
            <w:pPr>
              <w:pStyle w:val="TableText"/>
              <w:rPr>
                <w:rFonts w:ascii="Franklin Gothic Book" w:hAnsi="Franklin Gothic Book" w:cs="Calibri"/>
              </w:rPr>
            </w:pPr>
            <w:r>
              <w:rPr>
                <w:rFonts w:ascii="Franklin Gothic Book" w:hAnsi="Franklin Gothic Book" w:cs="Calibri"/>
              </w:rPr>
              <w:t>Expression of Interest</w:t>
            </w:r>
          </w:p>
        </w:tc>
      </w:tr>
      <w:tr w:rsidR="005C3630" w:rsidRPr="00FE73DE" w14:paraId="3EE934D5"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07892960" w14:textId="3CD377C3" w:rsidR="005C3630" w:rsidRDefault="005C3630" w:rsidP="00DD2782">
            <w:pPr>
              <w:pStyle w:val="TableText"/>
              <w:rPr>
                <w:rFonts w:ascii="Franklin Gothic Book" w:hAnsi="Franklin Gothic Book" w:cs="Calibri"/>
              </w:rPr>
            </w:pPr>
            <w:r w:rsidRPr="00FE73DE">
              <w:t>GERAIS</w:t>
            </w:r>
          </w:p>
        </w:tc>
        <w:tc>
          <w:tcPr>
            <w:tcW w:w="6627" w:type="dxa"/>
            <w:vAlign w:val="center"/>
          </w:tcPr>
          <w:p w14:paraId="3405004C" w14:textId="4A332D26" w:rsidR="005C3630" w:rsidRDefault="005C3630" w:rsidP="00DD2782">
            <w:pPr>
              <w:pStyle w:val="TableText"/>
              <w:rPr>
                <w:rFonts w:ascii="Franklin Gothic Book" w:hAnsi="Franklin Gothic Book" w:cs="Calibri"/>
              </w:rPr>
            </w:pPr>
            <w:r w:rsidRPr="00FE73DE">
              <w:rPr>
                <w:i/>
              </w:rPr>
              <w:t>Guidelines for Ethical Research in Australian Indigenous Studies</w:t>
            </w:r>
            <w:r w:rsidRPr="00FE73DE">
              <w:t xml:space="preserve"> </w:t>
            </w:r>
          </w:p>
        </w:tc>
      </w:tr>
      <w:tr w:rsidR="001A0DBF" w:rsidRPr="00FE73DE" w14:paraId="0D262F2C" w14:textId="77777777" w:rsidTr="00276777">
        <w:tc>
          <w:tcPr>
            <w:tcW w:w="2263" w:type="dxa"/>
            <w:vAlign w:val="center"/>
          </w:tcPr>
          <w:p w14:paraId="2533D05C" w14:textId="255453EC" w:rsidR="001A0DBF" w:rsidRPr="00FE73DE" w:rsidRDefault="001A0DBF" w:rsidP="00DD2782">
            <w:pPr>
              <w:pStyle w:val="TableText"/>
              <w:rPr>
                <w:rFonts w:ascii="Franklin Gothic Book" w:hAnsi="Franklin Gothic Book" w:cs="Calibri"/>
              </w:rPr>
            </w:pPr>
            <w:r w:rsidRPr="00FE73DE">
              <w:rPr>
                <w:rFonts w:ascii="Franklin Gothic Book" w:hAnsi="Franklin Gothic Book" w:cs="Calibri"/>
              </w:rPr>
              <w:t>higher-risk businesses</w:t>
            </w:r>
          </w:p>
        </w:tc>
        <w:tc>
          <w:tcPr>
            <w:tcW w:w="6627" w:type="dxa"/>
            <w:vAlign w:val="center"/>
          </w:tcPr>
          <w:p w14:paraId="4FCD2C38" w14:textId="02D4F678" w:rsidR="001A0DBF" w:rsidRPr="00FE73DE" w:rsidRDefault="00492625" w:rsidP="00DD2782">
            <w:pPr>
              <w:pStyle w:val="TableText"/>
              <w:rPr>
                <w:rFonts w:ascii="Franklin Gothic Book" w:hAnsi="Franklin Gothic Book" w:cs="Calibri"/>
              </w:rPr>
            </w:pPr>
            <w:r w:rsidRPr="00FE73DE">
              <w:rPr>
                <w:rFonts w:ascii="Franklin Gothic Book" w:hAnsi="Franklin Gothic Book" w:cs="Calibri"/>
              </w:rPr>
              <w:t>Under section 4</w:t>
            </w:r>
            <w:r w:rsidR="00DC209D">
              <w:rPr>
                <w:rFonts w:ascii="Franklin Gothic Book" w:hAnsi="Franklin Gothic Book" w:cs="Calibri"/>
              </w:rPr>
              <w:t xml:space="preserve"> of this report</w:t>
            </w:r>
            <w:r w:rsidRPr="00FE73DE">
              <w:rPr>
                <w:rFonts w:ascii="Franklin Gothic Book" w:hAnsi="Franklin Gothic Book" w:cs="Calibri"/>
              </w:rPr>
              <w:t xml:space="preserve">, the categorisation of loan customers as higher-risk businesses are the aggregated business loan customers assessed as </w:t>
            </w:r>
            <w:r w:rsidRPr="00FE73DE">
              <w:rPr>
                <w:szCs w:val="24"/>
              </w:rPr>
              <w:t xml:space="preserve">high, very high </w:t>
            </w:r>
            <w:r w:rsidR="007560EE" w:rsidRPr="00FE73DE">
              <w:rPr>
                <w:szCs w:val="24"/>
              </w:rPr>
              <w:t>and</w:t>
            </w:r>
            <w:r w:rsidRPr="00FE73DE">
              <w:rPr>
                <w:szCs w:val="24"/>
              </w:rPr>
              <w:t xml:space="preserve"> extreme risk against IBA’s risk matrix.</w:t>
            </w:r>
            <w:r w:rsidRPr="00FE73DE">
              <w:rPr>
                <w:rFonts w:ascii="Franklin Gothic Book" w:hAnsi="Franklin Gothic Book" w:cs="Calibri"/>
              </w:rPr>
              <w:t xml:space="preserve"> </w:t>
            </w:r>
          </w:p>
        </w:tc>
      </w:tr>
      <w:tr w:rsidR="00426836" w:rsidRPr="00FE73DE" w14:paraId="23FB7540"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30EB5885" w14:textId="4724BF0B" w:rsidR="00DD2782" w:rsidRPr="00FE73DE" w:rsidRDefault="00DD2782" w:rsidP="00DD2782">
            <w:pPr>
              <w:pStyle w:val="TableText"/>
            </w:pPr>
            <w:r w:rsidRPr="00FE73DE">
              <w:rPr>
                <w:rFonts w:ascii="Franklin Gothic Book" w:hAnsi="Franklin Gothic Book" w:cs="Calibri"/>
              </w:rPr>
              <w:t>IAS</w:t>
            </w:r>
          </w:p>
        </w:tc>
        <w:tc>
          <w:tcPr>
            <w:tcW w:w="6627" w:type="dxa"/>
            <w:vAlign w:val="center"/>
          </w:tcPr>
          <w:p w14:paraId="4FAFBD3C" w14:textId="6040EDB4" w:rsidR="00DD2782" w:rsidRPr="00FE73DE" w:rsidRDefault="00DD2782" w:rsidP="00DD2782">
            <w:pPr>
              <w:pStyle w:val="TableText"/>
            </w:pPr>
            <w:r w:rsidRPr="00FE73DE">
              <w:rPr>
                <w:rFonts w:ascii="Franklin Gothic Book" w:hAnsi="Franklin Gothic Book" w:cs="Calibri"/>
              </w:rPr>
              <w:t>Indigenous Advancement Strategy</w:t>
            </w:r>
          </w:p>
        </w:tc>
      </w:tr>
      <w:tr w:rsidR="00426836" w:rsidRPr="00FE73DE" w14:paraId="096182FC" w14:textId="77777777" w:rsidTr="00276777">
        <w:tc>
          <w:tcPr>
            <w:tcW w:w="2263" w:type="dxa"/>
            <w:vAlign w:val="center"/>
          </w:tcPr>
          <w:p w14:paraId="4BBF66AA" w14:textId="0DA705B4" w:rsidR="00D678F3" w:rsidRPr="00FE73DE" w:rsidRDefault="00D678F3" w:rsidP="00DD2782">
            <w:pPr>
              <w:pStyle w:val="TableText"/>
              <w:rPr>
                <w:rFonts w:ascii="Franklin Gothic Book" w:hAnsi="Franklin Gothic Book" w:cs="Calibri"/>
              </w:rPr>
            </w:pPr>
            <w:r w:rsidRPr="00FE73DE">
              <w:rPr>
                <w:rFonts w:ascii="Franklin Gothic Book" w:hAnsi="Franklin Gothic Book" w:cs="Calibri"/>
              </w:rPr>
              <w:t>IBA</w:t>
            </w:r>
          </w:p>
        </w:tc>
        <w:tc>
          <w:tcPr>
            <w:tcW w:w="6627" w:type="dxa"/>
            <w:vAlign w:val="center"/>
          </w:tcPr>
          <w:p w14:paraId="08D25DB4" w14:textId="61B5617D" w:rsidR="00D678F3" w:rsidRPr="00FE73DE" w:rsidRDefault="00D678F3" w:rsidP="00DD2782">
            <w:pPr>
              <w:pStyle w:val="TableText"/>
              <w:rPr>
                <w:rFonts w:ascii="Franklin Gothic Book" w:hAnsi="Franklin Gothic Book" w:cs="Calibri"/>
              </w:rPr>
            </w:pPr>
            <w:r w:rsidRPr="00FE73DE">
              <w:rPr>
                <w:rFonts w:ascii="Franklin Gothic Book" w:hAnsi="Franklin Gothic Book" w:cs="Calibri"/>
              </w:rPr>
              <w:t>Indigenous Business Australia</w:t>
            </w:r>
          </w:p>
        </w:tc>
      </w:tr>
      <w:tr w:rsidR="00426836" w:rsidRPr="00FE73DE" w14:paraId="6C414892"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35AA2F0B" w14:textId="64C59914" w:rsidR="008F2D93" w:rsidRPr="00FE73DE" w:rsidRDefault="008F2D93" w:rsidP="00DD2782">
            <w:pPr>
              <w:pStyle w:val="TableText"/>
              <w:rPr>
                <w:rFonts w:ascii="Franklin Gothic Book" w:hAnsi="Franklin Gothic Book" w:cs="Calibri"/>
              </w:rPr>
            </w:pPr>
            <w:r w:rsidRPr="00FE73DE">
              <w:t>IBRP</w:t>
            </w:r>
          </w:p>
        </w:tc>
        <w:tc>
          <w:tcPr>
            <w:tcW w:w="6627" w:type="dxa"/>
            <w:vAlign w:val="center"/>
          </w:tcPr>
          <w:p w14:paraId="5CDB8319" w14:textId="6797753B" w:rsidR="008F2D93" w:rsidRPr="00FE73DE" w:rsidRDefault="00097887" w:rsidP="00DD2782">
            <w:pPr>
              <w:pStyle w:val="TableText"/>
              <w:rPr>
                <w:rFonts w:ascii="Franklin Gothic Book" w:hAnsi="Franklin Gothic Book" w:cs="Calibri"/>
              </w:rPr>
            </w:pPr>
            <w:r w:rsidRPr="00FE73DE">
              <w:t xml:space="preserve">IBA </w:t>
            </w:r>
            <w:r w:rsidR="008F2D93" w:rsidRPr="00FE73DE">
              <w:t xml:space="preserve">COVID-19 Indigenous Business Relief Program </w:t>
            </w:r>
          </w:p>
        </w:tc>
      </w:tr>
      <w:tr w:rsidR="00426836" w:rsidRPr="00FE73DE" w14:paraId="0787407E" w14:textId="77777777" w:rsidTr="00276777">
        <w:tc>
          <w:tcPr>
            <w:tcW w:w="2263" w:type="dxa"/>
            <w:vAlign w:val="center"/>
          </w:tcPr>
          <w:p w14:paraId="1E35D45C" w14:textId="7E0443EF" w:rsidR="00DD2782" w:rsidRPr="00FE73DE" w:rsidRDefault="00DD2782" w:rsidP="00DD2782">
            <w:pPr>
              <w:pStyle w:val="TableText"/>
            </w:pPr>
            <w:r w:rsidRPr="00FE73DE">
              <w:rPr>
                <w:rFonts w:ascii="Franklin Gothic Book" w:hAnsi="Franklin Gothic Book" w:cs="Calibri"/>
                <w:color w:val="000000"/>
              </w:rPr>
              <w:t>IBSS</w:t>
            </w:r>
          </w:p>
        </w:tc>
        <w:tc>
          <w:tcPr>
            <w:tcW w:w="6627" w:type="dxa"/>
            <w:vAlign w:val="center"/>
          </w:tcPr>
          <w:p w14:paraId="12209881" w14:textId="4BB8D40E" w:rsidR="00DD2782" w:rsidRPr="00FE73DE" w:rsidRDefault="00DD2782" w:rsidP="00DD2782">
            <w:pPr>
              <w:pStyle w:val="TableText"/>
            </w:pPr>
            <w:r w:rsidRPr="00FE73DE">
              <w:rPr>
                <w:rFonts w:ascii="Franklin Gothic Book" w:hAnsi="Franklin Gothic Book" w:cs="Calibri"/>
                <w:color w:val="000000"/>
              </w:rPr>
              <w:t>Indigenous Business Sector Strategy 201</w:t>
            </w:r>
            <w:r w:rsidR="008557E8">
              <w:rPr>
                <w:rFonts w:ascii="Franklin Gothic Book" w:hAnsi="Franklin Gothic Book" w:cs="Calibri"/>
                <w:color w:val="000000"/>
              </w:rPr>
              <w:t>8–</w:t>
            </w:r>
            <w:r w:rsidRPr="00FE73DE">
              <w:rPr>
                <w:rFonts w:ascii="Franklin Gothic Book" w:hAnsi="Franklin Gothic Book" w:cs="Calibri"/>
                <w:color w:val="000000"/>
              </w:rPr>
              <w:t>2028</w:t>
            </w:r>
          </w:p>
        </w:tc>
      </w:tr>
      <w:tr w:rsidR="00426836" w:rsidRPr="00FE73DE" w14:paraId="6582A763"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0BC0EF5D" w14:textId="59B40B44" w:rsidR="00DD2782" w:rsidRPr="00FE73DE" w:rsidRDefault="00DD2782" w:rsidP="00DD2782">
            <w:pPr>
              <w:pStyle w:val="TableText"/>
            </w:pPr>
            <w:r w:rsidRPr="00FE73DE">
              <w:rPr>
                <w:rFonts w:ascii="Franklin Gothic Book" w:hAnsi="Franklin Gothic Book" w:cs="Calibri"/>
              </w:rPr>
              <w:t>IEF</w:t>
            </w:r>
          </w:p>
        </w:tc>
        <w:tc>
          <w:tcPr>
            <w:tcW w:w="6627" w:type="dxa"/>
            <w:vAlign w:val="center"/>
          </w:tcPr>
          <w:p w14:paraId="03AB810E" w14:textId="23028559" w:rsidR="00DD2782" w:rsidRPr="00FE73DE" w:rsidRDefault="00DD2782" w:rsidP="00DD2782">
            <w:pPr>
              <w:pStyle w:val="TableText"/>
            </w:pPr>
            <w:r w:rsidRPr="00FE73DE">
              <w:rPr>
                <w:rFonts w:ascii="Franklin Gothic Book" w:hAnsi="Franklin Gothic Book" w:cs="Calibri"/>
              </w:rPr>
              <w:t>Indigenous Entrepreneurs Fund</w:t>
            </w:r>
          </w:p>
        </w:tc>
      </w:tr>
      <w:tr w:rsidR="00426836" w:rsidRPr="00FE73DE" w14:paraId="25D0D2D5" w14:textId="77777777" w:rsidTr="00276777">
        <w:tc>
          <w:tcPr>
            <w:tcW w:w="2263" w:type="dxa"/>
            <w:vAlign w:val="center"/>
          </w:tcPr>
          <w:p w14:paraId="4C01478F" w14:textId="52BFC549" w:rsidR="00DD2782" w:rsidRPr="00FE73DE" w:rsidRDefault="00DD2782" w:rsidP="00DD2782">
            <w:pPr>
              <w:pStyle w:val="TableText"/>
            </w:pPr>
            <w:r w:rsidRPr="00FE73DE">
              <w:rPr>
                <w:rFonts w:ascii="Franklin Gothic Book" w:hAnsi="Franklin Gothic Book" w:cs="Calibri"/>
                <w:color w:val="000000"/>
              </w:rPr>
              <w:t>In-business support</w:t>
            </w:r>
          </w:p>
        </w:tc>
        <w:tc>
          <w:tcPr>
            <w:tcW w:w="6627" w:type="dxa"/>
            <w:vAlign w:val="center"/>
          </w:tcPr>
          <w:p w14:paraId="68231B07" w14:textId="11927515" w:rsidR="00DD2782" w:rsidRPr="00FE73DE" w:rsidRDefault="00DD2782" w:rsidP="00DD2782">
            <w:pPr>
              <w:pStyle w:val="TableText"/>
            </w:pPr>
            <w:r w:rsidRPr="00FE73DE">
              <w:rPr>
                <w:rFonts w:ascii="Franklin Gothic Book" w:hAnsi="Franklin Gothic Book" w:cs="Calibri"/>
                <w:color w:val="000000"/>
              </w:rPr>
              <w:t>In-business support refer</w:t>
            </w:r>
            <w:r w:rsidR="00D678F3" w:rsidRPr="00FE73DE">
              <w:rPr>
                <w:rFonts w:ascii="Franklin Gothic Book" w:hAnsi="Franklin Gothic Book" w:cs="Calibri"/>
                <w:color w:val="000000"/>
              </w:rPr>
              <w:t>s</w:t>
            </w:r>
            <w:r w:rsidRPr="00FE73DE">
              <w:rPr>
                <w:rFonts w:ascii="Franklin Gothic Book" w:hAnsi="Franklin Gothic Book" w:cs="Calibri"/>
                <w:color w:val="000000"/>
              </w:rPr>
              <w:t xml:space="preserve"> to existing Indigenous small business entrepreneurs who sought support on issues such as financial planning and management, marketing, procedure development, website development and industry expertise. For example, in 2009–10 IBA made it a policy that all new business loan clients would receive at least </w:t>
            </w:r>
            <w:r w:rsidR="00DC209D">
              <w:rPr>
                <w:rFonts w:ascii="Franklin Gothic Book" w:hAnsi="Franklin Gothic Book" w:cs="Calibri"/>
                <w:color w:val="000000"/>
              </w:rPr>
              <w:t>six</w:t>
            </w:r>
            <w:r w:rsidRPr="00FE73DE">
              <w:rPr>
                <w:rFonts w:ascii="Franklin Gothic Book" w:hAnsi="Franklin Gothic Book" w:cs="Calibri"/>
                <w:color w:val="000000"/>
              </w:rPr>
              <w:t xml:space="preserve"> months of mentoring after setting up their business, as this was considered usually one of the riskiest periods when establishing a new business.</w:t>
            </w:r>
          </w:p>
        </w:tc>
      </w:tr>
      <w:tr w:rsidR="00426836" w:rsidRPr="00FE73DE" w14:paraId="6FBB6CEA"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58006569" w14:textId="17F34D80" w:rsidR="0032768F" w:rsidRPr="00FE73DE" w:rsidRDefault="0032768F" w:rsidP="00DD2782">
            <w:pPr>
              <w:pStyle w:val="TableText"/>
              <w:rPr>
                <w:rFonts w:ascii="Franklin Gothic Book" w:hAnsi="Franklin Gothic Book" w:cs="Calibri"/>
                <w:color w:val="000000"/>
              </w:rPr>
            </w:pPr>
            <w:r w:rsidRPr="00FE73DE">
              <w:rPr>
                <w:rFonts w:ascii="Franklin Gothic Book" w:hAnsi="Franklin Gothic Book" w:cs="Calibri"/>
                <w:color w:val="000000"/>
              </w:rPr>
              <w:t>IPP</w:t>
            </w:r>
          </w:p>
        </w:tc>
        <w:tc>
          <w:tcPr>
            <w:tcW w:w="6627" w:type="dxa"/>
            <w:vAlign w:val="center"/>
          </w:tcPr>
          <w:p w14:paraId="223F415E" w14:textId="0C130F7D" w:rsidR="0032768F" w:rsidRPr="00FE73DE" w:rsidRDefault="0032768F" w:rsidP="00DD2782">
            <w:pPr>
              <w:pStyle w:val="TableText"/>
              <w:rPr>
                <w:rFonts w:ascii="Franklin Gothic Book" w:hAnsi="Franklin Gothic Book" w:cs="Calibri"/>
                <w:color w:val="000000"/>
              </w:rPr>
            </w:pPr>
            <w:r w:rsidRPr="00FE73DE">
              <w:rPr>
                <w:rFonts w:ascii="Franklin Gothic Book" w:hAnsi="Franklin Gothic Book" w:cs="Calibri"/>
                <w:color w:val="000000"/>
              </w:rPr>
              <w:t xml:space="preserve">Commonwealth’s Indigenous Procurement Policy </w:t>
            </w:r>
          </w:p>
        </w:tc>
      </w:tr>
      <w:tr w:rsidR="00426836" w:rsidRPr="00FE73DE" w14:paraId="50DB11AC" w14:textId="77777777" w:rsidTr="00276777">
        <w:tc>
          <w:tcPr>
            <w:tcW w:w="2263" w:type="dxa"/>
            <w:vAlign w:val="center"/>
          </w:tcPr>
          <w:p w14:paraId="227F51F4" w14:textId="393A4C88" w:rsidR="00DD2782" w:rsidRPr="00FE73DE" w:rsidRDefault="00DD2782" w:rsidP="00DD2782">
            <w:pPr>
              <w:pStyle w:val="TableText"/>
            </w:pPr>
            <w:r w:rsidRPr="00FE73DE">
              <w:rPr>
                <w:rFonts w:ascii="Franklin Gothic Book" w:hAnsi="Franklin Gothic Book" w:cs="Calibri"/>
              </w:rPr>
              <w:t>KPI</w:t>
            </w:r>
          </w:p>
        </w:tc>
        <w:tc>
          <w:tcPr>
            <w:tcW w:w="6627" w:type="dxa"/>
            <w:vAlign w:val="center"/>
          </w:tcPr>
          <w:p w14:paraId="0977B803" w14:textId="45058904" w:rsidR="00DD2782" w:rsidRPr="00FE73DE" w:rsidRDefault="00D968B2" w:rsidP="00DD2782">
            <w:pPr>
              <w:pStyle w:val="TableText"/>
            </w:pPr>
            <w:r>
              <w:rPr>
                <w:rFonts w:ascii="Franklin Gothic Book" w:hAnsi="Franklin Gothic Book" w:cs="Calibri"/>
              </w:rPr>
              <w:t xml:space="preserve">The BSP grant agreements stipulated certain </w:t>
            </w:r>
            <w:r w:rsidR="00DD2782" w:rsidRPr="00FE73DE">
              <w:rPr>
                <w:rFonts w:ascii="Franklin Gothic Book" w:hAnsi="Franklin Gothic Book" w:cs="Calibri"/>
              </w:rPr>
              <w:t>Key Performance Indicator</w:t>
            </w:r>
            <w:r>
              <w:rPr>
                <w:rFonts w:ascii="Franklin Gothic Book" w:hAnsi="Franklin Gothic Book" w:cs="Calibri"/>
              </w:rPr>
              <w:t>s</w:t>
            </w:r>
            <w:r w:rsidR="00DD2782" w:rsidRPr="00FE73DE">
              <w:rPr>
                <w:rFonts w:ascii="Franklin Gothic Book" w:hAnsi="Franklin Gothic Book" w:cs="Calibri"/>
              </w:rPr>
              <w:t xml:space="preserve"> </w:t>
            </w:r>
            <w:r w:rsidR="00F33154">
              <w:rPr>
                <w:rFonts w:ascii="Franklin Gothic Book" w:hAnsi="Franklin Gothic Book" w:cs="Calibri"/>
              </w:rPr>
              <w:t xml:space="preserve">(KPIs) </w:t>
            </w:r>
            <w:r>
              <w:rPr>
                <w:rFonts w:ascii="Franklin Gothic Book" w:hAnsi="Franklin Gothic Book" w:cs="Calibri"/>
              </w:rPr>
              <w:t xml:space="preserve">that were to be reported against in quarterly </w:t>
            </w:r>
            <w:r w:rsidRPr="00F33154">
              <w:t>performance assessments.</w:t>
            </w:r>
            <w:r w:rsidRPr="00F33154">
              <w:rPr>
                <w:rFonts w:ascii="Franklin Gothic Book" w:hAnsi="Franklin Gothic Book" w:cs="Calibri"/>
              </w:rPr>
              <w:t xml:space="preserve"> In this report, the B</w:t>
            </w:r>
            <w:r>
              <w:rPr>
                <w:rFonts w:ascii="Franklin Gothic Book" w:hAnsi="Franklin Gothic Book" w:cs="Calibri"/>
              </w:rPr>
              <w:t xml:space="preserve">SP KPIs are also </w:t>
            </w:r>
            <w:r w:rsidR="00C12E49" w:rsidRPr="00FE73DE">
              <w:rPr>
                <w:rFonts w:ascii="Franklin Gothic Book" w:hAnsi="Franklin Gothic Book" w:cs="Calibri"/>
              </w:rPr>
              <w:t xml:space="preserve">referred to as </w:t>
            </w:r>
            <w:r>
              <w:rPr>
                <w:rFonts w:ascii="Franklin Gothic Book" w:hAnsi="Franklin Gothic Book" w:cs="Calibri"/>
              </w:rPr>
              <w:t xml:space="preserve">the </w:t>
            </w:r>
            <w:r w:rsidR="00C12E49" w:rsidRPr="00FE73DE">
              <w:rPr>
                <w:rFonts w:ascii="Franklin Gothic Book" w:hAnsi="Franklin Gothic Book" w:cs="Calibri"/>
              </w:rPr>
              <w:t>contract targets.</w:t>
            </w:r>
            <w:r w:rsidR="00F33154">
              <w:rPr>
                <w:rFonts w:ascii="Franklin Gothic Book" w:hAnsi="Franklin Gothic Book" w:cs="Calibri"/>
              </w:rPr>
              <w:t xml:space="preserve"> A KPI is </w:t>
            </w:r>
            <w:r w:rsidR="00F33154" w:rsidRPr="00F33154">
              <w:rPr>
                <w:rFonts w:ascii="Franklin Gothic Book" w:hAnsi="Franklin Gothic Book" w:cs="Calibri"/>
              </w:rPr>
              <w:t>a quantifiable measure of performance over time for a specific objective</w:t>
            </w:r>
            <w:r w:rsidR="00F33154">
              <w:rPr>
                <w:rFonts w:ascii="Franklin Gothic Book" w:hAnsi="Franklin Gothic Book" w:cs="Calibri"/>
              </w:rPr>
              <w:t>.</w:t>
            </w:r>
          </w:p>
        </w:tc>
      </w:tr>
      <w:tr w:rsidR="007560EE" w:rsidRPr="00FE73DE" w14:paraId="0293441C"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0845F1A7" w14:textId="435C7223" w:rsidR="007560EE" w:rsidRPr="00FE73DE" w:rsidRDefault="007560EE" w:rsidP="00DD2782">
            <w:pPr>
              <w:pStyle w:val="TableText"/>
              <w:rPr>
                <w:rFonts w:ascii="Franklin Gothic Book" w:hAnsi="Franklin Gothic Book" w:cs="Calibri"/>
              </w:rPr>
            </w:pPr>
            <w:r w:rsidRPr="00FE73DE">
              <w:rPr>
                <w:rFonts w:ascii="Franklin Gothic Book" w:hAnsi="Franklin Gothic Book" w:cs="Calibri"/>
              </w:rPr>
              <w:t>lower-risk businesses</w:t>
            </w:r>
          </w:p>
        </w:tc>
        <w:tc>
          <w:tcPr>
            <w:tcW w:w="6627" w:type="dxa"/>
            <w:vAlign w:val="center"/>
          </w:tcPr>
          <w:p w14:paraId="7E544977" w14:textId="4F333E31" w:rsidR="007560EE" w:rsidRPr="00FE73DE" w:rsidRDefault="007560EE" w:rsidP="00DD2782">
            <w:pPr>
              <w:pStyle w:val="TableText"/>
              <w:rPr>
                <w:rFonts w:ascii="Franklin Gothic Book" w:hAnsi="Franklin Gothic Book" w:cs="Calibri"/>
              </w:rPr>
            </w:pPr>
            <w:r w:rsidRPr="00FE73DE">
              <w:rPr>
                <w:rFonts w:ascii="Franklin Gothic Book" w:hAnsi="Franklin Gothic Book" w:cs="Calibri"/>
              </w:rPr>
              <w:t>Under section 4</w:t>
            </w:r>
            <w:r w:rsidR="00DC209D">
              <w:rPr>
                <w:rFonts w:ascii="Franklin Gothic Book" w:hAnsi="Franklin Gothic Book" w:cs="Calibri"/>
              </w:rPr>
              <w:t xml:space="preserve"> of this report</w:t>
            </w:r>
            <w:r w:rsidRPr="00FE73DE">
              <w:rPr>
                <w:rFonts w:ascii="Franklin Gothic Book" w:hAnsi="Franklin Gothic Book" w:cs="Calibri"/>
              </w:rPr>
              <w:t xml:space="preserve">, the categorisation of loan customers as </w:t>
            </w:r>
            <w:r w:rsidRPr="00FE73DE">
              <w:t xml:space="preserve">lower-risk businesses are the </w:t>
            </w:r>
            <w:r w:rsidRPr="00FE73DE">
              <w:rPr>
                <w:rFonts w:ascii="Franklin Gothic Book" w:hAnsi="Franklin Gothic Book" w:cs="Calibri"/>
              </w:rPr>
              <w:t>aggregated business loan customers assessed as</w:t>
            </w:r>
            <w:r w:rsidRPr="00FE73DE">
              <w:t xml:space="preserve"> moderate and low risk </w:t>
            </w:r>
            <w:r w:rsidRPr="00FE73DE">
              <w:rPr>
                <w:szCs w:val="24"/>
              </w:rPr>
              <w:t>against IBA’s risk matrix.</w:t>
            </w:r>
          </w:p>
        </w:tc>
      </w:tr>
      <w:tr w:rsidR="00426836" w:rsidRPr="00FE73DE" w14:paraId="6C402930" w14:textId="77777777" w:rsidTr="00276777">
        <w:tc>
          <w:tcPr>
            <w:tcW w:w="2263" w:type="dxa"/>
            <w:vAlign w:val="center"/>
          </w:tcPr>
          <w:p w14:paraId="62BF2D94" w14:textId="06F939FD" w:rsidR="00C61CF4" w:rsidRPr="00FE73DE" w:rsidRDefault="00C61CF4" w:rsidP="00DD2782">
            <w:pPr>
              <w:pStyle w:val="TableText"/>
              <w:rPr>
                <w:rFonts w:ascii="Franklin Gothic Book" w:hAnsi="Franklin Gothic Book" w:cs="Calibri"/>
                <w:color w:val="000000"/>
              </w:rPr>
            </w:pPr>
            <w:r w:rsidRPr="00FE73DE">
              <w:rPr>
                <w:rFonts w:ascii="Franklin Gothic Book" w:hAnsi="Franklin Gothic Book" w:cs="Calibri"/>
                <w:color w:val="000000"/>
              </w:rPr>
              <w:t>NIAA</w:t>
            </w:r>
          </w:p>
        </w:tc>
        <w:tc>
          <w:tcPr>
            <w:tcW w:w="6627" w:type="dxa"/>
            <w:vAlign w:val="center"/>
          </w:tcPr>
          <w:p w14:paraId="5B4474C2" w14:textId="660FDA2B" w:rsidR="00C61CF4" w:rsidRPr="00FE73DE" w:rsidRDefault="00C61CF4" w:rsidP="00DD2782">
            <w:pPr>
              <w:pStyle w:val="TableText"/>
              <w:rPr>
                <w:rFonts w:ascii="Franklin Gothic Book" w:hAnsi="Franklin Gothic Book" w:cs="Calibri"/>
                <w:color w:val="000000"/>
              </w:rPr>
            </w:pPr>
            <w:r w:rsidRPr="00FE73DE">
              <w:rPr>
                <w:rFonts w:ascii="Franklin Gothic Book" w:hAnsi="Franklin Gothic Book" w:cs="Calibri"/>
                <w:color w:val="000000"/>
              </w:rPr>
              <w:t>National Indigenous Australians Agency</w:t>
            </w:r>
          </w:p>
        </w:tc>
      </w:tr>
      <w:tr w:rsidR="00426836" w:rsidRPr="00FE73DE" w14:paraId="6D424631"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44F99343" w14:textId="0FE9B328" w:rsidR="00290F6F" w:rsidRPr="00FE73DE" w:rsidRDefault="00290F6F" w:rsidP="00DD2782">
            <w:pPr>
              <w:pStyle w:val="TableText"/>
              <w:rPr>
                <w:rFonts w:ascii="Franklin Gothic Book" w:hAnsi="Franklin Gothic Book" w:cs="Calibri"/>
                <w:color w:val="000000"/>
              </w:rPr>
            </w:pPr>
            <w:r w:rsidRPr="00FE73DE">
              <w:rPr>
                <w:rFonts w:ascii="Franklin Gothic Book" w:hAnsi="Franklin Gothic Book" w:cs="Calibri"/>
                <w:color w:val="000000"/>
              </w:rPr>
              <w:t>PBS</w:t>
            </w:r>
          </w:p>
        </w:tc>
        <w:tc>
          <w:tcPr>
            <w:tcW w:w="6627" w:type="dxa"/>
            <w:vAlign w:val="center"/>
          </w:tcPr>
          <w:p w14:paraId="35934170" w14:textId="1345F9BF" w:rsidR="00290F6F" w:rsidRPr="00FE73DE" w:rsidRDefault="00782293" w:rsidP="00C12E49">
            <w:pPr>
              <w:pStyle w:val="TableText"/>
              <w:rPr>
                <w:rFonts w:ascii="Franklin Gothic Book" w:hAnsi="Franklin Gothic Book" w:cs="Calibri"/>
                <w:color w:val="000000"/>
              </w:rPr>
            </w:pPr>
            <w:r w:rsidRPr="00FE73DE">
              <w:rPr>
                <w:rFonts w:ascii="Franklin Gothic Book" w:hAnsi="Franklin Gothic Book" w:cs="Calibri"/>
                <w:color w:val="000000"/>
              </w:rPr>
              <w:t>Portfolio Budget Statements</w:t>
            </w:r>
            <w:r w:rsidR="00092916" w:rsidRPr="00FE73DE">
              <w:rPr>
                <w:rFonts w:ascii="Franklin Gothic Book" w:hAnsi="Franklin Gothic Book" w:cs="Calibri"/>
                <w:color w:val="000000"/>
              </w:rPr>
              <w:t xml:space="preserve"> </w:t>
            </w:r>
          </w:p>
        </w:tc>
      </w:tr>
      <w:tr w:rsidR="00426836" w:rsidRPr="00FE73DE" w14:paraId="2862A480" w14:textId="77777777" w:rsidTr="00276777">
        <w:tc>
          <w:tcPr>
            <w:tcW w:w="2263" w:type="dxa"/>
            <w:vAlign w:val="center"/>
          </w:tcPr>
          <w:p w14:paraId="033FF90D" w14:textId="535E3AAD" w:rsidR="00B1551F" w:rsidRPr="00FE73DE" w:rsidRDefault="00B1551F" w:rsidP="00DD2782">
            <w:pPr>
              <w:pStyle w:val="TableText"/>
              <w:rPr>
                <w:rFonts w:ascii="Franklin Gothic Book" w:hAnsi="Franklin Gothic Book" w:cs="Calibri"/>
                <w:color w:val="000000"/>
              </w:rPr>
            </w:pPr>
            <w:r w:rsidRPr="00FE73DE">
              <w:rPr>
                <w:rFonts w:ascii="Franklin Gothic Book" w:hAnsi="Franklin Gothic Book" w:cs="Calibri"/>
                <w:color w:val="000000"/>
              </w:rPr>
              <w:t>PDD</w:t>
            </w:r>
          </w:p>
        </w:tc>
        <w:tc>
          <w:tcPr>
            <w:tcW w:w="6627" w:type="dxa"/>
            <w:vAlign w:val="center"/>
          </w:tcPr>
          <w:p w14:paraId="48420911" w14:textId="74F7702B" w:rsidR="00B1551F" w:rsidRPr="00FE73DE" w:rsidRDefault="00B1551F" w:rsidP="00782293">
            <w:pPr>
              <w:pStyle w:val="TableText"/>
              <w:rPr>
                <w:rFonts w:ascii="Franklin Gothic Book" w:hAnsi="Franklin Gothic Book" w:cs="Calibri"/>
                <w:color w:val="000000"/>
              </w:rPr>
            </w:pPr>
            <w:r w:rsidRPr="00FE73DE">
              <w:rPr>
                <w:rFonts w:ascii="Franklin Gothic Book" w:hAnsi="Franklin Gothic Book" w:cs="Calibri"/>
                <w:color w:val="000000"/>
              </w:rPr>
              <w:t xml:space="preserve">Provision for </w:t>
            </w:r>
            <w:r w:rsidR="00183874" w:rsidRPr="00FE73DE">
              <w:rPr>
                <w:rFonts w:ascii="Franklin Gothic Book" w:hAnsi="Franklin Gothic Book" w:cs="Calibri"/>
                <w:color w:val="000000"/>
              </w:rPr>
              <w:t>D</w:t>
            </w:r>
            <w:r w:rsidRPr="00FE73DE">
              <w:rPr>
                <w:rFonts w:ascii="Franklin Gothic Book" w:hAnsi="Franklin Gothic Book" w:cs="Calibri"/>
                <w:color w:val="000000"/>
              </w:rPr>
              <w:t xml:space="preserve">oubtful </w:t>
            </w:r>
            <w:r w:rsidR="00183874" w:rsidRPr="00FE73DE">
              <w:rPr>
                <w:rFonts w:ascii="Franklin Gothic Book" w:hAnsi="Franklin Gothic Book" w:cs="Calibri"/>
                <w:color w:val="000000"/>
              </w:rPr>
              <w:t>D</w:t>
            </w:r>
            <w:r w:rsidRPr="00FE73DE">
              <w:rPr>
                <w:rFonts w:ascii="Franklin Gothic Book" w:hAnsi="Franklin Gothic Book" w:cs="Calibri"/>
                <w:color w:val="000000"/>
              </w:rPr>
              <w:t>ebts</w:t>
            </w:r>
            <w:r w:rsidR="005B2F7F" w:rsidRPr="00FE73DE">
              <w:rPr>
                <w:rFonts w:ascii="Franklin Gothic Book" w:hAnsi="Franklin Gothic Book" w:cs="Calibri"/>
                <w:color w:val="000000"/>
              </w:rPr>
              <w:t>. Also referred to as a provision for loan losses.</w:t>
            </w:r>
          </w:p>
        </w:tc>
      </w:tr>
      <w:tr w:rsidR="00426836" w:rsidRPr="00FE73DE" w14:paraId="72657E12"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550B207A" w14:textId="0BA5F7C7" w:rsidR="00573CFE" w:rsidRPr="00FE73DE" w:rsidRDefault="00573CFE" w:rsidP="00DD2782">
            <w:pPr>
              <w:pStyle w:val="TableText"/>
              <w:rPr>
                <w:rFonts w:ascii="Franklin Gothic Book" w:hAnsi="Franklin Gothic Book" w:cs="Calibri"/>
                <w:color w:val="000000"/>
              </w:rPr>
            </w:pPr>
            <w:bookmarkStart w:id="4" w:name="_Hlk106989962"/>
            <w:r w:rsidRPr="00FE73DE">
              <w:rPr>
                <w:rFonts w:ascii="Franklin Gothic Book" w:hAnsi="Franklin Gothic Book" w:cs="Calibri"/>
                <w:color w:val="000000"/>
              </w:rPr>
              <w:t>PGPA Act</w:t>
            </w:r>
          </w:p>
        </w:tc>
        <w:tc>
          <w:tcPr>
            <w:tcW w:w="6627" w:type="dxa"/>
            <w:vAlign w:val="center"/>
          </w:tcPr>
          <w:p w14:paraId="26E9CCE0" w14:textId="7A6A962B" w:rsidR="00573CFE" w:rsidRPr="00FE73DE" w:rsidRDefault="00573CFE" w:rsidP="00782293">
            <w:pPr>
              <w:pStyle w:val="TableText"/>
              <w:rPr>
                <w:rFonts w:ascii="Franklin Gothic Book" w:hAnsi="Franklin Gothic Book" w:cs="Calibri"/>
                <w:color w:val="000000"/>
              </w:rPr>
            </w:pPr>
            <w:r w:rsidRPr="00FE73DE">
              <w:rPr>
                <w:rFonts w:ascii="Franklin Gothic Book" w:hAnsi="Franklin Gothic Book" w:cs="Calibri"/>
                <w:i/>
                <w:iCs/>
                <w:color w:val="000000"/>
              </w:rPr>
              <w:t>Public Governance, Performance and Accountability Act 2013</w:t>
            </w:r>
          </w:p>
        </w:tc>
      </w:tr>
      <w:bookmarkEnd w:id="4"/>
      <w:tr w:rsidR="00426836" w:rsidRPr="00FE73DE" w14:paraId="3AFC7B53" w14:textId="77777777" w:rsidTr="00276777">
        <w:tc>
          <w:tcPr>
            <w:tcW w:w="2263" w:type="dxa"/>
            <w:vAlign w:val="center"/>
          </w:tcPr>
          <w:p w14:paraId="77B5E17A" w14:textId="4F73E73C" w:rsidR="00DD2782" w:rsidRPr="00FE73DE" w:rsidRDefault="00DD2782" w:rsidP="00DD2782">
            <w:pPr>
              <w:pStyle w:val="TableText"/>
            </w:pPr>
            <w:r w:rsidRPr="00FE73DE">
              <w:rPr>
                <w:rFonts w:ascii="Franklin Gothic Book" w:hAnsi="Franklin Gothic Book" w:cs="Calibri"/>
                <w:color w:val="000000"/>
              </w:rPr>
              <w:t xml:space="preserve">Pre-bank </w:t>
            </w:r>
            <w:r w:rsidR="00ED7FB1" w:rsidRPr="00FE73DE">
              <w:rPr>
                <w:rFonts w:ascii="Franklin Gothic Book" w:hAnsi="Franklin Gothic Book" w:cs="Calibri"/>
                <w:color w:val="000000"/>
              </w:rPr>
              <w:t>customer</w:t>
            </w:r>
            <w:r w:rsidRPr="00FE73DE">
              <w:rPr>
                <w:rFonts w:ascii="Franklin Gothic Book" w:hAnsi="Franklin Gothic Book" w:cs="Calibri"/>
                <w:color w:val="000000"/>
              </w:rPr>
              <w:t>s</w:t>
            </w:r>
          </w:p>
        </w:tc>
        <w:tc>
          <w:tcPr>
            <w:tcW w:w="6627" w:type="dxa"/>
            <w:vAlign w:val="center"/>
          </w:tcPr>
          <w:p w14:paraId="1797F0C5" w14:textId="7F26AAFD" w:rsidR="00DD2782" w:rsidRPr="00FE73DE" w:rsidRDefault="00DC209D" w:rsidP="00DD2782">
            <w:pPr>
              <w:pStyle w:val="TableText"/>
            </w:pPr>
            <w:r>
              <w:rPr>
                <w:rFonts w:ascii="Franklin Gothic Book" w:hAnsi="Franklin Gothic Book" w:cs="Calibri"/>
                <w:color w:val="000000"/>
              </w:rPr>
              <w:t>The BSP grant agreement defines p</w:t>
            </w:r>
            <w:r w:rsidR="00DD2782" w:rsidRPr="00FE73DE">
              <w:rPr>
                <w:rFonts w:ascii="Franklin Gothic Book" w:hAnsi="Franklin Gothic Book" w:cs="Calibri"/>
                <w:color w:val="000000"/>
              </w:rPr>
              <w:t xml:space="preserve">re-bank </w:t>
            </w:r>
            <w:r w:rsidR="00ED7FB1" w:rsidRPr="00FE73DE">
              <w:rPr>
                <w:rFonts w:ascii="Franklin Gothic Book" w:hAnsi="Franklin Gothic Book" w:cs="Calibri"/>
                <w:color w:val="000000"/>
              </w:rPr>
              <w:t>customer</w:t>
            </w:r>
            <w:r w:rsidR="00DD2782" w:rsidRPr="00FE73DE">
              <w:rPr>
                <w:rFonts w:ascii="Franklin Gothic Book" w:hAnsi="Franklin Gothic Book" w:cs="Calibri"/>
                <w:color w:val="000000"/>
              </w:rPr>
              <w:t xml:space="preserve">s </w:t>
            </w:r>
            <w:r>
              <w:rPr>
                <w:rFonts w:ascii="Franklin Gothic Book" w:hAnsi="Franklin Gothic Book" w:cs="Calibri"/>
                <w:color w:val="000000"/>
              </w:rPr>
              <w:t>as</w:t>
            </w:r>
            <w:r w:rsidR="00DD2782" w:rsidRPr="00FE73DE">
              <w:rPr>
                <w:rFonts w:ascii="Franklin Gothic Book" w:hAnsi="Franklin Gothic Book" w:cs="Calibri"/>
                <w:color w:val="000000"/>
              </w:rPr>
              <w:t xml:space="preserve"> </w:t>
            </w:r>
            <w:r w:rsidR="00ED7FB1" w:rsidRPr="00FE73DE">
              <w:rPr>
                <w:rFonts w:ascii="Franklin Gothic Book" w:hAnsi="Franklin Gothic Book" w:cs="Calibri"/>
                <w:color w:val="000000"/>
              </w:rPr>
              <w:t>customer</w:t>
            </w:r>
            <w:r w:rsidR="00DD2782" w:rsidRPr="00FE73DE">
              <w:rPr>
                <w:rFonts w:ascii="Franklin Gothic Book" w:hAnsi="Franklin Gothic Book" w:cs="Calibri"/>
                <w:color w:val="000000"/>
              </w:rPr>
              <w:t>s that the IBA does not reasonably consider could access the business support and quantum of capital needed through a commercial bank on terms that are optimal for that business.</w:t>
            </w:r>
          </w:p>
        </w:tc>
      </w:tr>
      <w:tr w:rsidR="00426836" w:rsidRPr="00FE73DE" w14:paraId="39910394"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0B9185CF" w14:textId="02568418" w:rsidR="00DD2782" w:rsidRPr="00FE73DE" w:rsidRDefault="00DD2782" w:rsidP="00DD2782">
            <w:pPr>
              <w:pStyle w:val="TableText"/>
            </w:pPr>
            <w:r w:rsidRPr="00FE73DE">
              <w:rPr>
                <w:rFonts w:ascii="Franklin Gothic Book" w:hAnsi="Franklin Gothic Book" w:cs="Calibri"/>
                <w:color w:val="000000"/>
              </w:rPr>
              <w:t>Pre-business support</w:t>
            </w:r>
          </w:p>
        </w:tc>
        <w:tc>
          <w:tcPr>
            <w:tcW w:w="6627" w:type="dxa"/>
            <w:vAlign w:val="center"/>
          </w:tcPr>
          <w:p w14:paraId="68C71C2E" w14:textId="0E3EDD9B" w:rsidR="00DD2782" w:rsidRPr="00FE73DE" w:rsidRDefault="00DD2782" w:rsidP="00DD2782">
            <w:pPr>
              <w:pStyle w:val="TableText"/>
            </w:pPr>
            <w:r w:rsidRPr="00FE73DE">
              <w:rPr>
                <w:rFonts w:ascii="Franklin Gothic Book" w:hAnsi="Franklin Gothic Book" w:cs="Calibri"/>
                <w:color w:val="000000"/>
              </w:rPr>
              <w:t>Pre-business support involved providing a consultant to prospective Indigenous small business entrepreneurs to help them determine the viability of a business idea and draw up a formal business plan.</w:t>
            </w:r>
          </w:p>
        </w:tc>
      </w:tr>
      <w:tr w:rsidR="00426836" w:rsidRPr="00FE73DE" w14:paraId="0DCE4C59" w14:textId="77777777" w:rsidTr="00276777">
        <w:tc>
          <w:tcPr>
            <w:tcW w:w="2263" w:type="dxa"/>
            <w:vAlign w:val="center"/>
          </w:tcPr>
          <w:p w14:paraId="1FAEB5ED" w14:textId="38B54E1B" w:rsidR="00DD2782" w:rsidRPr="00FE73DE" w:rsidRDefault="00ED09B6" w:rsidP="00DD2782">
            <w:pPr>
              <w:pStyle w:val="TableText"/>
            </w:pPr>
            <w:r w:rsidRPr="00FE73DE">
              <w:t>RAP</w:t>
            </w:r>
          </w:p>
        </w:tc>
        <w:tc>
          <w:tcPr>
            <w:tcW w:w="6627" w:type="dxa"/>
            <w:vAlign w:val="center"/>
          </w:tcPr>
          <w:p w14:paraId="0C860DDB" w14:textId="0985A45B" w:rsidR="00DD2782" w:rsidRPr="00FE73DE" w:rsidRDefault="00ED09B6" w:rsidP="00DD2782">
            <w:pPr>
              <w:pStyle w:val="TableText"/>
            </w:pPr>
            <w:r w:rsidRPr="00FE73DE">
              <w:t>Reconciliation Action Plan</w:t>
            </w:r>
          </w:p>
        </w:tc>
      </w:tr>
      <w:tr w:rsidR="00426836" w:rsidRPr="00FE73DE" w14:paraId="0B40DB5F"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36CA07AA" w14:textId="22416F10" w:rsidR="007269DB" w:rsidRPr="00FE73DE" w:rsidRDefault="007269DB" w:rsidP="00DD2782">
            <w:pPr>
              <w:pStyle w:val="TableText"/>
            </w:pPr>
            <w:r w:rsidRPr="00FE73DE">
              <w:t>Recycled capital</w:t>
            </w:r>
          </w:p>
        </w:tc>
        <w:tc>
          <w:tcPr>
            <w:tcW w:w="6627" w:type="dxa"/>
            <w:vAlign w:val="center"/>
          </w:tcPr>
          <w:p w14:paraId="7F94D1C8" w14:textId="33C69A06" w:rsidR="007269DB" w:rsidRPr="00FE73DE" w:rsidRDefault="00183874" w:rsidP="00DD2782">
            <w:pPr>
              <w:pStyle w:val="TableText"/>
            </w:pPr>
            <w:r w:rsidRPr="00FE73DE">
              <w:rPr>
                <w:szCs w:val="24"/>
              </w:rPr>
              <w:t>Recycled capital is a</w:t>
            </w:r>
            <w:r w:rsidR="007269DB" w:rsidRPr="00FE73DE">
              <w:rPr>
                <w:szCs w:val="24"/>
              </w:rPr>
              <w:t xml:space="preserve">ny BSP-funded principal amount repaid or any interest earned on any loans or other capital products funded by the </w:t>
            </w:r>
            <w:r w:rsidRPr="00FE73DE">
              <w:rPr>
                <w:szCs w:val="24"/>
              </w:rPr>
              <w:t xml:space="preserve">BSP </w:t>
            </w:r>
            <w:r w:rsidR="007269DB" w:rsidRPr="00FE73DE">
              <w:rPr>
                <w:szCs w:val="24"/>
              </w:rPr>
              <w:t xml:space="preserve">capital component </w:t>
            </w:r>
            <w:r w:rsidRPr="00FE73DE">
              <w:rPr>
                <w:szCs w:val="24"/>
              </w:rPr>
              <w:t xml:space="preserve">and </w:t>
            </w:r>
            <w:r w:rsidR="007269DB" w:rsidRPr="00FE73DE">
              <w:rPr>
                <w:szCs w:val="24"/>
              </w:rPr>
              <w:t>available for reallocation. For ease of reference, this additional funding source is referred to as recycled capital funds.</w:t>
            </w:r>
            <w:r w:rsidR="00DC209D">
              <w:rPr>
                <w:szCs w:val="24"/>
              </w:rPr>
              <w:t xml:space="preserve"> The BSP grant agreement stipulates that</w:t>
            </w:r>
            <w:r w:rsidR="007269DB" w:rsidRPr="00FE73DE">
              <w:rPr>
                <w:szCs w:val="24"/>
              </w:rPr>
              <w:t xml:space="preserve"> </w:t>
            </w:r>
            <w:r w:rsidR="00DC209D">
              <w:rPr>
                <w:szCs w:val="24"/>
              </w:rPr>
              <w:t>i</w:t>
            </w:r>
            <w:r w:rsidR="007269DB" w:rsidRPr="00FE73DE">
              <w:rPr>
                <w:szCs w:val="24"/>
              </w:rPr>
              <w:t>t is only to be used for the purpos</w:t>
            </w:r>
            <w:r w:rsidR="00AB4AAC" w:rsidRPr="00FE73DE">
              <w:rPr>
                <w:szCs w:val="24"/>
              </w:rPr>
              <w:t>e o</w:t>
            </w:r>
            <w:r w:rsidR="007269DB" w:rsidRPr="00FE73DE">
              <w:rPr>
                <w:szCs w:val="24"/>
              </w:rPr>
              <w:t>f BSP products and not used to fund operating costs for the BSP or any other part of IBA’s operations.</w:t>
            </w:r>
          </w:p>
        </w:tc>
      </w:tr>
      <w:tr w:rsidR="00426836" w:rsidRPr="00FE73DE" w14:paraId="26839238" w14:textId="77777777" w:rsidTr="00276777">
        <w:tc>
          <w:tcPr>
            <w:tcW w:w="2263" w:type="dxa"/>
            <w:vAlign w:val="center"/>
          </w:tcPr>
          <w:p w14:paraId="187A7F55" w14:textId="4D1821FC" w:rsidR="00426836" w:rsidRPr="00FE73DE" w:rsidRDefault="00426836" w:rsidP="00DD2782">
            <w:pPr>
              <w:pStyle w:val="TableText"/>
            </w:pPr>
            <w:r w:rsidRPr="00FE73DE">
              <w:t>Risk ‘seeking’</w:t>
            </w:r>
          </w:p>
        </w:tc>
        <w:tc>
          <w:tcPr>
            <w:tcW w:w="6627" w:type="dxa"/>
            <w:vAlign w:val="center"/>
          </w:tcPr>
          <w:p w14:paraId="2E73AB68" w14:textId="32DFDBED" w:rsidR="00426836" w:rsidRPr="00FE73DE" w:rsidRDefault="00426836" w:rsidP="00DD2782">
            <w:pPr>
              <w:pStyle w:val="TableText"/>
              <w:rPr>
                <w:szCs w:val="24"/>
              </w:rPr>
            </w:pPr>
            <w:r w:rsidRPr="00FE73DE">
              <w:rPr>
                <w:szCs w:val="24"/>
              </w:rPr>
              <w:t>IBA’s 201</w:t>
            </w:r>
            <w:r w:rsidR="008557E8">
              <w:rPr>
                <w:szCs w:val="24"/>
              </w:rPr>
              <w:t>5–</w:t>
            </w:r>
            <w:r w:rsidRPr="00FE73DE">
              <w:rPr>
                <w:szCs w:val="24"/>
              </w:rPr>
              <w:t>16 Annual Report defined r</w:t>
            </w:r>
            <w:r w:rsidRPr="00FE73DE">
              <w:t>isk ‘seeking’ as actively taking on new or increased levels of risk in order to generate more returns and/or meet customer needs.</w:t>
            </w:r>
          </w:p>
        </w:tc>
      </w:tr>
      <w:tr w:rsidR="006319DF" w:rsidRPr="00FE73DE" w14:paraId="57C72F94" w14:textId="77777777" w:rsidTr="00276777">
        <w:trPr>
          <w:cnfStyle w:val="000000010000" w:firstRow="0" w:lastRow="0" w:firstColumn="0" w:lastColumn="0" w:oddVBand="0" w:evenVBand="0" w:oddHBand="0" w:evenHBand="1" w:firstRowFirstColumn="0" w:firstRowLastColumn="0" w:lastRowFirstColumn="0" w:lastRowLastColumn="0"/>
        </w:trPr>
        <w:tc>
          <w:tcPr>
            <w:tcW w:w="2263" w:type="dxa"/>
            <w:vAlign w:val="center"/>
          </w:tcPr>
          <w:p w14:paraId="101DF28F" w14:textId="0AA53E15" w:rsidR="006319DF" w:rsidRPr="00FE73DE" w:rsidRDefault="006319DF" w:rsidP="00DD2782">
            <w:pPr>
              <w:pStyle w:val="TableText"/>
            </w:pPr>
            <w:r w:rsidRPr="00FE73DE">
              <w:t>Start-up business</w:t>
            </w:r>
          </w:p>
        </w:tc>
        <w:tc>
          <w:tcPr>
            <w:tcW w:w="6627" w:type="dxa"/>
            <w:vAlign w:val="center"/>
          </w:tcPr>
          <w:p w14:paraId="67EF0607" w14:textId="0AB0544C" w:rsidR="006319DF" w:rsidRPr="00FE73DE" w:rsidRDefault="006319DF" w:rsidP="00DD2782">
            <w:pPr>
              <w:pStyle w:val="TableText"/>
              <w:rPr>
                <w:szCs w:val="24"/>
              </w:rPr>
            </w:pPr>
            <w:r w:rsidRPr="00FE73DE">
              <w:rPr>
                <w:szCs w:val="24"/>
              </w:rPr>
              <w:t xml:space="preserve">The </w:t>
            </w:r>
            <w:r w:rsidR="00B56C3E" w:rsidRPr="00FE73DE">
              <w:rPr>
                <w:szCs w:val="24"/>
              </w:rPr>
              <w:t xml:space="preserve">Australian government has no set definition for what constitutes a start-up. The term </w:t>
            </w:r>
            <w:r w:rsidRPr="00FE73DE">
              <w:rPr>
                <w:szCs w:val="24"/>
              </w:rPr>
              <w:t xml:space="preserve">‘start-up business’ is not defined in reviewed IBA or NIAA documentation. </w:t>
            </w:r>
            <w:r w:rsidR="00B56C3E" w:rsidRPr="00FE73DE">
              <w:rPr>
                <w:szCs w:val="24"/>
              </w:rPr>
              <w:t>The term is interchanged with ‘starting new business’. It is also similar to the terms ‘</w:t>
            </w:r>
            <w:r w:rsidRPr="00FE73DE">
              <w:rPr>
                <w:szCs w:val="24"/>
              </w:rPr>
              <w:t>early stage</w:t>
            </w:r>
            <w:r w:rsidR="00B56C3E" w:rsidRPr="00FE73DE">
              <w:rPr>
                <w:szCs w:val="24"/>
              </w:rPr>
              <w:t>’</w:t>
            </w:r>
            <w:r w:rsidRPr="00FE73DE">
              <w:rPr>
                <w:szCs w:val="24"/>
              </w:rPr>
              <w:t xml:space="preserve"> or </w:t>
            </w:r>
            <w:r w:rsidR="00B56C3E" w:rsidRPr="00FE73DE">
              <w:rPr>
                <w:szCs w:val="24"/>
              </w:rPr>
              <w:t>‘</w:t>
            </w:r>
            <w:r w:rsidRPr="00FE73DE">
              <w:rPr>
                <w:szCs w:val="24"/>
              </w:rPr>
              <w:t>pre-bank</w:t>
            </w:r>
            <w:r w:rsidR="00B56C3E" w:rsidRPr="00FE73DE">
              <w:rPr>
                <w:szCs w:val="24"/>
              </w:rPr>
              <w:t>’</w:t>
            </w:r>
            <w:r w:rsidRPr="00FE73DE">
              <w:rPr>
                <w:szCs w:val="24"/>
              </w:rPr>
              <w:t xml:space="preserve"> business. </w:t>
            </w:r>
          </w:p>
        </w:tc>
      </w:tr>
    </w:tbl>
    <w:p w14:paraId="00CDD28C" w14:textId="77777777" w:rsidR="00423A65" w:rsidRPr="00FE73DE" w:rsidRDefault="00423A65" w:rsidP="00423A65"/>
    <w:p w14:paraId="73130479" w14:textId="77777777" w:rsidR="00423A65" w:rsidRPr="00FE73DE" w:rsidRDefault="00423A65" w:rsidP="00423A65">
      <w:pPr>
        <w:spacing w:after="200" w:line="276" w:lineRule="auto"/>
        <w:jc w:val="left"/>
      </w:pPr>
      <w:r w:rsidRPr="00FE73DE">
        <w:br w:type="page"/>
      </w:r>
    </w:p>
    <w:p w14:paraId="50B8B6FC" w14:textId="30362D9F" w:rsidR="00D21340" w:rsidRDefault="00D21340" w:rsidP="00D21340">
      <w:pPr>
        <w:pStyle w:val="Heading1"/>
        <w:numPr>
          <w:ilvl w:val="0"/>
          <w:numId w:val="0"/>
        </w:numPr>
      </w:pPr>
      <w:bookmarkStart w:id="5" w:name="_Toc110270890"/>
      <w:bookmarkStart w:id="6" w:name="_Toc123734684"/>
      <w:r w:rsidRPr="00FE73DE">
        <w:t>Executive Summary</w:t>
      </w:r>
      <w:bookmarkEnd w:id="5"/>
      <w:bookmarkEnd w:id="6"/>
    </w:p>
    <w:p w14:paraId="2E702023" w14:textId="77777777" w:rsidR="00E66E75" w:rsidRDefault="00E66E75" w:rsidP="00E66E75">
      <w:pPr>
        <w:pStyle w:val="Heading2"/>
        <w:numPr>
          <w:ilvl w:val="0"/>
          <w:numId w:val="0"/>
        </w:numPr>
        <w:ind w:left="720" w:hanging="720"/>
      </w:pPr>
      <w:bookmarkStart w:id="7" w:name="_Toc123734685"/>
      <w:r>
        <w:t>Introduction</w:t>
      </w:r>
      <w:bookmarkEnd w:id="7"/>
    </w:p>
    <w:p w14:paraId="24C42FFE" w14:textId="1F4F6A98" w:rsidR="00520E36" w:rsidRDefault="00E66E75" w:rsidP="00E66E75">
      <w:r>
        <w:t xml:space="preserve">The Business Solutions Program (BSP) </w:t>
      </w:r>
      <w:r w:rsidRPr="006E7BBC">
        <w:t xml:space="preserve">is </w:t>
      </w:r>
      <w:r w:rsidR="005B5BF1">
        <w:t xml:space="preserve">a </w:t>
      </w:r>
      <w:r w:rsidR="00520E36">
        <w:t xml:space="preserve">business and financial support </w:t>
      </w:r>
      <w:r w:rsidR="00AB2057">
        <w:t xml:space="preserve">initiative </w:t>
      </w:r>
      <w:r w:rsidR="00520E36">
        <w:t xml:space="preserve">funded </w:t>
      </w:r>
      <w:r w:rsidR="00904A49">
        <w:t>through</w:t>
      </w:r>
      <w:r w:rsidR="00520E36">
        <w:t xml:space="preserve"> </w:t>
      </w:r>
      <w:r w:rsidR="005B5BF1">
        <w:t xml:space="preserve">the </w:t>
      </w:r>
      <w:r w:rsidR="00854565">
        <w:t xml:space="preserve">National Indigenous Australians Agency (NIAA) and delivered by </w:t>
      </w:r>
      <w:r>
        <w:t>Indigenous Business Australia (IBA)</w:t>
      </w:r>
      <w:r w:rsidR="00854565">
        <w:t>.</w:t>
      </w:r>
      <w:r>
        <w:t xml:space="preserve"> </w:t>
      </w:r>
      <w:r w:rsidR="00520E36">
        <w:t xml:space="preserve">The </w:t>
      </w:r>
      <w:r w:rsidR="00854565">
        <w:t>BSP</w:t>
      </w:r>
      <w:r>
        <w:t xml:space="preserve"> </w:t>
      </w:r>
      <w:r w:rsidR="00D35F08" w:rsidRPr="004F3B4F">
        <w:t xml:space="preserve">provides financial and business support to Aboriginal and Torres Strait Islander business owners and entrepreneurs through access to finance, skills, knowledge and resources to acquire, establish and grow a viable business. </w:t>
      </w:r>
    </w:p>
    <w:p w14:paraId="1E8DB20A" w14:textId="276747A7" w:rsidR="00E66E75" w:rsidRDefault="00E66E75" w:rsidP="00E66E75">
      <w:r>
        <w:t>The BSP</w:t>
      </w:r>
      <w:r w:rsidR="00854565">
        <w:t xml:space="preserve"> contributes to Indigenous Advancement Strategy (IAS) objectives of </w:t>
      </w:r>
      <w:r w:rsidR="00520E36">
        <w:t xml:space="preserve">Fostering Indigenous business </w:t>
      </w:r>
      <w:r w:rsidR="00854565">
        <w:t xml:space="preserve">and </w:t>
      </w:r>
      <w:r w:rsidR="00FC1AC6">
        <w:t xml:space="preserve">the policy objectives of the </w:t>
      </w:r>
      <w:r>
        <w:t>2017 Indigenous Business Sector Strategy (IBSS).</w:t>
      </w:r>
    </w:p>
    <w:p w14:paraId="3CF3DC82" w14:textId="1CD552CA" w:rsidR="00E66E75" w:rsidRDefault="00E66E75" w:rsidP="00E66E75">
      <w:r>
        <w:t>T</w:t>
      </w:r>
      <w:r w:rsidRPr="00791ECA">
        <w:t>h</w:t>
      </w:r>
      <w:r>
        <w:t xml:space="preserve">e </w:t>
      </w:r>
      <w:r w:rsidRPr="00791ECA">
        <w:t xml:space="preserve">purpose of </w:t>
      </w:r>
      <w:r>
        <w:t>this</w:t>
      </w:r>
      <w:r w:rsidRPr="00791ECA">
        <w:t xml:space="preserve"> evaluation </w:t>
      </w:r>
      <w:r>
        <w:t>wa</w:t>
      </w:r>
      <w:r w:rsidRPr="00791ECA">
        <w:t>s to</w:t>
      </w:r>
      <w:r>
        <w:t xml:space="preserve"> </w:t>
      </w:r>
      <w:r w:rsidR="00854565">
        <w:t xml:space="preserve">understand </w:t>
      </w:r>
      <w:bookmarkStart w:id="8" w:name="_Hlk119858461"/>
      <w:r w:rsidRPr="00791ECA">
        <w:t>whether the</w:t>
      </w:r>
      <w:r>
        <w:t xml:space="preserve"> BSP’s delivery has achieved its</w:t>
      </w:r>
      <w:r w:rsidRPr="00791ECA">
        <w:t xml:space="preserve"> policy intent </w:t>
      </w:r>
      <w:r>
        <w:t>to support</w:t>
      </w:r>
      <w:r w:rsidR="00854565">
        <w:t xml:space="preserve"> and develop</w:t>
      </w:r>
      <w:r>
        <w:t xml:space="preserve"> early stage, pre-bank, and high risk Indigenous businesses</w:t>
      </w:r>
      <w:bookmarkEnd w:id="8"/>
      <w:r>
        <w:t>.</w:t>
      </w:r>
      <w:r w:rsidR="00E00044">
        <w:rPr>
          <w:rStyle w:val="FootnoteReference"/>
        </w:rPr>
        <w:footnoteReference w:id="2"/>
      </w:r>
      <w:r>
        <w:t xml:space="preserve"> The evaluation’s three objectives were to: </w:t>
      </w:r>
    </w:p>
    <w:p w14:paraId="725F4DE0" w14:textId="5180CA97" w:rsidR="00E66E75" w:rsidRDefault="00D8688E">
      <w:pPr>
        <w:pStyle w:val="ListParagraph"/>
        <w:numPr>
          <w:ilvl w:val="0"/>
          <w:numId w:val="35"/>
        </w:numPr>
      </w:pPr>
      <w:r>
        <w:t>A</w:t>
      </w:r>
      <w:r w:rsidR="00E66E75" w:rsidRPr="009E1BF1">
        <w:t xml:space="preserve">ssess the </w:t>
      </w:r>
      <w:r w:rsidR="00E66E75" w:rsidRPr="009C76D8">
        <w:t>appropriateness of the design and delivery of the program in meeting the needs of Indigenous businesses</w:t>
      </w:r>
    </w:p>
    <w:p w14:paraId="4D3B84BC" w14:textId="627F898B" w:rsidR="00E66E75" w:rsidRDefault="00D8688E">
      <w:pPr>
        <w:pStyle w:val="ListParagraph"/>
        <w:numPr>
          <w:ilvl w:val="0"/>
          <w:numId w:val="35"/>
        </w:numPr>
      </w:pPr>
      <w:r>
        <w:t>A</w:t>
      </w:r>
      <w:r w:rsidR="00E66E75" w:rsidRPr="009C76D8">
        <w:t>ssess the extent that the program has achieved its intended outcomes</w:t>
      </w:r>
      <w:r w:rsidR="00E66E75">
        <w:t xml:space="preserve"> </w:t>
      </w:r>
    </w:p>
    <w:p w14:paraId="7F5FEB99" w14:textId="742F0B29" w:rsidR="00E66E75" w:rsidRDefault="00D8688E">
      <w:pPr>
        <w:pStyle w:val="ListParagraph"/>
        <w:numPr>
          <w:ilvl w:val="0"/>
          <w:numId w:val="35"/>
        </w:numPr>
      </w:pPr>
      <w:r>
        <w:t>I</w:t>
      </w:r>
      <w:r w:rsidR="00E66E75" w:rsidRPr="009C76D8">
        <w:t>dentify opportunities to improve the governance, management</w:t>
      </w:r>
      <w:r w:rsidR="00E66E75">
        <w:t>,</w:t>
      </w:r>
      <w:r w:rsidR="00E66E75" w:rsidRPr="009C76D8">
        <w:t xml:space="preserve"> and delivery of the program.</w:t>
      </w:r>
      <w:r w:rsidR="00E66E75">
        <w:t xml:space="preserve"> </w:t>
      </w:r>
    </w:p>
    <w:p w14:paraId="1AAB8902" w14:textId="46D4C26B" w:rsidR="002A03A1" w:rsidRDefault="00E66E75" w:rsidP="006F4A3A">
      <w:r>
        <w:t>T</w:t>
      </w:r>
      <w:r w:rsidRPr="00791ECA">
        <w:t xml:space="preserve">he evaluation </w:t>
      </w:r>
      <w:r w:rsidR="00520E36">
        <w:t xml:space="preserve">includes the BSP </w:t>
      </w:r>
      <w:r w:rsidR="00213DFE">
        <w:t xml:space="preserve">products and services </w:t>
      </w:r>
      <w:r w:rsidR="00520E36">
        <w:t>delivered between</w:t>
      </w:r>
      <w:r>
        <w:t xml:space="preserve"> </w:t>
      </w:r>
      <w:r w:rsidR="00213DFE">
        <w:t xml:space="preserve">1 </w:t>
      </w:r>
      <w:r>
        <w:t>July 2016 and 30 June 2021.</w:t>
      </w:r>
      <w:r w:rsidRPr="00D208E1">
        <w:t xml:space="preserve"> </w:t>
      </w:r>
    </w:p>
    <w:p w14:paraId="719C8A90" w14:textId="2654B4DF" w:rsidR="00E66E75" w:rsidRDefault="00E66E75" w:rsidP="00E66E75">
      <w:pPr>
        <w:pStyle w:val="Heading2"/>
        <w:numPr>
          <w:ilvl w:val="0"/>
          <w:numId w:val="0"/>
        </w:numPr>
        <w:ind w:left="567" w:hanging="567"/>
      </w:pPr>
      <w:bookmarkStart w:id="9" w:name="_Toc123734686"/>
      <w:r>
        <w:t>Methodology</w:t>
      </w:r>
      <w:bookmarkEnd w:id="9"/>
      <w:r>
        <w:t xml:space="preserve"> </w:t>
      </w:r>
    </w:p>
    <w:p w14:paraId="535064D6" w14:textId="40C659A5" w:rsidR="00E66E75" w:rsidRDefault="00E66E75" w:rsidP="00E66E75">
      <w:r>
        <w:t xml:space="preserve">The evaluation was </w:t>
      </w:r>
      <w:r w:rsidR="00854565">
        <w:t>guided</w:t>
      </w:r>
      <w:r w:rsidR="00FC1AC6">
        <w:t xml:space="preserve"> </w:t>
      </w:r>
      <w:r>
        <w:t xml:space="preserve">by an evaluation strategy </w:t>
      </w:r>
      <w:r w:rsidRPr="00FE73DE">
        <w:t>includ</w:t>
      </w:r>
      <w:r w:rsidR="00854565">
        <w:t>ing</w:t>
      </w:r>
      <w:r w:rsidRPr="00FE73DE">
        <w:t xml:space="preserve"> a program logic and theory of change</w:t>
      </w:r>
      <w:r w:rsidR="00FC1AC6">
        <w:t>.</w:t>
      </w:r>
      <w:r w:rsidRPr="00FE73DE">
        <w:t xml:space="preserve"> </w:t>
      </w:r>
      <w:r>
        <w:t xml:space="preserve">The evaluation used a mixed-methods approach including </w:t>
      </w:r>
      <w:r w:rsidRPr="00F3508D">
        <w:t xml:space="preserve">qualitative </w:t>
      </w:r>
      <w:r>
        <w:t xml:space="preserve">and quantitative </w:t>
      </w:r>
      <w:r w:rsidRPr="00F3508D">
        <w:t>methods</w:t>
      </w:r>
      <w:r w:rsidR="00520E36">
        <w:t xml:space="preserve"> </w:t>
      </w:r>
      <w:r>
        <w:t>to answer 11 key evaluation questions. Key sources of data included IBA public reporting,</w:t>
      </w:r>
      <w:r w:rsidR="00FC1AC6">
        <w:t xml:space="preserve"> </w:t>
      </w:r>
      <w:r>
        <w:t>internal governance policies and procedures, BSP performance reports, customer data (such as support type, loan amount, and industry), surve</w:t>
      </w:r>
      <w:r w:rsidR="00FC1AC6">
        <w:t>y and interview data</w:t>
      </w:r>
      <w:r>
        <w:t>. The evaluation also drew on findings from a</w:t>
      </w:r>
      <w:r>
        <w:rPr>
          <w:rFonts w:eastAsia="Times New Roman"/>
        </w:rPr>
        <w:t xml:space="preserve"> recent </w:t>
      </w:r>
      <w:r w:rsidRPr="00A90860">
        <w:t>performance audit of IBA’s business support and investment activities</w:t>
      </w:r>
      <w:r w:rsidR="009A691D" w:rsidRPr="00A526AC">
        <w:rPr>
          <w:b/>
          <w:bCs/>
          <w:vertAlign w:val="superscript"/>
        </w:rPr>
        <w:footnoteReference w:id="3"/>
      </w:r>
      <w:r>
        <w:t>, conducted by</w:t>
      </w:r>
      <w:r>
        <w:rPr>
          <w:rFonts w:eastAsia="Times New Roman"/>
        </w:rPr>
        <w:t xml:space="preserve"> the </w:t>
      </w:r>
      <w:r w:rsidRPr="00A90860">
        <w:t>Australian National Audit Office (</w:t>
      </w:r>
      <w:r>
        <w:t>ANAO)</w:t>
      </w:r>
      <w:r w:rsidRPr="00B15079">
        <w:t xml:space="preserve">. </w:t>
      </w:r>
    </w:p>
    <w:p w14:paraId="4E39474C" w14:textId="1E4042F7" w:rsidR="00E66E75" w:rsidRPr="00A526AC" w:rsidRDefault="00E66E75" w:rsidP="00E66E75">
      <w:r>
        <w:t xml:space="preserve">There are limitations to </w:t>
      </w:r>
      <w:r w:rsidR="004F3B4F">
        <w:t xml:space="preserve">the data underpinning </w:t>
      </w:r>
      <w:r>
        <w:t xml:space="preserve">the evaluation. </w:t>
      </w:r>
      <w:r w:rsidR="004F3B4F">
        <w:t xml:space="preserve">These limitations primarily relate to </w:t>
      </w:r>
      <w:r w:rsidR="00543194">
        <w:t>the limitations of available IBA data</w:t>
      </w:r>
      <w:r w:rsidR="00EE7E76">
        <w:t xml:space="preserve">, </w:t>
      </w:r>
      <w:r w:rsidR="00543194">
        <w:t>the type of performance and financial information required to be captured and reported to NIAA</w:t>
      </w:r>
      <w:r w:rsidR="004F3B4F">
        <w:t xml:space="preserve">; </w:t>
      </w:r>
      <w:r w:rsidR="00EE7E76">
        <w:t xml:space="preserve">and the </w:t>
      </w:r>
      <w:r w:rsidR="004F3B4F">
        <w:t>response rates to primary survey data collection</w:t>
      </w:r>
      <w:r w:rsidR="00543194">
        <w:t xml:space="preserve">. </w:t>
      </w:r>
      <w:bookmarkStart w:id="10" w:name="_Hlk120219235"/>
      <w:r>
        <w:t>IBA’s customer relationship management (CRM) system</w:t>
      </w:r>
      <w:r w:rsidR="00543194">
        <w:t xml:space="preserve">(s) used to capture BSP customer data was not purposely designed for the program. </w:t>
      </w:r>
      <w:r w:rsidR="004F3B4F">
        <w:t xml:space="preserve">As a result, </w:t>
      </w:r>
      <w:r w:rsidR="00543194">
        <w:t xml:space="preserve">IBA was unable </w:t>
      </w:r>
      <w:r w:rsidRPr="003562E4">
        <w:rPr>
          <w:b/>
          <w:bCs/>
        </w:rPr>
        <w:t xml:space="preserve">to extract </w:t>
      </w:r>
      <w:r>
        <w:rPr>
          <w:b/>
          <w:bCs/>
        </w:rPr>
        <w:t xml:space="preserve">the </w:t>
      </w:r>
      <w:r w:rsidRPr="003562E4">
        <w:rPr>
          <w:b/>
          <w:bCs/>
        </w:rPr>
        <w:t xml:space="preserve">comprehensive </w:t>
      </w:r>
      <w:r>
        <w:rPr>
          <w:b/>
          <w:bCs/>
        </w:rPr>
        <w:t xml:space="preserve">customer </w:t>
      </w:r>
      <w:r w:rsidRPr="003562E4">
        <w:rPr>
          <w:b/>
          <w:bCs/>
        </w:rPr>
        <w:t>data</w:t>
      </w:r>
      <w:r>
        <w:t xml:space="preserve"> </w:t>
      </w:r>
      <w:r w:rsidR="00543194">
        <w:t xml:space="preserve">in a suitable form </w:t>
      </w:r>
      <w:r>
        <w:t>to test the program logic.</w:t>
      </w:r>
      <w:bookmarkEnd w:id="10"/>
      <w:r>
        <w:t xml:space="preserve"> </w:t>
      </w:r>
      <w:bookmarkStart w:id="11" w:name="_Hlk120219460"/>
      <w:r w:rsidR="004F3B4F">
        <w:t>T</w:t>
      </w:r>
      <w:r>
        <w:t xml:space="preserve">he </w:t>
      </w:r>
      <w:r w:rsidR="004F3B4F">
        <w:t xml:space="preserve">deidentified </w:t>
      </w:r>
      <w:r w:rsidR="00543194">
        <w:t xml:space="preserve">customer </w:t>
      </w:r>
      <w:r>
        <w:t xml:space="preserve">datasets provided </w:t>
      </w:r>
      <w:r w:rsidR="00543194">
        <w:t xml:space="preserve">to the evaluation team </w:t>
      </w:r>
      <w:r>
        <w:t xml:space="preserve">were aligned to the contract’s </w:t>
      </w:r>
      <w:r w:rsidR="0094327B">
        <w:t>K</w:t>
      </w:r>
      <w:r>
        <w:t xml:space="preserve">ey </w:t>
      </w:r>
      <w:r w:rsidR="0094327B">
        <w:t>P</w:t>
      </w:r>
      <w:r>
        <w:t xml:space="preserve">erformance </w:t>
      </w:r>
      <w:r w:rsidR="0094327B">
        <w:t>I</w:t>
      </w:r>
      <w:r>
        <w:t xml:space="preserve">ndicators (KPI). </w:t>
      </w:r>
      <w:bookmarkEnd w:id="11"/>
      <w:r>
        <w:t xml:space="preserve">As they did not contain </w:t>
      </w:r>
      <w:r w:rsidRPr="00A526AC">
        <w:t xml:space="preserve">a unique identifier for each business customer, </w:t>
      </w:r>
      <w:r w:rsidRPr="00BC6225">
        <w:rPr>
          <w:b/>
          <w:bCs/>
        </w:rPr>
        <w:t xml:space="preserve">it was not possible to track </w:t>
      </w:r>
      <w:r w:rsidR="00543194">
        <w:rPr>
          <w:b/>
          <w:bCs/>
        </w:rPr>
        <w:t>a</w:t>
      </w:r>
      <w:r w:rsidR="00543194" w:rsidRPr="00BC6225">
        <w:rPr>
          <w:b/>
          <w:bCs/>
        </w:rPr>
        <w:t xml:space="preserve"> </w:t>
      </w:r>
      <w:r w:rsidRPr="00BC6225">
        <w:rPr>
          <w:b/>
          <w:bCs/>
        </w:rPr>
        <w:t xml:space="preserve">customer’s journey </w:t>
      </w:r>
      <w:r w:rsidR="00543194">
        <w:rPr>
          <w:b/>
          <w:bCs/>
        </w:rPr>
        <w:t xml:space="preserve">over the years of support or </w:t>
      </w:r>
      <w:r w:rsidRPr="00BC6225">
        <w:rPr>
          <w:b/>
          <w:bCs/>
        </w:rPr>
        <w:t>through the various support elements of the BSP</w:t>
      </w:r>
      <w:r>
        <w:t xml:space="preserve">. This made it difficult to assess the extent of support provided to a business and whether the program is helping businesses to move through different stages. </w:t>
      </w:r>
      <w:r w:rsidR="00543194">
        <w:t>In addition, t</w:t>
      </w:r>
      <w:r w:rsidR="00BC5B4A" w:rsidRPr="00FE73DE">
        <w:t>he failure to capture data on demand for BSP services ma</w:t>
      </w:r>
      <w:r w:rsidR="00BC5B4A">
        <w:t>d</w:t>
      </w:r>
      <w:r w:rsidR="00BC5B4A" w:rsidRPr="00FE73DE">
        <w:t>e it impossible to assess whether the program’s products and services met the needs of the broader potential client base</w:t>
      </w:r>
      <w:r w:rsidR="00BC5B4A">
        <w:t xml:space="preserve">. </w:t>
      </w:r>
      <w:r w:rsidR="00543194">
        <w:t>Further data limitations as part of annual financial reconciliations made it not possible to</w:t>
      </w:r>
      <w:r w:rsidR="00BC5B4A" w:rsidRPr="00FE73DE">
        <w:rPr>
          <w:szCs w:val="24"/>
        </w:rPr>
        <w:t xml:space="preserve"> distinguish how much IBA spends </w:t>
      </w:r>
      <w:r w:rsidR="00BC5B4A">
        <w:rPr>
          <w:szCs w:val="24"/>
        </w:rPr>
        <w:t xml:space="preserve">across each of the </w:t>
      </w:r>
      <w:r w:rsidR="00543194">
        <w:rPr>
          <w:szCs w:val="24"/>
        </w:rPr>
        <w:t xml:space="preserve">service and support </w:t>
      </w:r>
      <w:r w:rsidR="00BC5B4A" w:rsidRPr="00FE73DE">
        <w:rPr>
          <w:szCs w:val="24"/>
        </w:rPr>
        <w:t>offerings</w:t>
      </w:r>
      <w:r w:rsidR="00543194">
        <w:rPr>
          <w:szCs w:val="24"/>
        </w:rPr>
        <w:t>.</w:t>
      </w:r>
      <w:r w:rsidR="001F2BA9">
        <w:rPr>
          <w:szCs w:val="24"/>
        </w:rPr>
        <w:t xml:space="preserve"> T</w:t>
      </w:r>
      <w:r>
        <w:t xml:space="preserve">here were </w:t>
      </w:r>
      <w:r w:rsidRPr="004F3B4F">
        <w:rPr>
          <w:b/>
          <w:bCs/>
        </w:rPr>
        <w:t>l</w:t>
      </w:r>
      <w:r w:rsidRPr="00E70789">
        <w:rPr>
          <w:b/>
          <w:bCs/>
        </w:rPr>
        <w:t>ow response rate</w:t>
      </w:r>
      <w:r>
        <w:rPr>
          <w:b/>
          <w:bCs/>
        </w:rPr>
        <w:t>s to</w:t>
      </w:r>
      <w:r w:rsidRPr="00BC6225">
        <w:rPr>
          <w:b/>
          <w:bCs/>
        </w:rPr>
        <w:t xml:space="preserve"> the surveys and follow-up </w:t>
      </w:r>
      <w:r>
        <w:rPr>
          <w:b/>
          <w:bCs/>
        </w:rPr>
        <w:t>interviews</w:t>
      </w:r>
      <w:r w:rsidRPr="00BC6225">
        <w:rPr>
          <w:b/>
          <w:bCs/>
        </w:rPr>
        <w:t>,</w:t>
      </w:r>
      <w:r>
        <w:t xml:space="preserve"> meaning that</w:t>
      </w:r>
      <w:r w:rsidRPr="00A526AC">
        <w:t xml:space="preserve"> </w:t>
      </w:r>
      <w:r w:rsidR="004F3B4F">
        <w:t xml:space="preserve">related </w:t>
      </w:r>
      <w:r w:rsidRPr="00A526AC">
        <w:t xml:space="preserve">findings are indicative rather than statistically representative. </w:t>
      </w:r>
    </w:p>
    <w:p w14:paraId="06711B7C" w14:textId="77777777" w:rsidR="00E66E75" w:rsidRDefault="00E66E75" w:rsidP="00E66E75">
      <w:pPr>
        <w:pStyle w:val="Heading2"/>
        <w:numPr>
          <w:ilvl w:val="0"/>
          <w:numId w:val="0"/>
        </w:numPr>
        <w:ind w:left="567" w:hanging="567"/>
      </w:pPr>
      <w:bookmarkStart w:id="12" w:name="_Toc123734687"/>
      <w:r>
        <w:t>Key findings</w:t>
      </w:r>
      <w:bookmarkEnd w:id="12"/>
      <w:r>
        <w:t xml:space="preserve"> </w:t>
      </w:r>
    </w:p>
    <w:p w14:paraId="3C38149A" w14:textId="5B9CF8C3" w:rsidR="00E66E75" w:rsidRDefault="00E66E75" w:rsidP="00E66E75">
      <w:r>
        <w:t xml:space="preserve">The </w:t>
      </w:r>
      <w:r w:rsidR="00873A02">
        <w:t>k</w:t>
      </w:r>
      <w:r w:rsidR="00FC1AC6">
        <w:t xml:space="preserve">ey findings for each </w:t>
      </w:r>
      <w:r>
        <w:t xml:space="preserve">evaluation </w:t>
      </w:r>
      <w:r w:rsidR="00FC1AC6">
        <w:t xml:space="preserve">question are presented </w:t>
      </w:r>
      <w:r w:rsidR="00520E36">
        <w:t>below</w:t>
      </w:r>
      <w:r w:rsidR="002A03A1">
        <w:t>.</w:t>
      </w:r>
      <w:r w:rsidR="00520E36">
        <w:t xml:space="preserve"> </w:t>
      </w:r>
      <w:r w:rsidR="002A03A1">
        <w:t xml:space="preserve">Refer to the beginning of each section of the report for more detail.  </w:t>
      </w:r>
    </w:p>
    <w:tbl>
      <w:tblPr>
        <w:tblStyle w:val="Summaryboxtablestyle"/>
        <w:tblW w:w="0" w:type="auto"/>
        <w:tblLook w:val="04A0" w:firstRow="1" w:lastRow="0" w:firstColumn="1" w:lastColumn="0" w:noHBand="0" w:noVBand="1"/>
      </w:tblPr>
      <w:tblGrid>
        <w:gridCol w:w="3073"/>
        <w:gridCol w:w="5817"/>
      </w:tblGrid>
      <w:tr w:rsidR="00E66E75" w14:paraId="00782950" w14:textId="77777777" w:rsidTr="00074C2F">
        <w:trPr>
          <w:cnfStyle w:val="100000000000" w:firstRow="1" w:lastRow="0" w:firstColumn="0" w:lastColumn="0" w:oddVBand="0" w:evenVBand="0" w:oddHBand="0" w:evenHBand="0" w:firstRowFirstColumn="0" w:firstRowLastColumn="0" w:lastRowFirstColumn="0" w:lastRowLastColumn="0"/>
          <w:tblHeader/>
        </w:trPr>
        <w:tc>
          <w:tcPr>
            <w:tcW w:w="0" w:type="auto"/>
          </w:tcPr>
          <w:p w14:paraId="4E7B2665" w14:textId="77777777" w:rsidR="00E66E75" w:rsidRPr="00087321" w:rsidRDefault="00E66E75" w:rsidP="000D572A">
            <w:pPr>
              <w:spacing w:before="40" w:after="40" w:line="240" w:lineRule="auto"/>
              <w:jc w:val="left"/>
              <w:rPr>
                <w:sz w:val="22"/>
              </w:rPr>
            </w:pPr>
            <w:r w:rsidRPr="00087321">
              <w:rPr>
                <w:sz w:val="22"/>
              </w:rPr>
              <w:t>Evaluation question</w:t>
            </w:r>
          </w:p>
        </w:tc>
        <w:tc>
          <w:tcPr>
            <w:tcW w:w="0" w:type="auto"/>
          </w:tcPr>
          <w:p w14:paraId="657CD159" w14:textId="77777777" w:rsidR="00E66E75" w:rsidRPr="00087321" w:rsidRDefault="00E66E75" w:rsidP="000D572A">
            <w:pPr>
              <w:spacing w:before="40" w:after="40" w:line="240" w:lineRule="auto"/>
              <w:jc w:val="left"/>
              <w:rPr>
                <w:sz w:val="22"/>
              </w:rPr>
            </w:pPr>
            <w:r w:rsidRPr="00087321">
              <w:rPr>
                <w:sz w:val="22"/>
              </w:rPr>
              <w:t>Findings</w:t>
            </w:r>
          </w:p>
        </w:tc>
      </w:tr>
      <w:tr w:rsidR="00E66E75" w14:paraId="60DEF9CF" w14:textId="77777777" w:rsidTr="00074C2F">
        <w:tc>
          <w:tcPr>
            <w:tcW w:w="0" w:type="auto"/>
          </w:tcPr>
          <w:p w14:paraId="1CD59DB5"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Is the suite of products and services delivered under the BSP aligned with the policy intent?</w:t>
            </w:r>
          </w:p>
        </w:tc>
        <w:tc>
          <w:tcPr>
            <w:tcW w:w="0" w:type="auto"/>
          </w:tcPr>
          <w:p w14:paraId="4A0FF2B6" w14:textId="77777777" w:rsidR="00E66E75" w:rsidRPr="00D54F1B" w:rsidRDefault="00E66E75">
            <w:pPr>
              <w:pStyle w:val="ListParagraph"/>
              <w:numPr>
                <w:ilvl w:val="0"/>
                <w:numId w:val="33"/>
              </w:numPr>
              <w:spacing w:before="40" w:after="40"/>
              <w:ind w:left="284"/>
              <w:jc w:val="left"/>
              <w:rPr>
                <w:sz w:val="22"/>
              </w:rPr>
            </w:pPr>
            <w:r w:rsidRPr="00D54F1B">
              <w:rPr>
                <w:sz w:val="22"/>
              </w:rPr>
              <w:t xml:space="preserve">The </w:t>
            </w:r>
            <w:r>
              <w:rPr>
                <w:sz w:val="22"/>
              </w:rPr>
              <w:t xml:space="preserve">financial </w:t>
            </w:r>
            <w:r w:rsidRPr="00D54F1B">
              <w:rPr>
                <w:sz w:val="22"/>
              </w:rPr>
              <w:t xml:space="preserve">products and </w:t>
            </w:r>
            <w:r>
              <w:rPr>
                <w:sz w:val="22"/>
              </w:rPr>
              <w:t xml:space="preserve">business support </w:t>
            </w:r>
            <w:r w:rsidRPr="00D54F1B">
              <w:rPr>
                <w:sz w:val="22"/>
              </w:rPr>
              <w:t xml:space="preserve">services delivered under the BSP </w:t>
            </w:r>
            <w:r>
              <w:rPr>
                <w:sz w:val="22"/>
              </w:rPr>
              <w:t>were</w:t>
            </w:r>
            <w:r w:rsidRPr="00D54F1B">
              <w:rPr>
                <w:sz w:val="22"/>
              </w:rPr>
              <w:t xml:space="preserve"> aligned with the policy intent of supporting Indigenous businesses classified as early stage, pre-bank, and high risk, and those operating in regional and remote Australia. </w:t>
            </w:r>
          </w:p>
        </w:tc>
      </w:tr>
      <w:tr w:rsidR="00E66E75" w14:paraId="6D5E1CBE" w14:textId="77777777" w:rsidTr="00074C2F">
        <w:trPr>
          <w:cnfStyle w:val="000000010000" w:firstRow="0" w:lastRow="0" w:firstColumn="0" w:lastColumn="0" w:oddVBand="0" w:evenVBand="0" w:oddHBand="0" w:evenHBand="1" w:firstRowFirstColumn="0" w:firstRowLastColumn="0" w:lastRowFirstColumn="0" w:lastRowLastColumn="0"/>
        </w:trPr>
        <w:tc>
          <w:tcPr>
            <w:tcW w:w="0" w:type="auto"/>
          </w:tcPr>
          <w:p w14:paraId="65225982"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Is the program design aligned with IBSS suite of services?</w:t>
            </w:r>
          </w:p>
        </w:tc>
        <w:tc>
          <w:tcPr>
            <w:tcW w:w="0" w:type="auto"/>
          </w:tcPr>
          <w:p w14:paraId="024AA3F5" w14:textId="20DB3D04" w:rsidR="00E66E75" w:rsidRDefault="00E66E75">
            <w:pPr>
              <w:pStyle w:val="ListParagraph"/>
              <w:numPr>
                <w:ilvl w:val="0"/>
                <w:numId w:val="33"/>
              </w:numPr>
              <w:spacing w:before="40" w:after="40"/>
              <w:ind w:left="284"/>
              <w:jc w:val="left"/>
              <w:rPr>
                <w:sz w:val="22"/>
              </w:rPr>
            </w:pPr>
            <w:r>
              <w:rPr>
                <w:sz w:val="22"/>
                <w:lang w:eastAsia="en-AU"/>
              </w:rPr>
              <w:t>I</w:t>
            </w:r>
            <w:r w:rsidRPr="00D54F1B">
              <w:rPr>
                <w:sz w:val="22"/>
                <w:lang w:eastAsia="en-AU"/>
              </w:rPr>
              <w:t xml:space="preserve">nitial </w:t>
            </w:r>
            <w:r w:rsidRPr="00D54F1B">
              <w:rPr>
                <w:sz w:val="22"/>
              </w:rPr>
              <w:t>program design was aligned with the</w:t>
            </w:r>
            <w:r w:rsidR="002A03A1">
              <w:rPr>
                <w:sz w:val="22"/>
              </w:rPr>
              <w:t xml:space="preserve"> anticipated suite of</w:t>
            </w:r>
            <w:r w:rsidRPr="00D54F1B">
              <w:rPr>
                <w:sz w:val="22"/>
              </w:rPr>
              <w:t xml:space="preserve"> IBSS services</w:t>
            </w:r>
            <w:r w:rsidR="00CB1B58">
              <w:rPr>
                <w:sz w:val="22"/>
              </w:rPr>
              <w:t>,</w:t>
            </w:r>
            <w:r w:rsidR="002A03A1">
              <w:rPr>
                <w:sz w:val="22"/>
              </w:rPr>
              <w:t xml:space="preserve"> including better access to business support, improv</w:t>
            </w:r>
            <w:r w:rsidR="00325A89">
              <w:rPr>
                <w:sz w:val="22"/>
              </w:rPr>
              <w:t xml:space="preserve">ing </w:t>
            </w:r>
            <w:r w:rsidR="002A03A1">
              <w:rPr>
                <w:sz w:val="22"/>
              </w:rPr>
              <w:t xml:space="preserve">access to finance, and </w:t>
            </w:r>
            <w:r w:rsidR="00325A89">
              <w:rPr>
                <w:sz w:val="22"/>
              </w:rPr>
              <w:t xml:space="preserve">helping create </w:t>
            </w:r>
            <w:r w:rsidR="002A03A1">
              <w:rPr>
                <w:sz w:val="22"/>
              </w:rPr>
              <w:t>stronger connections and networks.</w:t>
            </w:r>
            <w:r>
              <w:rPr>
                <w:sz w:val="22"/>
              </w:rPr>
              <w:t xml:space="preserve"> </w:t>
            </w:r>
            <w:r w:rsidR="002B32C2">
              <w:rPr>
                <w:sz w:val="22"/>
              </w:rPr>
              <w:t>This could be strengthened by inclu</w:t>
            </w:r>
            <w:r w:rsidR="00325A89">
              <w:rPr>
                <w:sz w:val="22"/>
              </w:rPr>
              <w:t>ding</w:t>
            </w:r>
            <w:r w:rsidR="002B32C2" w:rsidRPr="00807C2B">
              <w:rPr>
                <w:sz w:val="22"/>
              </w:rPr>
              <w:t xml:space="preserve"> an exit strategy for more mature business finance customers </w:t>
            </w:r>
            <w:r w:rsidR="004F14FC" w:rsidRPr="00807C2B">
              <w:rPr>
                <w:sz w:val="22"/>
              </w:rPr>
              <w:t xml:space="preserve">to </w:t>
            </w:r>
            <w:r w:rsidR="004F14FC">
              <w:rPr>
                <w:sz w:val="22"/>
              </w:rPr>
              <w:t xml:space="preserve">help them </w:t>
            </w:r>
            <w:r w:rsidR="004F14FC" w:rsidRPr="00807C2B">
              <w:rPr>
                <w:sz w:val="22"/>
              </w:rPr>
              <w:t xml:space="preserve">seek </w:t>
            </w:r>
            <w:r w:rsidR="002B32C2" w:rsidRPr="00807C2B">
              <w:rPr>
                <w:sz w:val="22"/>
              </w:rPr>
              <w:t>finance from commercial service providers (and hence free up limited capital for those unable to access commercial finance).</w:t>
            </w:r>
          </w:p>
          <w:p w14:paraId="71D0ABDC" w14:textId="62C2E41B" w:rsidR="00E9560D" w:rsidRPr="00EE7E76" w:rsidRDefault="00E9560D">
            <w:pPr>
              <w:pStyle w:val="ListParagraph"/>
              <w:numPr>
                <w:ilvl w:val="0"/>
                <w:numId w:val="33"/>
              </w:numPr>
              <w:spacing w:before="40" w:after="40"/>
              <w:ind w:left="284"/>
              <w:jc w:val="left"/>
              <w:rPr>
                <w:spacing w:val="-2"/>
                <w:sz w:val="22"/>
              </w:rPr>
            </w:pPr>
            <w:r w:rsidRPr="00CF1D9D">
              <w:rPr>
                <w:sz w:val="22"/>
              </w:rPr>
              <w:t xml:space="preserve">A key </w:t>
            </w:r>
            <w:r w:rsidR="00CB1B58">
              <w:rPr>
                <w:sz w:val="22"/>
              </w:rPr>
              <w:t>goal</w:t>
            </w:r>
            <w:r w:rsidR="00CB1B58" w:rsidRPr="00CF1D9D">
              <w:rPr>
                <w:sz w:val="22"/>
              </w:rPr>
              <w:t xml:space="preserve"> </w:t>
            </w:r>
            <w:r w:rsidRPr="00CF1D9D">
              <w:rPr>
                <w:sz w:val="22"/>
              </w:rPr>
              <w:t xml:space="preserve">of the IBSS was to increase the number, size, and diversity of Indigenous businesses, and to harness the power of knowledge by improving the collection and sharing of data about Indigenous business. However, the design of BSP reporting does not require the capture of demand levels for BSP products and services, nor does it distinguish between new and existing customers or industry type. As a result, the BSP </w:t>
            </w:r>
            <w:r w:rsidR="00122589" w:rsidRPr="00CF1D9D">
              <w:rPr>
                <w:sz w:val="22"/>
              </w:rPr>
              <w:t xml:space="preserve">reporting </w:t>
            </w:r>
            <w:r w:rsidRPr="00CF1D9D">
              <w:rPr>
                <w:sz w:val="22"/>
              </w:rPr>
              <w:t xml:space="preserve">does not help improve the scope and detail of data on Indigenous businesses, or </w:t>
            </w:r>
            <w:r w:rsidR="00347A75">
              <w:rPr>
                <w:sz w:val="22"/>
              </w:rPr>
              <w:t>facilitate</w:t>
            </w:r>
            <w:r w:rsidR="00347A75" w:rsidRPr="00CF1D9D">
              <w:rPr>
                <w:sz w:val="22"/>
              </w:rPr>
              <w:t xml:space="preserve"> </w:t>
            </w:r>
            <w:r w:rsidRPr="00CF1D9D">
              <w:rPr>
                <w:sz w:val="22"/>
              </w:rPr>
              <w:t>the measure</w:t>
            </w:r>
            <w:r w:rsidR="00347A75">
              <w:rPr>
                <w:sz w:val="22"/>
              </w:rPr>
              <w:t>ment</w:t>
            </w:r>
            <w:r w:rsidRPr="00CF1D9D">
              <w:rPr>
                <w:sz w:val="22"/>
              </w:rPr>
              <w:t xml:space="preserve"> of change over the evaluation period.</w:t>
            </w:r>
            <w:r>
              <w:rPr>
                <w:spacing w:val="-2"/>
                <w:sz w:val="22"/>
              </w:rPr>
              <w:t xml:space="preserve"> </w:t>
            </w:r>
          </w:p>
        </w:tc>
      </w:tr>
      <w:tr w:rsidR="00E66E75" w14:paraId="1F7132CC" w14:textId="77777777" w:rsidTr="00074C2F">
        <w:tc>
          <w:tcPr>
            <w:tcW w:w="0" w:type="auto"/>
          </w:tcPr>
          <w:p w14:paraId="4E818EBF"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Has the delivery of BSP products and services met the contract targets?</w:t>
            </w:r>
          </w:p>
        </w:tc>
        <w:tc>
          <w:tcPr>
            <w:tcW w:w="0" w:type="auto"/>
          </w:tcPr>
          <w:p w14:paraId="5B4E1A9D" w14:textId="34B456E5" w:rsidR="00E66E75" w:rsidRPr="00D54F1B" w:rsidRDefault="00E66E75">
            <w:pPr>
              <w:pStyle w:val="ListParagraph"/>
              <w:numPr>
                <w:ilvl w:val="0"/>
                <w:numId w:val="33"/>
              </w:numPr>
              <w:spacing w:before="40" w:after="40"/>
              <w:ind w:left="284"/>
              <w:jc w:val="left"/>
              <w:rPr>
                <w:sz w:val="22"/>
              </w:rPr>
            </w:pPr>
            <w:r w:rsidRPr="00D54F1B">
              <w:rPr>
                <w:sz w:val="22"/>
              </w:rPr>
              <w:t xml:space="preserve">The </w:t>
            </w:r>
            <w:r w:rsidR="00B63538">
              <w:rPr>
                <w:sz w:val="22"/>
              </w:rPr>
              <w:t xml:space="preserve">majority of </w:t>
            </w:r>
            <w:r w:rsidRPr="00D54F1B">
              <w:rPr>
                <w:sz w:val="22"/>
              </w:rPr>
              <w:t>KPIs</w:t>
            </w:r>
            <w:r w:rsidR="00B13E4B">
              <w:rPr>
                <w:sz w:val="22"/>
              </w:rPr>
              <w:t xml:space="preserve"> </w:t>
            </w:r>
            <w:r w:rsidR="00347A75">
              <w:rPr>
                <w:sz w:val="22"/>
              </w:rPr>
              <w:t>were</w:t>
            </w:r>
            <w:r w:rsidR="00B13E4B">
              <w:rPr>
                <w:sz w:val="22"/>
              </w:rPr>
              <w:t xml:space="preserve"> met</w:t>
            </w:r>
            <w:r w:rsidRPr="00D54F1B">
              <w:rPr>
                <w:sz w:val="22"/>
              </w:rPr>
              <w:t xml:space="preserve">, although there were some issues with the accuracy and rigour of the KPIs. </w:t>
            </w:r>
          </w:p>
          <w:p w14:paraId="5E5FE215" w14:textId="77777777" w:rsidR="00E66E75" w:rsidRPr="00D54F1B" w:rsidRDefault="00E66E75">
            <w:pPr>
              <w:pStyle w:val="ListParagraph"/>
              <w:numPr>
                <w:ilvl w:val="0"/>
                <w:numId w:val="33"/>
              </w:numPr>
              <w:spacing w:before="40" w:after="40"/>
              <w:ind w:left="284"/>
              <w:jc w:val="left"/>
              <w:rPr>
                <w:sz w:val="22"/>
              </w:rPr>
            </w:pPr>
            <w:r w:rsidRPr="00D54F1B">
              <w:rPr>
                <w:sz w:val="22"/>
              </w:rPr>
              <w:t xml:space="preserve">Some important contractual activities were not achieved, notably the development of a written referral framework to meet customer needs, and </w:t>
            </w:r>
            <w:r>
              <w:rPr>
                <w:sz w:val="22"/>
              </w:rPr>
              <w:t>six-monthly meetings</w:t>
            </w:r>
            <w:r w:rsidRPr="00D54F1B">
              <w:rPr>
                <w:sz w:val="22"/>
              </w:rPr>
              <w:t xml:space="preserve"> </w:t>
            </w:r>
            <w:r>
              <w:rPr>
                <w:sz w:val="22"/>
              </w:rPr>
              <w:t xml:space="preserve">for </w:t>
            </w:r>
            <w:r w:rsidRPr="00D54F1B">
              <w:rPr>
                <w:sz w:val="22"/>
              </w:rPr>
              <w:t xml:space="preserve">regional representatives to discuss </w:t>
            </w:r>
            <w:r>
              <w:rPr>
                <w:sz w:val="22"/>
              </w:rPr>
              <w:t xml:space="preserve">local-level </w:t>
            </w:r>
            <w:r w:rsidRPr="00D54F1B">
              <w:rPr>
                <w:sz w:val="22"/>
              </w:rPr>
              <w:t>progress.</w:t>
            </w:r>
          </w:p>
        </w:tc>
      </w:tr>
      <w:tr w:rsidR="00E66E75" w14:paraId="3845BC8A" w14:textId="77777777" w:rsidTr="00074C2F">
        <w:trPr>
          <w:cnfStyle w:val="000000010000" w:firstRow="0" w:lastRow="0" w:firstColumn="0" w:lastColumn="0" w:oddVBand="0" w:evenVBand="0" w:oddHBand="0" w:evenHBand="1" w:firstRowFirstColumn="0" w:firstRowLastColumn="0" w:lastRowFirstColumn="0" w:lastRowLastColumn="0"/>
        </w:trPr>
        <w:tc>
          <w:tcPr>
            <w:tcW w:w="0" w:type="auto"/>
          </w:tcPr>
          <w:p w14:paraId="54B6768D"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Do the products and services delivered under the BSP meet the needs of clients?</w:t>
            </w:r>
          </w:p>
        </w:tc>
        <w:tc>
          <w:tcPr>
            <w:tcW w:w="0" w:type="auto"/>
          </w:tcPr>
          <w:p w14:paraId="76EEF322" w14:textId="676EF449" w:rsidR="00E66E75" w:rsidRPr="00287829" w:rsidRDefault="00347A75">
            <w:pPr>
              <w:pStyle w:val="ListParagraph"/>
              <w:numPr>
                <w:ilvl w:val="0"/>
                <w:numId w:val="33"/>
              </w:numPr>
              <w:spacing w:before="40" w:after="40"/>
              <w:ind w:left="284"/>
              <w:jc w:val="left"/>
              <w:rPr>
                <w:sz w:val="22"/>
              </w:rPr>
            </w:pPr>
            <w:r>
              <w:rPr>
                <w:sz w:val="22"/>
              </w:rPr>
              <w:t xml:space="preserve">Survey data from </w:t>
            </w:r>
            <w:r w:rsidR="00FC1AC6">
              <w:rPr>
                <w:sz w:val="22"/>
              </w:rPr>
              <w:t xml:space="preserve">existing customers </w:t>
            </w:r>
            <w:r>
              <w:rPr>
                <w:sz w:val="22"/>
              </w:rPr>
              <w:t>shows that</w:t>
            </w:r>
            <w:r w:rsidR="00FC1AC6">
              <w:rPr>
                <w:sz w:val="22"/>
              </w:rPr>
              <w:t xml:space="preserve"> t</w:t>
            </w:r>
            <w:r w:rsidR="00E66E75" w:rsidRPr="00D54F1B">
              <w:rPr>
                <w:sz w:val="22"/>
              </w:rPr>
              <w:t>he BSP generally met the needs of</w:t>
            </w:r>
            <w:r>
              <w:rPr>
                <w:sz w:val="22"/>
              </w:rPr>
              <w:t xml:space="preserve"> its</w:t>
            </w:r>
            <w:r w:rsidR="00E66E75" w:rsidRPr="00D54F1B">
              <w:rPr>
                <w:sz w:val="22"/>
              </w:rPr>
              <w:t xml:space="preserve"> business</w:t>
            </w:r>
            <w:r>
              <w:rPr>
                <w:sz w:val="22"/>
              </w:rPr>
              <w:t xml:space="preserve"> customers</w:t>
            </w:r>
            <w:r w:rsidR="00FC1AC6">
              <w:rPr>
                <w:sz w:val="22"/>
              </w:rPr>
              <w:t>.</w:t>
            </w:r>
            <w:r w:rsidR="00B06E80">
              <w:rPr>
                <w:sz w:val="22"/>
              </w:rPr>
              <w:t xml:space="preserve"> </w:t>
            </w:r>
            <w:r w:rsidR="00FC1AC6">
              <w:rPr>
                <w:sz w:val="22"/>
              </w:rPr>
              <w:t xml:space="preserve">However, </w:t>
            </w:r>
            <w:r w:rsidR="00E66E75" w:rsidRPr="00287829">
              <w:rPr>
                <w:sz w:val="22"/>
              </w:rPr>
              <w:t xml:space="preserve">survey results and </w:t>
            </w:r>
            <w:r w:rsidR="002A03A1">
              <w:rPr>
                <w:sz w:val="22"/>
              </w:rPr>
              <w:t>interviews</w:t>
            </w:r>
            <w:r w:rsidR="002A03A1" w:rsidRPr="00287829">
              <w:rPr>
                <w:sz w:val="22"/>
              </w:rPr>
              <w:t xml:space="preserve"> </w:t>
            </w:r>
            <w:r w:rsidR="00FC1AC6">
              <w:rPr>
                <w:sz w:val="22"/>
              </w:rPr>
              <w:t xml:space="preserve">indicated that some Indigenous businesses did </w:t>
            </w:r>
            <w:r w:rsidR="00E66E75" w:rsidRPr="00287829">
              <w:rPr>
                <w:sz w:val="22"/>
              </w:rPr>
              <w:t xml:space="preserve">not become customers due to factors such as slow response times, a lack of follow up from IBA, and the complexity of the application process. </w:t>
            </w:r>
          </w:p>
          <w:p w14:paraId="47F25F7B" w14:textId="77777777" w:rsidR="00E66E75" w:rsidRPr="00D54F1B" w:rsidRDefault="00E66E75">
            <w:pPr>
              <w:pStyle w:val="ListParagraph"/>
              <w:numPr>
                <w:ilvl w:val="0"/>
                <w:numId w:val="33"/>
              </w:numPr>
              <w:spacing w:before="40" w:after="40"/>
              <w:ind w:left="284"/>
              <w:jc w:val="left"/>
              <w:rPr>
                <w:sz w:val="22"/>
              </w:rPr>
            </w:pPr>
            <w:r w:rsidRPr="00D54F1B">
              <w:rPr>
                <w:sz w:val="22"/>
              </w:rPr>
              <w:t>There is a need to better understand the</w:t>
            </w:r>
            <w:r>
              <w:rPr>
                <w:sz w:val="22"/>
              </w:rPr>
              <w:t>se</w:t>
            </w:r>
            <w:r w:rsidRPr="00D54F1B">
              <w:rPr>
                <w:sz w:val="22"/>
              </w:rPr>
              <w:t xml:space="preserve"> barriers to entry, and the number of Indigenous businesses unable to access business support and finance </w:t>
            </w:r>
            <w:r>
              <w:rPr>
                <w:sz w:val="22"/>
              </w:rPr>
              <w:t>as a result</w:t>
            </w:r>
            <w:r w:rsidRPr="00D54F1B">
              <w:rPr>
                <w:sz w:val="22"/>
              </w:rPr>
              <w:t xml:space="preserve">. </w:t>
            </w:r>
          </w:p>
        </w:tc>
      </w:tr>
      <w:tr w:rsidR="00E66E75" w14:paraId="3C4A1F4C" w14:textId="77777777" w:rsidTr="00074C2F">
        <w:tc>
          <w:tcPr>
            <w:tcW w:w="0" w:type="auto"/>
          </w:tcPr>
          <w:p w14:paraId="665EBF37"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Are IBA’s governance and administration policies, systems, and processes efficient and effective in delivering the BSP?</w:t>
            </w:r>
          </w:p>
        </w:tc>
        <w:tc>
          <w:tcPr>
            <w:tcW w:w="0" w:type="auto"/>
          </w:tcPr>
          <w:p w14:paraId="5BDA8CF3" w14:textId="200DEA4A" w:rsidR="00E66E75" w:rsidRPr="00D54F1B" w:rsidRDefault="00E66E75">
            <w:pPr>
              <w:pStyle w:val="ListParagraph"/>
              <w:numPr>
                <w:ilvl w:val="0"/>
                <w:numId w:val="33"/>
              </w:numPr>
              <w:spacing w:before="40" w:after="40"/>
              <w:ind w:left="284"/>
              <w:jc w:val="left"/>
              <w:rPr>
                <w:sz w:val="22"/>
              </w:rPr>
            </w:pPr>
            <w:r w:rsidRPr="00D54F1B">
              <w:rPr>
                <w:sz w:val="22"/>
              </w:rPr>
              <w:t>IBA’s governance and administration policies, systems, and processes were</w:t>
            </w:r>
            <w:r>
              <w:rPr>
                <w:sz w:val="22"/>
              </w:rPr>
              <w:t xml:space="preserve"> somewhat</w:t>
            </w:r>
            <w:r w:rsidRPr="00D54F1B">
              <w:rPr>
                <w:sz w:val="22"/>
              </w:rPr>
              <w:t xml:space="preserve"> efficient and </w:t>
            </w:r>
            <w:r>
              <w:rPr>
                <w:sz w:val="22"/>
              </w:rPr>
              <w:t xml:space="preserve">mostly </w:t>
            </w:r>
            <w:r w:rsidRPr="00D54F1B">
              <w:rPr>
                <w:sz w:val="22"/>
              </w:rPr>
              <w:t>effective in delivering the BSP</w:t>
            </w:r>
            <w:r>
              <w:rPr>
                <w:sz w:val="22"/>
              </w:rPr>
              <w:t>.</w:t>
            </w:r>
            <w:r w:rsidR="00574BA6" w:rsidRPr="00002DB1">
              <w:rPr>
                <w:sz w:val="22"/>
              </w:rPr>
              <w:t xml:space="preserve"> </w:t>
            </w:r>
            <w:r w:rsidR="009278D1">
              <w:rPr>
                <w:sz w:val="22"/>
              </w:rPr>
              <w:t xml:space="preserve">Changes to former credit </w:t>
            </w:r>
            <w:r w:rsidR="009278D1" w:rsidRPr="001105FD">
              <w:rPr>
                <w:sz w:val="22"/>
              </w:rPr>
              <w:t xml:space="preserve">policy parameters </w:t>
            </w:r>
            <w:r w:rsidR="00574BA6" w:rsidRPr="00002DB1">
              <w:rPr>
                <w:sz w:val="22"/>
              </w:rPr>
              <w:t>means there is no longer a policy-driven need for the grant arrangement</w:t>
            </w:r>
            <w:r w:rsidR="003341E7">
              <w:rPr>
                <w:sz w:val="22"/>
              </w:rPr>
              <w:t xml:space="preserve"> underpinning the BSP</w:t>
            </w:r>
            <w:r w:rsidR="00574BA6">
              <w:rPr>
                <w:sz w:val="22"/>
              </w:rPr>
              <w:t>.</w:t>
            </w:r>
          </w:p>
          <w:p w14:paraId="6A5E3CA9" w14:textId="63CEBFFA" w:rsidR="00574BA6" w:rsidRPr="00D54F1B" w:rsidRDefault="00E66E75" w:rsidP="00574BA6">
            <w:pPr>
              <w:pStyle w:val="ListParagraph"/>
              <w:numPr>
                <w:ilvl w:val="0"/>
                <w:numId w:val="33"/>
              </w:numPr>
              <w:spacing w:before="40" w:after="40"/>
              <w:ind w:left="284"/>
              <w:jc w:val="left"/>
              <w:rPr>
                <w:sz w:val="22"/>
              </w:rPr>
            </w:pPr>
            <w:r w:rsidRPr="00D54F1B">
              <w:rPr>
                <w:sz w:val="22"/>
              </w:rPr>
              <w:t xml:space="preserve">There were </w:t>
            </w:r>
            <w:r>
              <w:rPr>
                <w:sz w:val="22"/>
              </w:rPr>
              <w:t xml:space="preserve">a range of areas where </w:t>
            </w:r>
            <w:r w:rsidRPr="00D54F1B">
              <w:rPr>
                <w:sz w:val="22"/>
              </w:rPr>
              <w:t>policies, systems, and processes could be improved</w:t>
            </w:r>
            <w:r>
              <w:rPr>
                <w:sz w:val="22"/>
              </w:rPr>
              <w:t xml:space="preserve">, </w:t>
            </w:r>
            <w:r w:rsidRPr="00D54F1B">
              <w:rPr>
                <w:sz w:val="22"/>
              </w:rPr>
              <w:t>includ</w:t>
            </w:r>
            <w:r>
              <w:rPr>
                <w:sz w:val="22"/>
              </w:rPr>
              <w:t xml:space="preserve">ing </w:t>
            </w:r>
            <w:r w:rsidRPr="00D54F1B">
              <w:rPr>
                <w:sz w:val="22"/>
              </w:rPr>
              <w:t>simplifying the application process</w:t>
            </w:r>
            <w:r>
              <w:rPr>
                <w:sz w:val="22"/>
              </w:rPr>
              <w:t xml:space="preserve"> for finance</w:t>
            </w:r>
            <w:r w:rsidRPr="00D54F1B">
              <w:rPr>
                <w:sz w:val="22"/>
              </w:rPr>
              <w:t>, improving transparency regarding eligibility requirements,</w:t>
            </w:r>
            <w:r>
              <w:rPr>
                <w:sz w:val="22"/>
              </w:rPr>
              <w:t xml:space="preserve"> being timelier in responding to enquiries</w:t>
            </w:r>
            <w:r w:rsidRPr="00D54F1B">
              <w:rPr>
                <w:sz w:val="22"/>
              </w:rPr>
              <w:t xml:space="preserve"> and collect</w:t>
            </w:r>
            <w:r>
              <w:rPr>
                <w:sz w:val="22"/>
              </w:rPr>
              <w:t>ing</w:t>
            </w:r>
            <w:r w:rsidRPr="00D54F1B">
              <w:rPr>
                <w:sz w:val="22"/>
              </w:rPr>
              <w:t xml:space="preserve"> data related to program entry and demand. </w:t>
            </w:r>
          </w:p>
        </w:tc>
      </w:tr>
      <w:tr w:rsidR="00E66E75" w14:paraId="5206FE52" w14:textId="77777777" w:rsidTr="00074C2F">
        <w:trPr>
          <w:cnfStyle w:val="000000010000" w:firstRow="0" w:lastRow="0" w:firstColumn="0" w:lastColumn="0" w:oddVBand="0" w:evenVBand="0" w:oddHBand="0" w:evenHBand="1" w:firstRowFirstColumn="0" w:firstRowLastColumn="0" w:lastRowFirstColumn="0" w:lastRowLastColumn="0"/>
        </w:trPr>
        <w:tc>
          <w:tcPr>
            <w:tcW w:w="0" w:type="auto"/>
          </w:tcPr>
          <w:p w14:paraId="029F82C6" w14:textId="37520642"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Are there any learnings from the design and delivery of the COVID-19 support package that could be applied to the BSP?</w:t>
            </w:r>
          </w:p>
        </w:tc>
        <w:tc>
          <w:tcPr>
            <w:tcW w:w="0" w:type="auto"/>
          </w:tcPr>
          <w:p w14:paraId="3C68A971" w14:textId="650CDACE" w:rsidR="00E66E75" w:rsidRPr="00087321" w:rsidRDefault="00E66E75">
            <w:pPr>
              <w:pStyle w:val="ListParagraph"/>
              <w:numPr>
                <w:ilvl w:val="0"/>
                <w:numId w:val="33"/>
              </w:numPr>
              <w:spacing w:before="40" w:after="40"/>
              <w:ind w:left="284"/>
              <w:jc w:val="left"/>
              <w:rPr>
                <w:sz w:val="22"/>
              </w:rPr>
            </w:pPr>
            <w:r w:rsidRPr="00087321">
              <w:rPr>
                <w:sz w:val="22"/>
              </w:rPr>
              <w:t xml:space="preserve">The COVID-19 package </w:t>
            </w:r>
            <w:r w:rsidR="009B4818">
              <w:rPr>
                <w:sz w:val="22"/>
              </w:rPr>
              <w:t xml:space="preserve">(IBRP) </w:t>
            </w:r>
            <w:r w:rsidRPr="00087321">
              <w:rPr>
                <w:sz w:val="22"/>
              </w:rPr>
              <w:t>was highly agile</w:t>
            </w:r>
            <w:r>
              <w:rPr>
                <w:sz w:val="22"/>
              </w:rPr>
              <w:t xml:space="preserve"> </w:t>
            </w:r>
            <w:r w:rsidRPr="00087321">
              <w:rPr>
                <w:sz w:val="22"/>
              </w:rPr>
              <w:t xml:space="preserve">and needs-based, with an </w:t>
            </w:r>
            <w:r>
              <w:rPr>
                <w:sz w:val="22"/>
              </w:rPr>
              <w:t>Expression of Interest (</w:t>
            </w:r>
            <w:r w:rsidRPr="00087321">
              <w:rPr>
                <w:sz w:val="22"/>
              </w:rPr>
              <w:t>EOI</w:t>
            </w:r>
            <w:r>
              <w:rPr>
                <w:sz w:val="22"/>
              </w:rPr>
              <w:t>)</w:t>
            </w:r>
            <w:r w:rsidRPr="00087321">
              <w:rPr>
                <w:sz w:val="22"/>
              </w:rPr>
              <w:t xml:space="preserve"> phase and streamlined application approaches. </w:t>
            </w:r>
          </w:p>
          <w:p w14:paraId="163920C8" w14:textId="077B134F" w:rsidR="00E66E75" w:rsidRPr="00087321" w:rsidRDefault="00E66E75">
            <w:pPr>
              <w:pStyle w:val="ListParagraph"/>
              <w:numPr>
                <w:ilvl w:val="0"/>
                <w:numId w:val="33"/>
              </w:numPr>
              <w:spacing w:before="40" w:after="40"/>
              <w:ind w:left="284"/>
              <w:jc w:val="left"/>
              <w:rPr>
                <w:sz w:val="22"/>
              </w:rPr>
            </w:pPr>
            <w:r w:rsidRPr="00087321">
              <w:rPr>
                <w:sz w:val="22"/>
              </w:rPr>
              <w:t xml:space="preserve">The use of a dedicated CRM system </w:t>
            </w:r>
            <w:r w:rsidR="0069157A">
              <w:rPr>
                <w:sz w:val="22"/>
              </w:rPr>
              <w:t xml:space="preserve">similar to that utilised in the </w:t>
            </w:r>
            <w:r w:rsidR="009B4818">
              <w:rPr>
                <w:sz w:val="22"/>
              </w:rPr>
              <w:t>IBRP</w:t>
            </w:r>
            <w:r w:rsidR="0069157A">
              <w:rPr>
                <w:sz w:val="22"/>
              </w:rPr>
              <w:t xml:space="preserve"> </w:t>
            </w:r>
            <w:r w:rsidRPr="00087321">
              <w:rPr>
                <w:sz w:val="22"/>
              </w:rPr>
              <w:t>to capture and track key client information</w:t>
            </w:r>
            <w:r>
              <w:rPr>
                <w:sz w:val="22"/>
              </w:rPr>
              <w:t xml:space="preserve"> would be valuable for the BSP</w:t>
            </w:r>
            <w:r w:rsidRPr="00087321">
              <w:rPr>
                <w:sz w:val="22"/>
              </w:rPr>
              <w:t xml:space="preserve">. </w:t>
            </w:r>
          </w:p>
          <w:p w14:paraId="28AB6323" w14:textId="6CCE38DC" w:rsidR="00E66E75" w:rsidRPr="002247F0" w:rsidRDefault="00E66E75">
            <w:pPr>
              <w:pStyle w:val="ListParagraph"/>
              <w:numPr>
                <w:ilvl w:val="0"/>
                <w:numId w:val="33"/>
              </w:numPr>
              <w:spacing w:before="40" w:after="40"/>
              <w:ind w:left="284"/>
              <w:jc w:val="left"/>
              <w:rPr>
                <w:sz w:val="22"/>
              </w:rPr>
            </w:pPr>
            <w:r w:rsidRPr="00087321">
              <w:rPr>
                <w:sz w:val="22"/>
              </w:rPr>
              <w:t xml:space="preserve">Clear KPIs tracking </w:t>
            </w:r>
            <w:r>
              <w:rPr>
                <w:sz w:val="22"/>
              </w:rPr>
              <w:t>EOIs</w:t>
            </w:r>
            <w:r w:rsidRPr="00087321">
              <w:rPr>
                <w:sz w:val="22"/>
              </w:rPr>
              <w:t>, level of demand, timeliness, and other key metrics</w:t>
            </w:r>
            <w:r>
              <w:rPr>
                <w:sz w:val="22"/>
              </w:rPr>
              <w:t xml:space="preserve"> would </w:t>
            </w:r>
            <w:r w:rsidRPr="00087321">
              <w:rPr>
                <w:sz w:val="22"/>
              </w:rPr>
              <w:t>support</w:t>
            </w:r>
            <w:r>
              <w:rPr>
                <w:sz w:val="22"/>
              </w:rPr>
              <w:t xml:space="preserve"> </w:t>
            </w:r>
            <w:r w:rsidRPr="00087321">
              <w:rPr>
                <w:sz w:val="22"/>
              </w:rPr>
              <w:t xml:space="preserve">the </w:t>
            </w:r>
            <w:r w:rsidR="00CF1D9D">
              <w:rPr>
                <w:sz w:val="22"/>
              </w:rPr>
              <w:t xml:space="preserve">BSP </w:t>
            </w:r>
            <w:r w:rsidRPr="00087321">
              <w:rPr>
                <w:sz w:val="22"/>
              </w:rPr>
              <w:t>to</w:t>
            </w:r>
            <w:r w:rsidR="00347A75">
              <w:rPr>
                <w:sz w:val="22"/>
              </w:rPr>
              <w:t xml:space="preserve"> more</w:t>
            </w:r>
            <w:r w:rsidRPr="00087321">
              <w:rPr>
                <w:sz w:val="22"/>
              </w:rPr>
              <w:t xml:space="preserve"> effectively me</w:t>
            </w:r>
            <w:r>
              <w:rPr>
                <w:sz w:val="22"/>
              </w:rPr>
              <w:t>e</w:t>
            </w:r>
            <w:r w:rsidRPr="00087321">
              <w:rPr>
                <w:sz w:val="22"/>
              </w:rPr>
              <w:t>t needs and demand</w:t>
            </w:r>
            <w:r w:rsidR="00347A75">
              <w:rPr>
                <w:sz w:val="22"/>
              </w:rPr>
              <w:t xml:space="preserve"> from the sector</w:t>
            </w:r>
            <w:r w:rsidRPr="00087321">
              <w:rPr>
                <w:sz w:val="22"/>
              </w:rPr>
              <w:t>.</w:t>
            </w:r>
          </w:p>
        </w:tc>
      </w:tr>
      <w:tr w:rsidR="00E66E75" w14:paraId="039B84A2" w14:textId="77777777" w:rsidTr="00074C2F">
        <w:tc>
          <w:tcPr>
            <w:tcW w:w="0" w:type="auto"/>
          </w:tcPr>
          <w:p w14:paraId="71576A00"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Does the design and delivery of the BSP build on strengths, demonstrate cultural respect, and involve collaboration?</w:t>
            </w:r>
          </w:p>
        </w:tc>
        <w:tc>
          <w:tcPr>
            <w:tcW w:w="0" w:type="auto"/>
          </w:tcPr>
          <w:p w14:paraId="418A7684" w14:textId="351A4D46" w:rsidR="00E66E75" w:rsidRPr="00EE7E76" w:rsidRDefault="00E66E75">
            <w:pPr>
              <w:pStyle w:val="ListParagraph"/>
              <w:numPr>
                <w:ilvl w:val="0"/>
                <w:numId w:val="33"/>
              </w:numPr>
              <w:spacing w:before="40" w:after="40"/>
              <w:ind w:left="284"/>
              <w:jc w:val="left"/>
              <w:rPr>
                <w:sz w:val="22"/>
              </w:rPr>
            </w:pPr>
            <w:r w:rsidRPr="00EE7E76">
              <w:rPr>
                <w:sz w:val="22"/>
              </w:rPr>
              <w:t>The design and delivery of the BSP built on IBA’s experience in delivering the long running Business Development Assistance Program</w:t>
            </w:r>
            <w:r w:rsidR="006523DD" w:rsidRPr="00EE7E76">
              <w:rPr>
                <w:sz w:val="22"/>
              </w:rPr>
              <w:t>, and its organisational emphasis on reconciliation since its introduction of a Reconciliation Action Plan in 2007</w:t>
            </w:r>
            <w:r w:rsidR="00C23858" w:rsidRPr="00EE7E76">
              <w:rPr>
                <w:sz w:val="22"/>
              </w:rPr>
              <w:t>.</w:t>
            </w:r>
            <w:r w:rsidRPr="00EE7E76">
              <w:rPr>
                <w:sz w:val="22"/>
              </w:rPr>
              <w:t xml:space="preserve"> </w:t>
            </w:r>
          </w:p>
          <w:p w14:paraId="530AB5B0" w14:textId="528C54B3" w:rsidR="00C23858" w:rsidRPr="00B06E80" w:rsidRDefault="00C23858">
            <w:pPr>
              <w:pStyle w:val="ListParagraph"/>
              <w:numPr>
                <w:ilvl w:val="0"/>
                <w:numId w:val="33"/>
              </w:numPr>
              <w:spacing w:before="40" w:after="40"/>
              <w:ind w:left="284"/>
              <w:jc w:val="left"/>
              <w:rPr>
                <w:sz w:val="22"/>
              </w:rPr>
            </w:pPr>
            <w:r w:rsidRPr="00EE7E76">
              <w:rPr>
                <w:sz w:val="22"/>
              </w:rPr>
              <w:t>At an organisational level, IBA has done significant work</w:t>
            </w:r>
            <w:r w:rsidR="006523DD" w:rsidRPr="00EE7E76">
              <w:rPr>
                <w:sz w:val="22"/>
              </w:rPr>
              <w:t xml:space="preserve"> </w:t>
            </w:r>
            <w:r w:rsidRPr="00EE7E76">
              <w:rPr>
                <w:sz w:val="22"/>
              </w:rPr>
              <w:t>on improving its corporate culture, including establishing policies and procedures to support cultural respect</w:t>
            </w:r>
            <w:r w:rsidR="00B06E80" w:rsidRPr="00EE7E76">
              <w:rPr>
                <w:sz w:val="22"/>
              </w:rPr>
              <w:t xml:space="preserve"> and the development of</w:t>
            </w:r>
            <w:r w:rsidRPr="00EE7E76">
              <w:rPr>
                <w:sz w:val="22"/>
              </w:rPr>
              <w:t xml:space="preserve"> essential skills, knowledge and behaviours </w:t>
            </w:r>
            <w:r w:rsidR="00B06E80" w:rsidRPr="00EE7E76">
              <w:rPr>
                <w:sz w:val="22"/>
              </w:rPr>
              <w:t xml:space="preserve">for </w:t>
            </w:r>
            <w:r w:rsidRPr="00CF1D9D">
              <w:rPr>
                <w:sz w:val="22"/>
              </w:rPr>
              <w:t>engaging</w:t>
            </w:r>
            <w:r w:rsidRPr="00B06E80">
              <w:rPr>
                <w:sz w:val="22"/>
              </w:rPr>
              <w:t xml:space="preserve"> with </w:t>
            </w:r>
            <w:r w:rsidR="006523DD" w:rsidRPr="00B06E80">
              <w:rPr>
                <w:sz w:val="22"/>
              </w:rPr>
              <w:t xml:space="preserve">Indigenous </w:t>
            </w:r>
            <w:r w:rsidRPr="00B06E80">
              <w:rPr>
                <w:sz w:val="22"/>
              </w:rPr>
              <w:t>customers.</w:t>
            </w:r>
          </w:p>
          <w:p w14:paraId="77F16ACF" w14:textId="23FE3F80" w:rsidR="00E66E75" w:rsidRPr="00D54F1B" w:rsidRDefault="00E66E75">
            <w:pPr>
              <w:pStyle w:val="ListParagraph"/>
              <w:numPr>
                <w:ilvl w:val="0"/>
                <w:numId w:val="33"/>
              </w:numPr>
              <w:spacing w:before="40" w:after="40"/>
              <w:ind w:left="284"/>
              <w:jc w:val="left"/>
              <w:rPr>
                <w:spacing w:val="2"/>
                <w:sz w:val="22"/>
              </w:rPr>
            </w:pPr>
            <w:r w:rsidRPr="00CF1D9D">
              <w:rPr>
                <w:sz w:val="22"/>
              </w:rPr>
              <w:t xml:space="preserve">Aligned with one of the KPIs, and detailed in quarterly performance reports, IBA </w:t>
            </w:r>
            <w:r w:rsidR="00B06E80" w:rsidRPr="00CF1D9D">
              <w:rPr>
                <w:sz w:val="22"/>
              </w:rPr>
              <w:t xml:space="preserve">has </w:t>
            </w:r>
            <w:r w:rsidRPr="00CF1D9D">
              <w:rPr>
                <w:sz w:val="22"/>
              </w:rPr>
              <w:t>use</w:t>
            </w:r>
            <w:r w:rsidR="00B06E80" w:rsidRPr="00CF1D9D">
              <w:rPr>
                <w:sz w:val="22"/>
              </w:rPr>
              <w:t>d</w:t>
            </w:r>
            <w:r w:rsidRPr="00CF1D9D">
              <w:rPr>
                <w:sz w:val="22"/>
              </w:rPr>
              <w:t xml:space="preserve"> a diverse range of partnerships in the delivery of the BSP.</w:t>
            </w:r>
            <w:r w:rsidRPr="00D54F1B">
              <w:rPr>
                <w:spacing w:val="2"/>
                <w:sz w:val="22"/>
              </w:rPr>
              <w:t xml:space="preserve"> </w:t>
            </w:r>
          </w:p>
        </w:tc>
      </w:tr>
      <w:tr w:rsidR="00E66E75" w14:paraId="7F81D8E8" w14:textId="77777777" w:rsidTr="00074C2F">
        <w:trPr>
          <w:cnfStyle w:val="000000010000" w:firstRow="0" w:lastRow="0" w:firstColumn="0" w:lastColumn="0" w:oddVBand="0" w:evenVBand="0" w:oddHBand="0" w:evenHBand="1" w:firstRowFirstColumn="0" w:firstRowLastColumn="0" w:lastRowFirstColumn="0" w:lastRowLastColumn="0"/>
        </w:trPr>
        <w:tc>
          <w:tcPr>
            <w:tcW w:w="0" w:type="auto"/>
          </w:tcPr>
          <w:p w14:paraId="003BF107"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Has the BSP achieved its short-term outcomes?</w:t>
            </w:r>
          </w:p>
        </w:tc>
        <w:tc>
          <w:tcPr>
            <w:tcW w:w="0" w:type="auto"/>
          </w:tcPr>
          <w:p w14:paraId="4AAC70AA" w14:textId="73334D4B" w:rsidR="00B13E4B" w:rsidRDefault="00E66E75">
            <w:pPr>
              <w:pStyle w:val="ListParagraph"/>
              <w:numPr>
                <w:ilvl w:val="0"/>
                <w:numId w:val="33"/>
              </w:numPr>
              <w:spacing w:before="40" w:after="40"/>
              <w:ind w:left="284"/>
              <w:jc w:val="left"/>
              <w:rPr>
                <w:sz w:val="22"/>
              </w:rPr>
            </w:pPr>
            <w:r w:rsidRPr="00D54F1B">
              <w:rPr>
                <w:sz w:val="22"/>
              </w:rPr>
              <w:t>The BSP’s intended short-term outcomes were</w:t>
            </w:r>
            <w:r>
              <w:rPr>
                <w:sz w:val="22"/>
              </w:rPr>
              <w:t xml:space="preserve"> to</w:t>
            </w:r>
            <w:r w:rsidRPr="00D54F1B">
              <w:rPr>
                <w:sz w:val="22"/>
              </w:rPr>
              <w:t xml:space="preserve"> reduce barriers to entry for Indigenous businesses and provide businesses with the required skills, knowledge, tools, and financial capacity to succeed. </w:t>
            </w:r>
            <w:r w:rsidR="00B13E4B">
              <w:rPr>
                <w:sz w:val="22"/>
              </w:rPr>
              <w:t xml:space="preserve">The BSP demonstrated capacity to </w:t>
            </w:r>
            <w:r w:rsidR="00347A75">
              <w:rPr>
                <w:sz w:val="22"/>
              </w:rPr>
              <w:t xml:space="preserve">provide </w:t>
            </w:r>
            <w:r w:rsidR="000360D8">
              <w:rPr>
                <w:sz w:val="22"/>
              </w:rPr>
              <w:t xml:space="preserve">customers </w:t>
            </w:r>
            <w:r w:rsidR="00347A75">
              <w:rPr>
                <w:sz w:val="22"/>
              </w:rPr>
              <w:t xml:space="preserve">with </w:t>
            </w:r>
            <w:r w:rsidR="00B13E4B">
              <w:rPr>
                <w:sz w:val="22"/>
              </w:rPr>
              <w:t xml:space="preserve">both financial and business support. Clients engaged generally received appropriate support but there was a cohort of </w:t>
            </w:r>
            <w:r w:rsidR="00347A75">
              <w:rPr>
                <w:sz w:val="22"/>
              </w:rPr>
              <w:t xml:space="preserve">businesses </w:t>
            </w:r>
            <w:r w:rsidR="00B13E4B">
              <w:rPr>
                <w:sz w:val="22"/>
              </w:rPr>
              <w:t xml:space="preserve">who had difficulties accessing </w:t>
            </w:r>
            <w:r w:rsidR="000360D8">
              <w:rPr>
                <w:sz w:val="22"/>
              </w:rPr>
              <w:t xml:space="preserve">support under the </w:t>
            </w:r>
            <w:r w:rsidR="00B13E4B">
              <w:rPr>
                <w:sz w:val="22"/>
              </w:rPr>
              <w:t>BSP.</w:t>
            </w:r>
          </w:p>
          <w:p w14:paraId="3A6994E5" w14:textId="04FB18BD" w:rsidR="00E66E75" w:rsidRPr="00D54F1B" w:rsidRDefault="00E66E75">
            <w:pPr>
              <w:pStyle w:val="ListParagraph"/>
              <w:numPr>
                <w:ilvl w:val="0"/>
                <w:numId w:val="33"/>
              </w:numPr>
              <w:spacing w:before="40" w:after="40"/>
              <w:ind w:left="284"/>
              <w:jc w:val="left"/>
              <w:rPr>
                <w:sz w:val="22"/>
              </w:rPr>
            </w:pPr>
            <w:r w:rsidRPr="00D54F1B">
              <w:rPr>
                <w:sz w:val="22"/>
              </w:rPr>
              <w:t xml:space="preserve">The intended flow on effect of these short-term outcomes was that the Indigenous business sector would increase in size and feature larger and more diverse businesses. The impact of the BSP in this regard is difficult to determine, as no baseline indicators </w:t>
            </w:r>
            <w:r w:rsidR="00795910">
              <w:rPr>
                <w:sz w:val="22"/>
              </w:rPr>
              <w:t xml:space="preserve">existed </w:t>
            </w:r>
            <w:r w:rsidRPr="00D54F1B">
              <w:rPr>
                <w:sz w:val="22"/>
              </w:rPr>
              <w:t xml:space="preserve">at the outset of the program. </w:t>
            </w:r>
          </w:p>
        </w:tc>
      </w:tr>
      <w:tr w:rsidR="00E66E75" w14:paraId="61675C95" w14:textId="77777777" w:rsidTr="00074C2F">
        <w:tc>
          <w:tcPr>
            <w:tcW w:w="0" w:type="auto"/>
          </w:tcPr>
          <w:p w14:paraId="336B25C8" w14:textId="77777777" w:rsidR="00E66E75" w:rsidRPr="00260E58" w:rsidRDefault="00E66E75">
            <w:pPr>
              <w:pStyle w:val="ListParagraph"/>
              <w:numPr>
                <w:ilvl w:val="0"/>
                <w:numId w:val="34"/>
              </w:numPr>
              <w:spacing w:before="40" w:after="40" w:line="240" w:lineRule="auto"/>
              <w:ind w:left="357" w:hanging="357"/>
              <w:jc w:val="left"/>
              <w:rPr>
                <w:bCs/>
                <w:sz w:val="22"/>
              </w:rPr>
            </w:pPr>
            <w:r w:rsidRPr="00260E58">
              <w:rPr>
                <w:bCs/>
                <w:sz w:val="22"/>
              </w:rPr>
              <w:t>Has the BSP achieved its medium-term outcomes?</w:t>
            </w:r>
          </w:p>
        </w:tc>
        <w:tc>
          <w:tcPr>
            <w:tcW w:w="0" w:type="auto"/>
          </w:tcPr>
          <w:p w14:paraId="309539E8" w14:textId="1103AD58" w:rsidR="00E66E75" w:rsidRPr="00D54F1B" w:rsidRDefault="00E66E75">
            <w:pPr>
              <w:pStyle w:val="ListParagraph"/>
              <w:numPr>
                <w:ilvl w:val="0"/>
                <w:numId w:val="33"/>
              </w:numPr>
              <w:spacing w:before="40" w:after="40"/>
              <w:ind w:left="284"/>
              <w:jc w:val="left"/>
              <w:rPr>
                <w:sz w:val="22"/>
              </w:rPr>
            </w:pPr>
            <w:r w:rsidRPr="00D54F1B">
              <w:rPr>
                <w:sz w:val="22"/>
              </w:rPr>
              <w:t xml:space="preserve">The BSP’s medium-term outcomes were focused on ensuring the viability of businesses and supporting customers to engage with the wider sector/support services. </w:t>
            </w:r>
          </w:p>
          <w:p w14:paraId="67DB415C" w14:textId="77777777" w:rsidR="00E66E75" w:rsidRPr="00D54F1B" w:rsidRDefault="00E66E75">
            <w:pPr>
              <w:pStyle w:val="ListParagraph"/>
              <w:numPr>
                <w:ilvl w:val="0"/>
                <w:numId w:val="33"/>
              </w:numPr>
              <w:spacing w:before="40" w:after="40"/>
              <w:ind w:left="284"/>
              <w:jc w:val="left"/>
              <w:rPr>
                <w:sz w:val="22"/>
              </w:rPr>
            </w:pPr>
            <w:r w:rsidRPr="00D54F1B">
              <w:rPr>
                <w:sz w:val="22"/>
              </w:rPr>
              <w:t xml:space="preserve">There were several positive indications regarding the medium-term outcomes: </w:t>
            </w:r>
            <w:r>
              <w:rPr>
                <w:sz w:val="22"/>
              </w:rPr>
              <w:t xml:space="preserve">four-year </w:t>
            </w:r>
            <w:r w:rsidRPr="00D54F1B">
              <w:rPr>
                <w:sz w:val="22"/>
              </w:rPr>
              <w:t xml:space="preserve">business survivability rates were </w:t>
            </w:r>
            <w:bookmarkStart w:id="13" w:name="_Hlk120218618"/>
            <w:r>
              <w:rPr>
                <w:sz w:val="22"/>
              </w:rPr>
              <w:t>consistent with or greater than broader ABS rates for similar sized business</w:t>
            </w:r>
            <w:bookmarkEnd w:id="13"/>
            <w:r w:rsidRPr="00D54F1B">
              <w:rPr>
                <w:sz w:val="22"/>
              </w:rPr>
              <w:t xml:space="preserve">; there was no evidence of significant loan defaults; and BSP support has helped some customers to mature their business capability. However, </w:t>
            </w:r>
            <w:r>
              <w:rPr>
                <w:sz w:val="22"/>
              </w:rPr>
              <w:t xml:space="preserve">there was little evidence of </w:t>
            </w:r>
            <w:r w:rsidRPr="00D54F1B">
              <w:rPr>
                <w:sz w:val="22"/>
              </w:rPr>
              <w:t>BSP-supported businesses hav</w:t>
            </w:r>
            <w:r>
              <w:rPr>
                <w:sz w:val="22"/>
              </w:rPr>
              <w:t>ing</w:t>
            </w:r>
            <w:r w:rsidRPr="00D54F1B">
              <w:rPr>
                <w:sz w:val="22"/>
              </w:rPr>
              <w:t xml:space="preserve"> graduated to accessing capital from mainstream/private sector lending organisations. </w:t>
            </w:r>
          </w:p>
        </w:tc>
      </w:tr>
      <w:tr w:rsidR="00E66E75" w14:paraId="614D418D" w14:textId="77777777" w:rsidTr="00074C2F">
        <w:trPr>
          <w:cnfStyle w:val="000000010000" w:firstRow="0" w:lastRow="0" w:firstColumn="0" w:lastColumn="0" w:oddVBand="0" w:evenVBand="0" w:oddHBand="0" w:evenHBand="1" w:firstRowFirstColumn="0" w:firstRowLastColumn="0" w:lastRowFirstColumn="0" w:lastRowLastColumn="0"/>
        </w:trPr>
        <w:tc>
          <w:tcPr>
            <w:tcW w:w="0" w:type="auto"/>
          </w:tcPr>
          <w:p w14:paraId="2AB82B4A" w14:textId="77777777" w:rsidR="00E66E75" w:rsidRDefault="00E66E75">
            <w:pPr>
              <w:pStyle w:val="TableText"/>
              <w:numPr>
                <w:ilvl w:val="0"/>
                <w:numId w:val="34"/>
              </w:numPr>
              <w:spacing w:before="40" w:after="40"/>
              <w:ind w:left="357" w:hanging="357"/>
              <w:rPr>
                <w:bCs/>
                <w:sz w:val="22"/>
                <w:szCs w:val="22"/>
              </w:rPr>
            </w:pPr>
            <w:r w:rsidRPr="00087321">
              <w:rPr>
                <w:bCs/>
                <w:sz w:val="22"/>
                <w:szCs w:val="22"/>
              </w:rPr>
              <w:t>Has the BSP achieved its long-term outcomes?</w:t>
            </w:r>
          </w:p>
          <w:p w14:paraId="5557AB20" w14:textId="766D32DE" w:rsidR="005E2400" w:rsidRPr="00087321" w:rsidRDefault="005E2400" w:rsidP="00EE7E76">
            <w:pPr>
              <w:pStyle w:val="TableText"/>
              <w:spacing w:before="40" w:after="40"/>
              <w:ind w:left="357"/>
              <w:rPr>
                <w:bCs/>
                <w:sz w:val="22"/>
                <w:szCs w:val="22"/>
              </w:rPr>
            </w:pPr>
            <w:r w:rsidRPr="00807C2B">
              <w:rPr>
                <w:bCs/>
                <w:sz w:val="22"/>
              </w:rPr>
              <w:t xml:space="preserve">Note – Long-term outcomes </w:t>
            </w:r>
            <w:r>
              <w:rPr>
                <w:bCs/>
                <w:sz w:val="22"/>
              </w:rPr>
              <w:t xml:space="preserve">were </w:t>
            </w:r>
            <w:r w:rsidRPr="00807C2B">
              <w:rPr>
                <w:bCs/>
                <w:sz w:val="22"/>
              </w:rPr>
              <w:t>not expected to be measurable during the timeframe of the evaluation</w:t>
            </w:r>
            <w:r>
              <w:rPr>
                <w:bCs/>
                <w:sz w:val="22"/>
              </w:rPr>
              <w:t>.</w:t>
            </w:r>
          </w:p>
        </w:tc>
        <w:tc>
          <w:tcPr>
            <w:tcW w:w="0" w:type="auto"/>
          </w:tcPr>
          <w:p w14:paraId="59ECDC07" w14:textId="6151838F" w:rsidR="005E2400" w:rsidRDefault="00E66E75">
            <w:pPr>
              <w:pStyle w:val="ListParagraph"/>
              <w:numPr>
                <w:ilvl w:val="0"/>
                <w:numId w:val="33"/>
              </w:numPr>
              <w:spacing w:before="40" w:after="40"/>
              <w:ind w:left="284"/>
              <w:jc w:val="left"/>
              <w:rPr>
                <w:sz w:val="22"/>
              </w:rPr>
            </w:pPr>
            <w:r w:rsidRPr="00D54F1B">
              <w:rPr>
                <w:sz w:val="22"/>
              </w:rPr>
              <w:t>The BSP’s long-term outcomes focus on enabling customers to contribute to broader community development, demonstrat</w:t>
            </w:r>
            <w:r>
              <w:rPr>
                <w:sz w:val="22"/>
              </w:rPr>
              <w:t>e</w:t>
            </w:r>
            <w:r w:rsidRPr="00D54F1B">
              <w:rPr>
                <w:sz w:val="22"/>
              </w:rPr>
              <w:t xml:space="preserve"> leadership, and creat</w:t>
            </w:r>
            <w:r>
              <w:rPr>
                <w:sz w:val="22"/>
              </w:rPr>
              <w:t>e</w:t>
            </w:r>
            <w:r w:rsidRPr="00D54F1B">
              <w:rPr>
                <w:sz w:val="22"/>
              </w:rPr>
              <w:t xml:space="preserve"> intergenerational wealth and human capital. </w:t>
            </w:r>
            <w:r w:rsidR="005E2400">
              <w:rPr>
                <w:sz w:val="22"/>
              </w:rPr>
              <w:t>B</w:t>
            </w:r>
            <w:r w:rsidR="005E2400" w:rsidRPr="00EE7E76">
              <w:rPr>
                <w:sz w:val="22"/>
              </w:rPr>
              <w:t>ased on the number and types of loans that have been funded and the current survivability rates</w:t>
            </w:r>
            <w:r w:rsidR="005E2400">
              <w:rPr>
                <w:sz w:val="22"/>
              </w:rPr>
              <w:t xml:space="preserve">, the </w:t>
            </w:r>
            <w:r w:rsidR="005E2400" w:rsidRPr="00807C2B">
              <w:rPr>
                <w:sz w:val="22"/>
              </w:rPr>
              <w:t>BSP is making an important contribution</w:t>
            </w:r>
            <w:r w:rsidR="005E2400">
              <w:rPr>
                <w:sz w:val="22"/>
              </w:rPr>
              <w:t>.</w:t>
            </w:r>
          </w:p>
          <w:p w14:paraId="1F4CD327" w14:textId="2DEA9D14" w:rsidR="00E66E75" w:rsidRPr="00D54F1B" w:rsidRDefault="005E2400">
            <w:pPr>
              <w:pStyle w:val="ListParagraph"/>
              <w:numPr>
                <w:ilvl w:val="0"/>
                <w:numId w:val="33"/>
              </w:numPr>
              <w:spacing w:before="40" w:after="40"/>
              <w:ind w:left="284"/>
              <w:jc w:val="left"/>
              <w:rPr>
                <w:sz w:val="22"/>
              </w:rPr>
            </w:pPr>
            <w:r w:rsidRPr="00EE7E76">
              <w:rPr>
                <w:sz w:val="22"/>
              </w:rPr>
              <w:t xml:space="preserve">In terms of measuring outcomes in the future, </w:t>
            </w:r>
            <w:r>
              <w:rPr>
                <w:sz w:val="22"/>
              </w:rPr>
              <w:t xml:space="preserve">IBA has introduced </w:t>
            </w:r>
            <w:r w:rsidRPr="00EE7E76">
              <w:rPr>
                <w:sz w:val="22"/>
              </w:rPr>
              <w:t>a number of strategies including improvements to the data collected from customers through their journey, and developing more sensitive measures of long-term business success</w:t>
            </w:r>
            <w:r>
              <w:rPr>
                <w:sz w:val="22"/>
              </w:rPr>
              <w:t xml:space="preserve"> in its </w:t>
            </w:r>
            <w:r w:rsidR="003341E7">
              <w:rPr>
                <w:sz w:val="22"/>
              </w:rPr>
              <w:t>Social Impact Survey</w:t>
            </w:r>
            <w:r w:rsidRPr="00EE7E76">
              <w:rPr>
                <w:sz w:val="22"/>
              </w:rPr>
              <w:t>.</w:t>
            </w:r>
            <w:bookmarkStart w:id="14" w:name="_Hlk120218734"/>
            <w:r w:rsidR="00E66E75" w:rsidRPr="00D54F1B">
              <w:rPr>
                <w:sz w:val="22"/>
              </w:rPr>
              <w:t xml:space="preserve"> </w:t>
            </w:r>
            <w:bookmarkEnd w:id="14"/>
          </w:p>
        </w:tc>
      </w:tr>
      <w:tr w:rsidR="00E66E75" w14:paraId="65E274E8" w14:textId="77777777" w:rsidTr="00074C2F">
        <w:tc>
          <w:tcPr>
            <w:tcW w:w="0" w:type="auto"/>
          </w:tcPr>
          <w:p w14:paraId="6BD8BBE0" w14:textId="6111C177" w:rsidR="00E66E75" w:rsidRPr="00EE7E76" w:rsidRDefault="00E66E75">
            <w:pPr>
              <w:pStyle w:val="ListParagraph"/>
              <w:numPr>
                <w:ilvl w:val="0"/>
                <w:numId w:val="34"/>
              </w:numPr>
              <w:spacing w:before="40" w:after="40" w:line="240" w:lineRule="auto"/>
              <w:ind w:left="357" w:hanging="357"/>
              <w:jc w:val="left"/>
              <w:rPr>
                <w:bCs/>
                <w:sz w:val="22"/>
              </w:rPr>
            </w:pPr>
            <w:r w:rsidRPr="00260E58">
              <w:rPr>
                <w:bCs/>
                <w:sz w:val="22"/>
              </w:rPr>
              <w:t>What are the alternatives for the future delivery of the BSP?</w:t>
            </w:r>
            <w:r w:rsidR="005E2400" w:rsidRPr="00FE73DE">
              <w:t xml:space="preserve"> </w:t>
            </w:r>
          </w:p>
        </w:tc>
        <w:tc>
          <w:tcPr>
            <w:tcW w:w="0" w:type="auto"/>
          </w:tcPr>
          <w:p w14:paraId="1CF2E49E" w14:textId="77777777" w:rsidR="00074C2F" w:rsidRPr="00074C2F" w:rsidRDefault="00074C2F" w:rsidP="00074C2F">
            <w:pPr>
              <w:pStyle w:val="ListParagraph"/>
              <w:numPr>
                <w:ilvl w:val="0"/>
                <w:numId w:val="33"/>
              </w:numPr>
              <w:spacing w:before="40" w:after="40"/>
              <w:ind w:left="284"/>
              <w:jc w:val="left"/>
              <w:rPr>
                <w:sz w:val="22"/>
              </w:rPr>
            </w:pPr>
            <w:r w:rsidRPr="00074C2F">
              <w:rPr>
                <w:sz w:val="22"/>
              </w:rPr>
              <w:t>When considering program implementation in light of Closing the Gap Priority Reforms, progress has been made but more could be done to integrate with current directions, particularly in relation to shared decision making, building the community-controlled sector and supporting access to consistent data and information.</w:t>
            </w:r>
          </w:p>
          <w:p w14:paraId="74AC71AA" w14:textId="4498CE11" w:rsidR="00E66E75" w:rsidRDefault="00BA0813" w:rsidP="00074C2F">
            <w:pPr>
              <w:pStyle w:val="ListParagraph"/>
              <w:numPr>
                <w:ilvl w:val="0"/>
                <w:numId w:val="33"/>
              </w:numPr>
              <w:spacing w:before="40" w:after="40"/>
              <w:ind w:left="284"/>
              <w:jc w:val="left"/>
              <w:rPr>
                <w:sz w:val="22"/>
              </w:rPr>
            </w:pPr>
            <w:r>
              <w:rPr>
                <w:sz w:val="22"/>
              </w:rPr>
              <w:t>T</w:t>
            </w:r>
            <w:r w:rsidR="00E66E75">
              <w:rPr>
                <w:sz w:val="22"/>
              </w:rPr>
              <w:t xml:space="preserve">here is clearly ongoing demand from businesses for opportunities to gain business skills, access ongoing mentoring, and take part in other specific loan aftercare initiatives. </w:t>
            </w:r>
            <w:r w:rsidR="00C67065">
              <w:rPr>
                <w:sz w:val="22"/>
              </w:rPr>
              <w:t>Noting the limited options available for</w:t>
            </w:r>
            <w:r w:rsidR="00DC462E">
              <w:rPr>
                <w:sz w:val="22"/>
              </w:rPr>
              <w:t xml:space="preserve"> certain</w:t>
            </w:r>
            <w:r w:rsidR="00C67065">
              <w:rPr>
                <w:sz w:val="22"/>
              </w:rPr>
              <w:t xml:space="preserve"> support, </w:t>
            </w:r>
            <w:r w:rsidR="00E66E75">
              <w:rPr>
                <w:sz w:val="22"/>
              </w:rPr>
              <w:t xml:space="preserve">the BSP should continue to provide </w:t>
            </w:r>
            <w:r w:rsidR="00E66E75" w:rsidRPr="00EA7D23">
              <w:rPr>
                <w:sz w:val="22"/>
              </w:rPr>
              <w:t xml:space="preserve">targeted support and access to finance to early stage, pre-bank and </w:t>
            </w:r>
            <w:r w:rsidR="00347A75" w:rsidRPr="00EA7D23">
              <w:rPr>
                <w:sz w:val="22"/>
              </w:rPr>
              <w:t>high</w:t>
            </w:r>
            <w:r w:rsidR="003341E7">
              <w:rPr>
                <w:sz w:val="22"/>
              </w:rPr>
              <w:t>er</w:t>
            </w:r>
            <w:r w:rsidR="00347A75" w:rsidRPr="00EA7D23">
              <w:rPr>
                <w:sz w:val="22"/>
              </w:rPr>
              <w:t>-risk</w:t>
            </w:r>
            <w:r w:rsidR="00E66E75" w:rsidRPr="00EA7D23">
              <w:rPr>
                <w:sz w:val="22"/>
              </w:rPr>
              <w:t xml:space="preserve"> businesses</w:t>
            </w:r>
            <w:r w:rsidR="00E66E75">
              <w:rPr>
                <w:sz w:val="22"/>
              </w:rPr>
              <w:t>. This could continue to be provided under the BSP’s grant arrangement, or as a specific performance measure under IBA’s broader Business Solutions</w:t>
            </w:r>
            <w:r w:rsidR="000360D8">
              <w:rPr>
                <w:sz w:val="22"/>
              </w:rPr>
              <w:t xml:space="preserve"> division</w:t>
            </w:r>
            <w:r w:rsidR="00E66E75">
              <w:rPr>
                <w:sz w:val="22"/>
              </w:rPr>
              <w:t xml:space="preserve">. </w:t>
            </w:r>
          </w:p>
          <w:p w14:paraId="1691792D" w14:textId="37821D39" w:rsidR="00E66E75" w:rsidRPr="00AD1B71" w:rsidRDefault="00E66E75" w:rsidP="00074C2F">
            <w:pPr>
              <w:pStyle w:val="ListParagraph"/>
              <w:numPr>
                <w:ilvl w:val="0"/>
                <w:numId w:val="33"/>
              </w:numPr>
              <w:spacing w:before="40" w:after="40"/>
              <w:ind w:left="284"/>
              <w:jc w:val="left"/>
              <w:rPr>
                <w:sz w:val="22"/>
              </w:rPr>
            </w:pPr>
            <w:r>
              <w:rPr>
                <w:sz w:val="22"/>
              </w:rPr>
              <w:t xml:space="preserve">Support for the very early phases of a business journey is offered by multiple parties. </w:t>
            </w:r>
            <w:r w:rsidR="00CF1D9D">
              <w:rPr>
                <w:sz w:val="22"/>
              </w:rPr>
              <w:t xml:space="preserve">To maximise the unique aspects of </w:t>
            </w:r>
            <w:r w:rsidR="00CC6D21">
              <w:rPr>
                <w:sz w:val="22"/>
              </w:rPr>
              <w:t xml:space="preserve">the </w:t>
            </w:r>
            <w:r w:rsidR="00CF1D9D">
              <w:rPr>
                <w:sz w:val="22"/>
              </w:rPr>
              <w:t>BSP, t</w:t>
            </w:r>
            <w:r>
              <w:rPr>
                <w:sz w:val="22"/>
              </w:rPr>
              <w:t>here is an opportunity for</w:t>
            </w:r>
            <w:r w:rsidR="00CC6D21">
              <w:rPr>
                <w:sz w:val="22"/>
              </w:rPr>
              <w:t xml:space="preserve"> IBA</w:t>
            </w:r>
            <w:r>
              <w:rPr>
                <w:sz w:val="22"/>
              </w:rPr>
              <w:t xml:space="preserve"> to </w:t>
            </w:r>
            <w:r w:rsidR="00DC462E">
              <w:rPr>
                <w:sz w:val="22"/>
              </w:rPr>
              <w:t xml:space="preserve">better communicate </w:t>
            </w:r>
            <w:r>
              <w:rPr>
                <w:sz w:val="22"/>
              </w:rPr>
              <w:t xml:space="preserve">its focus to those businesses seeking access to finance, </w:t>
            </w:r>
            <w:r w:rsidR="00F32BE1">
              <w:rPr>
                <w:sz w:val="22"/>
              </w:rPr>
              <w:t xml:space="preserve">particularly those </w:t>
            </w:r>
            <w:r w:rsidR="00CF1D9D">
              <w:rPr>
                <w:sz w:val="22"/>
              </w:rPr>
              <w:t xml:space="preserve">who </w:t>
            </w:r>
            <w:r>
              <w:rPr>
                <w:sz w:val="22"/>
              </w:rPr>
              <w:t xml:space="preserve">would not be able to readily obtain suitable finance from alternate sources. </w:t>
            </w:r>
          </w:p>
        </w:tc>
      </w:tr>
    </w:tbl>
    <w:p w14:paraId="3BABE603" w14:textId="77777777" w:rsidR="00E66E75" w:rsidRDefault="00E66E75" w:rsidP="00E66E75">
      <w:pPr>
        <w:pStyle w:val="Heading2"/>
        <w:numPr>
          <w:ilvl w:val="0"/>
          <w:numId w:val="0"/>
        </w:numPr>
        <w:ind w:left="720" w:hanging="720"/>
      </w:pPr>
      <w:bookmarkStart w:id="15" w:name="_Toc123734688"/>
      <w:r>
        <w:t>Recommendations</w:t>
      </w:r>
      <w:bookmarkEnd w:id="15"/>
    </w:p>
    <w:p w14:paraId="4CA3D2FC" w14:textId="77777777" w:rsidR="00E66E75" w:rsidRDefault="00E66E75" w:rsidP="00E66E75">
      <w:r>
        <w:t>In order to address these findings, the evaluation made four</w:t>
      </w:r>
      <w:r w:rsidRPr="00265153">
        <w:t xml:space="preserve"> hi</w:t>
      </w:r>
      <w:r>
        <w:t>gh level recommendations:</w:t>
      </w:r>
    </w:p>
    <w:p w14:paraId="5FA8923F" w14:textId="52270585" w:rsidR="00E77F55" w:rsidRDefault="00E66E75" w:rsidP="00E77F55">
      <w:pPr>
        <w:pStyle w:val="ListParagraph"/>
        <w:numPr>
          <w:ilvl w:val="0"/>
          <w:numId w:val="31"/>
        </w:numPr>
        <w:spacing w:after="0"/>
        <w:ind w:left="851" w:hanging="284"/>
        <w:contextualSpacing w:val="0"/>
      </w:pPr>
      <w:r w:rsidRPr="00F82D94">
        <w:rPr>
          <w:b/>
          <w:bCs/>
        </w:rPr>
        <w:t>Recommendation 1</w:t>
      </w:r>
      <w:r>
        <w:rPr>
          <w:b/>
          <w:bCs/>
        </w:rPr>
        <w:t xml:space="preserve"> (section </w:t>
      </w:r>
      <w:r w:rsidR="00E77F55">
        <w:rPr>
          <w:b/>
          <w:bCs/>
        </w:rPr>
        <w:t>4.2</w:t>
      </w:r>
      <w:r>
        <w:rPr>
          <w:b/>
          <w:bCs/>
        </w:rPr>
        <w:t>)</w:t>
      </w:r>
      <w:r>
        <w:t xml:space="preserve">: </w:t>
      </w:r>
      <w:r w:rsidR="00E77F55" w:rsidRPr="00B72329">
        <w:t>The future design</w:t>
      </w:r>
      <w:r w:rsidR="00E77F55">
        <w:t xml:space="preserve"> and delivery </w:t>
      </w:r>
      <w:r w:rsidR="00E77F55" w:rsidRPr="00B72329">
        <w:t xml:space="preserve">of the BSP </w:t>
      </w:r>
      <w:r w:rsidR="0012252C">
        <w:t xml:space="preserve">should </w:t>
      </w:r>
      <w:r w:rsidR="00E77F55" w:rsidRPr="00B72329">
        <w:t>be strengthened by</w:t>
      </w:r>
      <w:r w:rsidR="00E77F55">
        <w:t>:</w:t>
      </w:r>
    </w:p>
    <w:p w14:paraId="73F2ABF4" w14:textId="77777777" w:rsidR="0034447A" w:rsidRPr="00E77F55" w:rsidRDefault="0034447A">
      <w:pPr>
        <w:pStyle w:val="ListBullet"/>
        <w:numPr>
          <w:ilvl w:val="0"/>
          <w:numId w:val="37"/>
        </w:numPr>
      </w:pPr>
      <w:r>
        <w:t>improved collection and reporting on</w:t>
      </w:r>
      <w:r w:rsidRPr="00E77F55">
        <w:t xml:space="preserve"> key </w:t>
      </w:r>
      <w:r>
        <w:t xml:space="preserve">delivery </w:t>
      </w:r>
      <w:r w:rsidRPr="00E77F55">
        <w:t>metrics</w:t>
      </w:r>
      <w:r>
        <w:t>, including the level of initial enquiries versus uptake, the relevant timeframes for</w:t>
      </w:r>
      <w:r w:rsidRPr="00E77F55">
        <w:t xml:space="preserve"> </w:t>
      </w:r>
      <w:r>
        <w:t>provision of support or access to finance, and the industry sectors accessing assistance</w:t>
      </w:r>
      <w:r w:rsidRPr="00E77F55">
        <w:t xml:space="preserve"> </w:t>
      </w:r>
    </w:p>
    <w:p w14:paraId="3FBB9CE3" w14:textId="77777777" w:rsidR="0034447A" w:rsidRDefault="0034447A">
      <w:pPr>
        <w:pStyle w:val="ListBullet"/>
        <w:numPr>
          <w:ilvl w:val="0"/>
          <w:numId w:val="37"/>
        </w:numPr>
      </w:pPr>
      <w:r w:rsidRPr="00E77F55">
        <w:t>seeking to better understand the barriers to entry into the BSP from those who make initial inquiries</w:t>
      </w:r>
      <w:r>
        <w:t>,</w:t>
      </w:r>
      <w:r w:rsidRPr="00E77F55">
        <w:t xml:space="preserve"> yet do not become a customer </w:t>
      </w:r>
    </w:p>
    <w:p w14:paraId="1B7E8403" w14:textId="77777777" w:rsidR="0034447A" w:rsidRDefault="0034447A">
      <w:pPr>
        <w:pStyle w:val="ListBullet"/>
        <w:numPr>
          <w:ilvl w:val="0"/>
          <w:numId w:val="37"/>
        </w:numPr>
      </w:pPr>
      <w:r>
        <w:t>consistently working with</w:t>
      </w:r>
      <w:r w:rsidRPr="00B72329">
        <w:t xml:space="preserve"> mature business finance customers to </w:t>
      </w:r>
      <w:r>
        <w:t xml:space="preserve">develop an exit strategy that will enable the customer to </w:t>
      </w:r>
      <w:r w:rsidRPr="00B72329">
        <w:t>seek finance from commercial service providers</w:t>
      </w:r>
    </w:p>
    <w:p w14:paraId="5F9B2EDF" w14:textId="77777777" w:rsidR="0034447A" w:rsidRDefault="0034447A">
      <w:pPr>
        <w:pStyle w:val="ListBullet"/>
        <w:numPr>
          <w:ilvl w:val="0"/>
          <w:numId w:val="37"/>
        </w:numPr>
      </w:pPr>
      <w:r w:rsidRPr="00E77F55">
        <w:t>improv</w:t>
      </w:r>
      <w:r>
        <w:t>ing</w:t>
      </w:r>
      <w:r w:rsidRPr="00E77F55">
        <w:t xml:space="preserve"> reporting mechanisms so that all key contractual elements are reported upon, including those not covered by specific KPIs </w:t>
      </w:r>
    </w:p>
    <w:p w14:paraId="741E1164" w14:textId="67F6A6A5" w:rsidR="0034447A" w:rsidRDefault="0034447A">
      <w:pPr>
        <w:pStyle w:val="ListBullet"/>
        <w:numPr>
          <w:ilvl w:val="0"/>
          <w:numId w:val="37"/>
        </w:numPr>
      </w:pPr>
      <w:r>
        <w:t xml:space="preserve">where possible, </w:t>
      </w:r>
      <w:r w:rsidRPr="00FE73DE">
        <w:t>maintain</w:t>
      </w:r>
      <w:r>
        <w:t>ing</w:t>
      </w:r>
      <w:r w:rsidRPr="00FE73DE">
        <w:t xml:space="preserve"> consistency in the wording of </w:t>
      </w:r>
      <w:r>
        <w:t>KPIs from year to year to enable longitudinal tracking of performance.</w:t>
      </w:r>
    </w:p>
    <w:p w14:paraId="4F874F55" w14:textId="1EC8CAAF" w:rsidR="00E66E75" w:rsidRDefault="00E66E75">
      <w:pPr>
        <w:pStyle w:val="ListParagraph"/>
        <w:numPr>
          <w:ilvl w:val="1"/>
          <w:numId w:val="31"/>
        </w:numPr>
      </w:pPr>
      <w:r>
        <w:t xml:space="preserve">Linked to findings for Evaluation Questions </w:t>
      </w:r>
      <w:r w:rsidR="005D6462">
        <w:t xml:space="preserve">2, </w:t>
      </w:r>
      <w:r>
        <w:t>3, 4, 5, 6, 8 and 11.</w:t>
      </w:r>
    </w:p>
    <w:p w14:paraId="14FB3CC2" w14:textId="77777777" w:rsidR="00E66E75" w:rsidRDefault="00E66E75" w:rsidP="00E66E75">
      <w:pPr>
        <w:pStyle w:val="ListParagraph"/>
        <w:ind w:left="1191"/>
      </w:pPr>
    </w:p>
    <w:p w14:paraId="32E7D66D" w14:textId="5A00E8ED" w:rsidR="0034447A" w:rsidRDefault="00E66E75">
      <w:pPr>
        <w:pStyle w:val="ListParagraph"/>
        <w:numPr>
          <w:ilvl w:val="0"/>
          <w:numId w:val="31"/>
        </w:numPr>
        <w:ind w:left="851" w:hanging="284"/>
        <w:contextualSpacing w:val="0"/>
      </w:pPr>
      <w:r w:rsidRPr="00F82D94">
        <w:rPr>
          <w:b/>
          <w:bCs/>
        </w:rPr>
        <w:t xml:space="preserve">Recommendation </w:t>
      </w:r>
      <w:r>
        <w:rPr>
          <w:b/>
          <w:bCs/>
        </w:rPr>
        <w:t xml:space="preserve">2 (section </w:t>
      </w:r>
      <w:r w:rsidR="00586EF3">
        <w:rPr>
          <w:b/>
          <w:bCs/>
        </w:rPr>
        <w:t>8</w:t>
      </w:r>
      <w:r>
        <w:rPr>
          <w:b/>
          <w:bCs/>
        </w:rPr>
        <w:t>.1)</w:t>
      </w:r>
      <w:r>
        <w:t xml:space="preserve">: </w:t>
      </w:r>
      <w:r w:rsidR="0034447A">
        <w:t>NIAA and IBA should ensure that any changes in the BSP delivery model and intent are designed to contribute to Closing the Gap targets and Priority Reforms. An area in which there is strong potential for this is the development of a more regional delivery model that develops place-based service delivery organisations to provide BSP external business support. This would provide stronger links to underserved areas, opportunities for a more diverse range of businesses, and wide-ranging benefits for regional communities</w:t>
      </w:r>
      <w:r w:rsidR="00D546FB">
        <w:t>.</w:t>
      </w:r>
    </w:p>
    <w:p w14:paraId="6740B741" w14:textId="77777777" w:rsidR="00E66E75" w:rsidRDefault="00E66E75">
      <w:pPr>
        <w:pStyle w:val="ListParagraph"/>
        <w:numPr>
          <w:ilvl w:val="1"/>
          <w:numId w:val="31"/>
        </w:numPr>
      </w:pPr>
      <w:r>
        <w:t>Linked to findings for Evaluation Questions 1, 2, 4, 8, 9 and 11.</w:t>
      </w:r>
    </w:p>
    <w:p w14:paraId="38C3391E" w14:textId="458A4BB4" w:rsidR="00E66E75" w:rsidRDefault="00E66E75" w:rsidP="00E66E75">
      <w:pPr>
        <w:pStyle w:val="ListParagraph"/>
        <w:ind w:left="1191"/>
      </w:pPr>
    </w:p>
    <w:p w14:paraId="69D13351" w14:textId="60646BD4" w:rsidR="0034447A" w:rsidRDefault="00E66E75" w:rsidP="004F713C">
      <w:pPr>
        <w:pStyle w:val="ListParagraph"/>
        <w:numPr>
          <w:ilvl w:val="0"/>
          <w:numId w:val="32"/>
        </w:numPr>
        <w:ind w:left="851" w:hanging="284"/>
        <w:contextualSpacing w:val="0"/>
      </w:pPr>
      <w:r w:rsidRPr="00F61DBD">
        <w:rPr>
          <w:b/>
          <w:bCs/>
        </w:rPr>
        <w:t xml:space="preserve">Recommendation 3 (section </w:t>
      </w:r>
      <w:r w:rsidR="00586EF3">
        <w:rPr>
          <w:b/>
          <w:bCs/>
        </w:rPr>
        <w:t>8</w:t>
      </w:r>
      <w:r w:rsidRPr="00F61DBD">
        <w:rPr>
          <w:b/>
          <w:bCs/>
        </w:rPr>
        <w:t>.3)</w:t>
      </w:r>
      <w:r>
        <w:t xml:space="preserve">: </w:t>
      </w:r>
      <w:r w:rsidR="0034447A">
        <w:t xml:space="preserve">NIAA should undertake a critical review of the suite of Indigenous business support mechanisms with the aim of understanding trends in the business sector, its characteristics, and associated definitions. This will enable better overall understanding of the Indigenous business sector, provide insights into the role of BSP activities compared to other business support initiatives, and enable the identification of gaps in support. The review should </w:t>
      </w:r>
      <w:r w:rsidR="00D546FB">
        <w:t xml:space="preserve">inform the establishment of a formalised registration system, and </w:t>
      </w:r>
      <w:r w:rsidR="0034447A">
        <w:t>consistent terminology and definitions for key business lifecycle characteristics (such as ideation, start-up, preparation, early stage, and pre-bank) across the range of business support mechanisms</w:t>
      </w:r>
      <w:r w:rsidR="00D546FB">
        <w:t>.</w:t>
      </w:r>
    </w:p>
    <w:p w14:paraId="7434C35C" w14:textId="77777777" w:rsidR="0034447A" w:rsidRDefault="0034447A" w:rsidP="003257FB">
      <w:pPr>
        <w:pStyle w:val="ListParagraph"/>
        <w:spacing w:after="0"/>
        <w:ind w:left="851"/>
        <w:contextualSpacing w:val="0"/>
      </w:pPr>
      <w:r w:rsidRPr="00FE73DE">
        <w:t>It is expected that having a consistent set of definitions and a formalised registration system across the sector would</w:t>
      </w:r>
      <w:r>
        <w:t xml:space="preserve"> generate a range of benefits. For example, it is likely to:</w:t>
      </w:r>
    </w:p>
    <w:p w14:paraId="2737A5DF" w14:textId="77777777" w:rsidR="0034447A" w:rsidRDefault="0034447A">
      <w:pPr>
        <w:pStyle w:val="ListBullet"/>
        <w:numPr>
          <w:ilvl w:val="0"/>
          <w:numId w:val="37"/>
        </w:numPr>
      </w:pPr>
      <w:r>
        <w:t>H</w:t>
      </w:r>
      <w:r w:rsidRPr="00FE73DE">
        <w:t>elp Indigenous businesses and entrepreneurs</w:t>
      </w:r>
      <w:r>
        <w:t xml:space="preserve"> to</w:t>
      </w:r>
      <w:r w:rsidRPr="00FE73DE">
        <w:t xml:space="preserve"> better understand the types of service and support available</w:t>
      </w:r>
      <w:r>
        <w:t>.</w:t>
      </w:r>
    </w:p>
    <w:p w14:paraId="1CE322D2" w14:textId="77777777" w:rsidR="0034447A" w:rsidRDefault="0034447A">
      <w:pPr>
        <w:pStyle w:val="ListBullet"/>
        <w:numPr>
          <w:ilvl w:val="0"/>
          <w:numId w:val="37"/>
        </w:numPr>
      </w:pPr>
      <w:r>
        <w:t>A</w:t>
      </w:r>
      <w:r w:rsidRPr="00FE73DE">
        <w:t>ssist policy makers at all levels of government to understand the emerging shape of the sector</w:t>
      </w:r>
      <w:r>
        <w:t xml:space="preserve"> and the</w:t>
      </w:r>
      <w:r w:rsidRPr="00FE73DE">
        <w:t xml:space="preserve"> support</w:t>
      </w:r>
      <w:r>
        <w:t xml:space="preserve"> that</w:t>
      </w:r>
      <w:r w:rsidRPr="00FE73DE">
        <w:t xml:space="preserve"> is already available</w:t>
      </w:r>
      <w:r>
        <w:t>. This will ensure that new mechanisms complement existing initiatives and do not create unnecessary duplication</w:t>
      </w:r>
      <w:r w:rsidRPr="00FE73DE">
        <w:t xml:space="preserve">. </w:t>
      </w:r>
    </w:p>
    <w:p w14:paraId="50BB9EB7" w14:textId="77777777" w:rsidR="0034447A" w:rsidRDefault="0034447A">
      <w:pPr>
        <w:pStyle w:val="ListBullet"/>
        <w:numPr>
          <w:ilvl w:val="0"/>
          <w:numId w:val="37"/>
        </w:numPr>
      </w:pPr>
      <w:r>
        <w:t>Support</w:t>
      </w:r>
      <w:r w:rsidRPr="00FE73DE">
        <w:t xml:space="preserve"> </w:t>
      </w:r>
      <w:r>
        <w:t xml:space="preserve">improved reporting on </w:t>
      </w:r>
      <w:r w:rsidRPr="00FE73DE">
        <w:t>the impact</w:t>
      </w:r>
      <w:r>
        <w:t>s of</w:t>
      </w:r>
      <w:r w:rsidRPr="00FE73DE">
        <w:t xml:space="preserve"> </w:t>
      </w:r>
      <w:r>
        <w:t>the various</w:t>
      </w:r>
      <w:r w:rsidRPr="00FE73DE">
        <w:t xml:space="preserve"> support</w:t>
      </w:r>
      <w:r>
        <w:t xml:space="preserve"> mechanisms, and consequent changes in the sector over time</w:t>
      </w:r>
      <w:r w:rsidRPr="00FE73DE">
        <w:t xml:space="preserve">. </w:t>
      </w:r>
    </w:p>
    <w:p w14:paraId="6BBAB168" w14:textId="7F71FBEB" w:rsidR="0034447A" w:rsidRDefault="0034447A">
      <w:pPr>
        <w:pStyle w:val="ListBullet"/>
        <w:numPr>
          <w:ilvl w:val="0"/>
          <w:numId w:val="37"/>
        </w:numPr>
      </w:pPr>
      <w:r>
        <w:t>A</w:t>
      </w:r>
      <w:r w:rsidRPr="00FE73DE">
        <w:t>ssist researchers in th</w:t>
      </w:r>
      <w:r>
        <w:t>e</w:t>
      </w:r>
      <w:r w:rsidRPr="00FE73DE">
        <w:t xml:space="preserve"> field </w:t>
      </w:r>
      <w:r>
        <w:t>b</w:t>
      </w:r>
      <w:r w:rsidR="009278D1">
        <w:t>y</w:t>
      </w:r>
      <w:r>
        <w:t xml:space="preserve"> supporting</w:t>
      </w:r>
      <w:r w:rsidRPr="00FE73DE">
        <w:t xml:space="preserve"> greater comparability across data sources. The development of consistent data available for sharing between parties would go some way to addressing the Closing the Gap Priority Reform 4.</w:t>
      </w:r>
    </w:p>
    <w:p w14:paraId="3A171D89" w14:textId="77777777" w:rsidR="00E66E75" w:rsidRDefault="00E66E75">
      <w:pPr>
        <w:pStyle w:val="ListParagraph"/>
        <w:numPr>
          <w:ilvl w:val="1"/>
          <w:numId w:val="32"/>
        </w:numPr>
      </w:pPr>
      <w:r>
        <w:t>Linked to findings for Evaluation Questions 2, 4, 8 and 11.</w:t>
      </w:r>
    </w:p>
    <w:p w14:paraId="23D4E07F" w14:textId="77777777" w:rsidR="00E66E75" w:rsidRDefault="00E66E75" w:rsidP="00E66E75">
      <w:pPr>
        <w:pStyle w:val="ListParagraph"/>
        <w:ind w:left="851"/>
      </w:pPr>
    </w:p>
    <w:p w14:paraId="7080C384" w14:textId="101B0B10" w:rsidR="003257FB" w:rsidRDefault="00E66E75" w:rsidP="003257FB">
      <w:pPr>
        <w:pStyle w:val="ListParagraph"/>
        <w:numPr>
          <w:ilvl w:val="0"/>
          <w:numId w:val="32"/>
        </w:numPr>
        <w:ind w:left="851" w:hanging="284"/>
        <w:contextualSpacing w:val="0"/>
      </w:pPr>
      <w:r w:rsidRPr="00F82D94">
        <w:rPr>
          <w:b/>
          <w:bCs/>
        </w:rPr>
        <w:t xml:space="preserve">Recommendation </w:t>
      </w:r>
      <w:r>
        <w:rPr>
          <w:b/>
          <w:bCs/>
        </w:rPr>
        <w:t xml:space="preserve">4 (section </w:t>
      </w:r>
      <w:r w:rsidR="00586EF3">
        <w:rPr>
          <w:b/>
          <w:bCs/>
        </w:rPr>
        <w:t>8</w:t>
      </w:r>
      <w:r>
        <w:rPr>
          <w:b/>
          <w:bCs/>
        </w:rPr>
        <w:t>.3)</w:t>
      </w:r>
      <w:r>
        <w:t xml:space="preserve">: </w:t>
      </w:r>
      <w:r w:rsidR="003257FB">
        <w:t xml:space="preserve">NIAA must address the emergent coordination gap across the suite of Indigenous business sector support activities. As part of this, NIAA </w:t>
      </w:r>
      <w:r w:rsidR="009278D1">
        <w:t>sh</w:t>
      </w:r>
      <w:r w:rsidR="003257FB">
        <w:t xml:space="preserve">ould identify and support an entity to be responsible for assisting new and established Indigenous businesses to better understand the variety of business support initiatives and networking opportunities available, and to help businesses identify pathways aligned to their needs. </w:t>
      </w:r>
    </w:p>
    <w:p w14:paraId="7D5CE9C2" w14:textId="16D98B87" w:rsidR="003257FB" w:rsidRDefault="003257FB" w:rsidP="003257FB">
      <w:pPr>
        <w:pStyle w:val="ListParagraph"/>
        <w:ind w:left="851"/>
        <w:contextualSpacing w:val="0"/>
      </w:pPr>
      <w:r>
        <w:t>The key role for this entity would be to act as a facilitator, helping businesses to identify possible pathways and providing advocacy and support to individuals on a needs-basis across the ecosystem. To enable this entity to operate effectively, the Commonwealth and other parties operating in the sector will need to improve the transparency of eligibility and broad-level selection criteria that businesses need to meet to access support.</w:t>
      </w:r>
    </w:p>
    <w:p w14:paraId="2A144A4E" w14:textId="0B987747" w:rsidR="00A2334C" w:rsidRPr="00A2334C" w:rsidRDefault="00E66E75">
      <w:pPr>
        <w:pStyle w:val="ListParagraph"/>
        <w:numPr>
          <w:ilvl w:val="1"/>
          <w:numId w:val="32"/>
        </w:numPr>
      </w:pPr>
      <w:r>
        <w:t>Linked to findings for Evaluation Questions 1, 2, 3, 4, 8, 9 and 11.</w:t>
      </w:r>
    </w:p>
    <w:p w14:paraId="159C6F68" w14:textId="6F1109DD" w:rsidR="004E1009" w:rsidRPr="00FE73DE" w:rsidRDefault="004E1009">
      <w:pPr>
        <w:pStyle w:val="Heading1"/>
      </w:pPr>
      <w:bookmarkStart w:id="16" w:name="_Toc123734689"/>
      <w:r w:rsidRPr="00FE73DE">
        <w:t>Introduction</w:t>
      </w:r>
      <w:bookmarkEnd w:id="16"/>
    </w:p>
    <w:p w14:paraId="07226BAC" w14:textId="6D975835" w:rsidR="00E462B1" w:rsidRDefault="00C31BD2" w:rsidP="004E1009">
      <w:r w:rsidRPr="00FE73DE">
        <w:t>Sustineo has been engaged by the National Indigenous Australians Agency (NIAA) to design and deliver the</w:t>
      </w:r>
      <w:r w:rsidR="00A4015B" w:rsidRPr="00FE73DE">
        <w:t xml:space="preserve"> independent</w:t>
      </w:r>
      <w:r w:rsidRPr="00FE73DE">
        <w:t xml:space="preserve"> </w:t>
      </w:r>
      <w:r w:rsidRPr="00FE73DE">
        <w:rPr>
          <w:i/>
        </w:rPr>
        <w:t>Evaluation of the Business Solutions Program</w:t>
      </w:r>
      <w:r w:rsidRPr="00FE73DE">
        <w:t xml:space="preserve">. </w:t>
      </w:r>
      <w:r w:rsidR="00786606" w:rsidRPr="00FE73DE">
        <w:t>T</w:t>
      </w:r>
      <w:r w:rsidRPr="00FE73DE">
        <w:t>he</w:t>
      </w:r>
      <w:r w:rsidR="001B3B83" w:rsidRPr="00FE73DE">
        <w:t xml:space="preserve"> Business Solutions Program</w:t>
      </w:r>
      <w:r w:rsidR="0068495F" w:rsidRPr="00FE73DE">
        <w:t xml:space="preserve"> (</w:t>
      </w:r>
      <w:r w:rsidRPr="00FE73DE">
        <w:t>BSP</w:t>
      </w:r>
      <w:r w:rsidR="0068495F" w:rsidRPr="00FE73DE">
        <w:t>)—</w:t>
      </w:r>
      <w:r w:rsidR="00DD2782" w:rsidRPr="00FE73DE">
        <w:t>formerly the Business Development and Assistance Program</w:t>
      </w:r>
      <w:r w:rsidR="0068495F" w:rsidRPr="00FE73DE">
        <w:t xml:space="preserve"> (</w:t>
      </w:r>
      <w:r w:rsidR="001B3B83" w:rsidRPr="00FE73DE">
        <w:t>BDAP</w:t>
      </w:r>
      <w:r w:rsidR="00DD2782" w:rsidRPr="00FE73DE">
        <w:t>)</w:t>
      </w:r>
      <w:r w:rsidR="0068495F" w:rsidRPr="00FE73DE">
        <w:t>—</w:t>
      </w:r>
      <w:r w:rsidR="00505049" w:rsidRPr="00FE73DE">
        <w:t xml:space="preserve">is a national program that </w:t>
      </w:r>
      <w:r w:rsidRPr="00FE73DE">
        <w:t>provides business support</w:t>
      </w:r>
      <w:r w:rsidR="00893064" w:rsidRPr="00FE73DE">
        <w:t xml:space="preserve"> and </w:t>
      </w:r>
      <w:r w:rsidRPr="00FE73DE">
        <w:rPr>
          <w:rFonts w:cs="Arial"/>
          <w:color w:val="000000"/>
        </w:rPr>
        <w:t>capability development services</w:t>
      </w:r>
      <w:r w:rsidR="00893064" w:rsidRPr="00FE73DE">
        <w:rPr>
          <w:rFonts w:cs="Arial"/>
          <w:color w:val="000000"/>
        </w:rPr>
        <w:t>,</w:t>
      </w:r>
      <w:r w:rsidR="00113137" w:rsidRPr="00FE73DE">
        <w:rPr>
          <w:rFonts w:cs="Arial"/>
          <w:color w:val="000000"/>
        </w:rPr>
        <w:t xml:space="preserve"> and access to business </w:t>
      </w:r>
      <w:r w:rsidR="00893064" w:rsidRPr="00FE73DE">
        <w:rPr>
          <w:rFonts w:cs="Arial"/>
          <w:color w:val="000000"/>
        </w:rPr>
        <w:t xml:space="preserve">finance </w:t>
      </w:r>
      <w:r w:rsidR="0068495F" w:rsidRPr="00FE73DE">
        <w:rPr>
          <w:rFonts w:cs="Arial"/>
          <w:color w:val="000000"/>
        </w:rPr>
        <w:t>for</w:t>
      </w:r>
      <w:r w:rsidR="00113137" w:rsidRPr="00FE73DE">
        <w:rPr>
          <w:rFonts w:cs="Arial"/>
          <w:color w:val="000000"/>
        </w:rPr>
        <w:t xml:space="preserve"> </w:t>
      </w:r>
      <w:r w:rsidR="009A691D">
        <w:rPr>
          <w:rFonts w:cs="Arial"/>
          <w:color w:val="000000"/>
        </w:rPr>
        <w:t xml:space="preserve">eligible </w:t>
      </w:r>
      <w:r w:rsidR="00113137" w:rsidRPr="00FE73DE">
        <w:rPr>
          <w:rFonts w:cs="Arial"/>
          <w:color w:val="000000"/>
        </w:rPr>
        <w:t>Indigenous businesses and entrepreneurs.</w:t>
      </w:r>
      <w:r w:rsidR="00DD2782" w:rsidRPr="00FE73DE">
        <w:t xml:space="preserve"> </w:t>
      </w:r>
      <w:r w:rsidR="00113137" w:rsidRPr="00FE73DE">
        <w:t xml:space="preserve">The BSP is funded through </w:t>
      </w:r>
      <w:r w:rsidR="00786606" w:rsidRPr="00FE73DE">
        <w:t>a grant arrangement between NIAA and Indigenous Business Australia (IBA</w:t>
      </w:r>
      <w:r w:rsidR="00505049" w:rsidRPr="00FE73DE">
        <w:t>).</w:t>
      </w:r>
    </w:p>
    <w:p w14:paraId="60039285" w14:textId="77F4FBCD" w:rsidR="00C31BD2" w:rsidRPr="00FE73DE" w:rsidRDefault="00E462B1" w:rsidP="004E1009">
      <w:r w:rsidRPr="00EE7E76">
        <w:t xml:space="preserve">IBA is a statutory authority of the Australian Government. IBA’s purpose </w:t>
      </w:r>
      <w:r w:rsidR="00D35F08">
        <w:t xml:space="preserve">is </w:t>
      </w:r>
      <w:r w:rsidRPr="00EE7E76">
        <w:t xml:space="preserve">set out in the </w:t>
      </w:r>
      <w:r w:rsidRPr="00EE7E76">
        <w:rPr>
          <w:i/>
          <w:iCs/>
        </w:rPr>
        <w:t xml:space="preserve">Aboriginal and Torres Strait Islander Act 2005 </w:t>
      </w:r>
      <w:r w:rsidRPr="00EE7E76">
        <w:t xml:space="preserve">(the ATSI Act). The ATSI Act gives IBA a range of powers to engage in commercial activities that help serve </w:t>
      </w:r>
      <w:r w:rsidR="00E00044">
        <w:t>its</w:t>
      </w:r>
      <w:r w:rsidR="00E00044" w:rsidRPr="00EE7E76">
        <w:t xml:space="preserve"> </w:t>
      </w:r>
      <w:r w:rsidRPr="00EE7E76">
        <w:t xml:space="preserve">purpose. </w:t>
      </w:r>
      <w:r w:rsidR="00281560">
        <w:t>IBA is</w:t>
      </w:r>
      <w:r w:rsidR="00281560" w:rsidRPr="00282D6F">
        <w:t xml:space="preserve"> accountable to the Parliament and the Minister</w:t>
      </w:r>
      <w:r w:rsidR="00281560">
        <w:t xml:space="preserve"> </w:t>
      </w:r>
      <w:r w:rsidR="00281560" w:rsidRPr="00282D6F">
        <w:t>for Indigenous Affairs</w:t>
      </w:r>
      <w:r w:rsidR="00281560">
        <w:t xml:space="preserve">, with the IBA Board the accountable authority under the </w:t>
      </w:r>
      <w:r w:rsidR="00281560" w:rsidRPr="00DA4B2F">
        <w:rPr>
          <w:i/>
          <w:iCs/>
        </w:rPr>
        <w:t>Public Governance, Performance and Accountability Act 2013</w:t>
      </w:r>
      <w:r w:rsidR="00281560">
        <w:t xml:space="preserve"> (PGPA Act)</w:t>
      </w:r>
      <w:r w:rsidRPr="00EE7E76">
        <w:t>.</w:t>
      </w:r>
      <w:r w:rsidR="00D35F08">
        <w:t xml:space="preserve"> See Appendix A for more detail on IBA’s governance arrangements.</w:t>
      </w:r>
    </w:p>
    <w:p w14:paraId="5A2BC50F" w14:textId="75D41977" w:rsidR="007D655B" w:rsidRPr="00FE73DE" w:rsidRDefault="007D655B" w:rsidP="004F2771">
      <w:pPr>
        <w:pStyle w:val="Heading2"/>
        <w:ind w:hanging="792"/>
      </w:pPr>
      <w:bookmarkStart w:id="17" w:name="_Toc123734690"/>
      <w:r w:rsidRPr="00FE73DE">
        <w:t>Background</w:t>
      </w:r>
      <w:r w:rsidR="001B3B83" w:rsidRPr="00FE73DE">
        <w:t xml:space="preserve"> and context of the BSP</w:t>
      </w:r>
      <w:bookmarkEnd w:id="17"/>
    </w:p>
    <w:p w14:paraId="3F8EB880" w14:textId="2BA3E4A6" w:rsidR="00777C7F" w:rsidRDefault="007957C2" w:rsidP="007F0C30">
      <w:r>
        <w:t xml:space="preserve">The BSP evolved from </w:t>
      </w:r>
      <w:r w:rsidR="00D35F08">
        <w:t xml:space="preserve">the BDAP, </w:t>
      </w:r>
      <w:r>
        <w:t>a well-established and longstanding program being delivered by IBA since 2005.</w:t>
      </w:r>
      <w:r w:rsidR="007F0C30">
        <w:t xml:space="preserve"> </w:t>
      </w:r>
      <w:r w:rsidR="00777C7F">
        <w:t>The objectives of the BDAP were to support the development and growth of sustainable businesses to assist Indigenous Australians achieve self</w:t>
      </w:r>
      <w:r w:rsidR="00777C7F">
        <w:noBreakHyphen/>
        <w:t>employment, job opportunities and commercial success, and provide employment opportunities for others. While the wording of the objectives evolved over time, the principles of the program remained consistent.</w:t>
      </w:r>
    </w:p>
    <w:p w14:paraId="08505539" w14:textId="61EFAD55" w:rsidR="007E202A" w:rsidRDefault="007F0C30" w:rsidP="007F0C30">
      <w:pPr>
        <w:rPr>
          <w:rFonts w:cs="Arial"/>
          <w:color w:val="000000"/>
        </w:rPr>
      </w:pPr>
      <w:r w:rsidRPr="00FE73DE">
        <w:t>In July 2015, IBA introduced an adjustment to its risk appetite in business lending in pursuit of lower lending losses and sought to reduce its loan concentration limits for new businesses.</w:t>
      </w:r>
      <w:r w:rsidRPr="00FE73DE">
        <w:rPr>
          <w:rStyle w:val="FootnoteReference"/>
        </w:rPr>
        <w:footnoteReference w:id="4"/>
      </w:r>
      <w:r w:rsidRPr="00FE73DE">
        <w:t xml:space="preserve"> In response to IBA’s change in risk</w:t>
      </w:r>
      <w:r w:rsidR="007E202A">
        <w:t>,</w:t>
      </w:r>
      <w:r w:rsidRPr="00FE73DE">
        <w:t xml:space="preserve"> and expected reduction in support for early stage and pre-bank Indigenous business customers</w:t>
      </w:r>
      <w:r w:rsidR="00414EAD">
        <w:rPr>
          <w:rStyle w:val="FootnoteReference"/>
        </w:rPr>
        <w:footnoteReference w:id="5"/>
      </w:r>
      <w:r w:rsidRPr="00FE73DE">
        <w:t>, the Australian Government amended funding arrangements for the program from a</w:t>
      </w:r>
      <w:r w:rsidR="00E462B1">
        <w:t xml:space="preserve"> direct</w:t>
      </w:r>
      <w:r w:rsidRPr="00FE73DE">
        <w:t xml:space="preserve"> appropriation</w:t>
      </w:r>
      <w:r w:rsidRPr="00FE73DE">
        <w:rPr>
          <w:rStyle w:val="FootnoteReference"/>
        </w:rPr>
        <w:footnoteReference w:id="6"/>
      </w:r>
      <w:r w:rsidRPr="00FE73DE">
        <w:t xml:space="preserve"> to </w:t>
      </w:r>
      <w:r w:rsidR="00E462B1">
        <w:t xml:space="preserve">IBA to </w:t>
      </w:r>
      <w:r w:rsidRPr="00FE73DE">
        <w:t>an interim grant arrangement with the Department of Prime Minister and Cabinet (and subsequently with NIAA</w:t>
      </w:r>
      <w:r w:rsidR="00E462B1">
        <w:t>)</w:t>
      </w:r>
      <w:r w:rsidRPr="00FE73DE">
        <w:t>. T</w:t>
      </w:r>
      <w:r w:rsidRPr="00FE73DE">
        <w:rPr>
          <w:rFonts w:cs="Arial"/>
          <w:color w:val="000000"/>
        </w:rPr>
        <w:t>he Budget Measure amending the funding arrangements stated</w:t>
      </w:r>
      <w:r w:rsidR="007E202A">
        <w:rPr>
          <w:rFonts w:cs="Arial"/>
          <w:color w:val="000000"/>
        </w:rPr>
        <w:t>:</w:t>
      </w:r>
    </w:p>
    <w:p w14:paraId="75EA5098" w14:textId="77777777" w:rsidR="007E202A" w:rsidRPr="00EE7E76" w:rsidRDefault="007E202A" w:rsidP="00EE7E76">
      <w:pPr>
        <w:pStyle w:val="Boxbullett"/>
        <w:ind w:left="567"/>
      </w:pPr>
      <w:r w:rsidRPr="00EE7E76">
        <w:t xml:space="preserve">The Government will redirect $23.1 million in 2016-17 from Indigenous Business Australia to the Department of the Prime Minister and Cabinet to ensure the continuity of business support and capability development services to Indigenous entrepreneurs in 2016-17. </w:t>
      </w:r>
    </w:p>
    <w:p w14:paraId="3F8E2FE1" w14:textId="0177ABD5" w:rsidR="007E202A" w:rsidRDefault="007E202A" w:rsidP="00EE7E76">
      <w:pPr>
        <w:pStyle w:val="Boxbullett"/>
        <w:ind w:left="567"/>
      </w:pPr>
      <w:r w:rsidRPr="00EE7E76">
        <w:t>Services will include business planning and advice, and workshops and training for Indigenous entrepreneurs who wish to take advantage of opportunities to start up, acquire or grow a business.</w:t>
      </w:r>
      <w:r w:rsidR="00BB6880" w:rsidRPr="00FE73DE">
        <w:rPr>
          <w:rStyle w:val="FootnoteReference"/>
        </w:rPr>
        <w:footnoteReference w:id="7"/>
      </w:r>
      <w:r w:rsidRPr="00EE7E76">
        <w:t xml:space="preserve"> </w:t>
      </w:r>
    </w:p>
    <w:p w14:paraId="66D9C408" w14:textId="03AA8684" w:rsidR="007F0C30" w:rsidRPr="00FE73DE" w:rsidRDefault="007F0C30" w:rsidP="007F0C30">
      <w:r w:rsidRPr="00FE73DE">
        <w:t>The interim grant agreement was provided under the Indigenous Advancement Strategy (IAS)</w:t>
      </w:r>
      <w:r w:rsidR="007E202A">
        <w:t xml:space="preserve"> objective</w:t>
      </w:r>
      <w:r w:rsidR="009634F2">
        <w:t>s</w:t>
      </w:r>
      <w:r w:rsidR="007E202A">
        <w:t xml:space="preserve"> of Fostering Indigenous business</w:t>
      </w:r>
      <w:r w:rsidRPr="00FE73DE">
        <w:t>.</w:t>
      </w:r>
    </w:p>
    <w:p w14:paraId="06C70E70" w14:textId="421F5A8E" w:rsidR="009634F2" w:rsidRDefault="009634F2" w:rsidP="001B3B83">
      <w:r>
        <w:rPr>
          <w:rFonts w:cs="Arial"/>
          <w:color w:val="000000"/>
        </w:rPr>
        <w:t xml:space="preserve">In the 2017 Budget, the Government redirected a further </w:t>
      </w:r>
      <w:r>
        <w:t>$146.9 million over four years from 2017-18 from IBA to the Department of the Prime Minister and Cabinet to facilitate the delivery of innovative and effective support for Indigenous businesses and entrepreneurs. This extended the 2016-17 Budget Measure.</w:t>
      </w:r>
      <w:r>
        <w:rPr>
          <w:rStyle w:val="FootnoteReference"/>
        </w:rPr>
        <w:footnoteReference w:id="8"/>
      </w:r>
    </w:p>
    <w:p w14:paraId="42BE14E0" w14:textId="585095A5" w:rsidR="00A946B4" w:rsidRDefault="009634F2" w:rsidP="00FD67BB">
      <w:r>
        <w:t>As a result of the budget announcement and revised funding, i</w:t>
      </w:r>
      <w:r w:rsidRPr="00FE73DE">
        <w:t>n 2017</w:t>
      </w:r>
      <w:r w:rsidRPr="00FE73DE">
        <w:rPr>
          <w:rFonts w:ascii="Franklin Gothic Book" w:hAnsi="Franklin Gothic Book"/>
        </w:rPr>
        <w:t>–</w:t>
      </w:r>
      <w:r w:rsidRPr="00FE73DE">
        <w:t xml:space="preserve">18 the BDAP was renamed the </w:t>
      </w:r>
      <w:r>
        <w:t>Business Solutions Program (</w:t>
      </w:r>
      <w:r w:rsidRPr="00FE73DE">
        <w:t>BSP</w:t>
      </w:r>
      <w:r>
        <w:t>)</w:t>
      </w:r>
      <w:r w:rsidRPr="00FE73DE">
        <w:t xml:space="preserve"> alongside the move to a more extensive grant agreement</w:t>
      </w:r>
      <w:r w:rsidR="00AB2057">
        <w:t xml:space="preserve">. The revised IAS </w:t>
      </w:r>
      <w:r w:rsidR="00281560">
        <w:t xml:space="preserve">BSP </w:t>
      </w:r>
      <w:r w:rsidR="00AB2057">
        <w:t>grant agreement</w:t>
      </w:r>
      <w:r w:rsidRPr="00FE73DE">
        <w:t xml:space="preserve"> </w:t>
      </w:r>
      <w:r w:rsidR="00E462B1">
        <w:t>involv</w:t>
      </w:r>
      <w:r w:rsidR="00AB2057">
        <w:t xml:space="preserve">ed </w:t>
      </w:r>
      <w:r w:rsidRPr="00FE73DE">
        <w:t>annual funds of $17.3 million for business support services and a $10.2 million capital component</w:t>
      </w:r>
      <w:r w:rsidR="000C762D">
        <w:t>.</w:t>
      </w:r>
      <w:r w:rsidR="00AB2057" w:rsidRPr="00AB2057">
        <w:t xml:space="preserve"> </w:t>
      </w:r>
      <w:r w:rsidR="00AB2057" w:rsidRPr="00FE73DE">
        <w:t xml:space="preserve">This is also when the </w:t>
      </w:r>
      <w:r w:rsidR="00AB2057">
        <w:t xml:space="preserve">IBA </w:t>
      </w:r>
      <w:r w:rsidR="00AB2057" w:rsidRPr="00FE73DE">
        <w:t xml:space="preserve">division </w:t>
      </w:r>
      <w:r w:rsidR="00AB2057">
        <w:t xml:space="preserve">responsible for business support services and business financial products </w:t>
      </w:r>
      <w:r w:rsidR="00AB2057" w:rsidRPr="00FE73DE">
        <w:t>was renamed Business Solutions</w:t>
      </w:r>
      <w:r w:rsidR="00BB6880">
        <w:t>.</w:t>
      </w:r>
      <w:r w:rsidR="00BB6880" w:rsidDel="00BB6880">
        <w:t xml:space="preserve"> </w:t>
      </w:r>
      <w:bookmarkStart w:id="18" w:name="_Hlk104306699"/>
      <w:bookmarkStart w:id="19" w:name="_Toc94116381"/>
    </w:p>
    <w:p w14:paraId="733813B4" w14:textId="7AF2895C" w:rsidR="00414EEA" w:rsidRDefault="001C5297" w:rsidP="00A90860">
      <w:r w:rsidRPr="00FE73DE">
        <w:t xml:space="preserve">The BSP </w:t>
      </w:r>
      <w:r w:rsidR="00414EEA">
        <w:t xml:space="preserve">approach was consistent with the </w:t>
      </w:r>
      <w:r w:rsidR="004758AF" w:rsidRPr="00FE73DE">
        <w:t xml:space="preserve">former Coalition Government’s </w:t>
      </w:r>
      <w:r w:rsidRPr="00FE73DE">
        <w:t>10</w:t>
      </w:r>
      <w:r w:rsidR="00944E10" w:rsidRPr="00FE73DE">
        <w:rPr>
          <w:rFonts w:ascii="Franklin Gothic Book" w:hAnsi="Franklin Gothic Book"/>
        </w:rPr>
        <w:t>-</w:t>
      </w:r>
      <w:r w:rsidRPr="00FE73DE">
        <w:t xml:space="preserve">year </w:t>
      </w:r>
      <w:r w:rsidR="004758AF" w:rsidRPr="00FE73DE">
        <w:t>Indigenous Business Sector S</w:t>
      </w:r>
      <w:r w:rsidRPr="00FE73DE">
        <w:t xml:space="preserve">trategy </w:t>
      </w:r>
      <w:r w:rsidR="004758AF" w:rsidRPr="00FE73DE">
        <w:t>(IBSS</w:t>
      </w:r>
      <w:r w:rsidR="00113137" w:rsidRPr="00FE73DE">
        <w:t>).</w:t>
      </w:r>
      <w:r w:rsidR="00A946B4">
        <w:t xml:space="preserve"> </w:t>
      </w:r>
      <w:r w:rsidR="00A90860" w:rsidRPr="00FE73DE">
        <w:t xml:space="preserve">The IBSS was designed to assist in expanding the capacity of the Indigenous business sector to meet the increasing demand for Indigenous goods and services, driven in part by the Indigenous Procurement Policy (IPP) and other strategies. </w:t>
      </w:r>
    </w:p>
    <w:p w14:paraId="67920931" w14:textId="1569FA88" w:rsidR="004D0F47" w:rsidRPr="00FE73DE" w:rsidRDefault="00414EEA" w:rsidP="00A90860">
      <w:r>
        <w:t xml:space="preserve">The </w:t>
      </w:r>
      <w:r w:rsidR="00A90860" w:rsidRPr="00FE73DE">
        <w:t xml:space="preserve">IBSS was </w:t>
      </w:r>
      <w:r>
        <w:t xml:space="preserve">also </w:t>
      </w:r>
      <w:r w:rsidR="00A90860" w:rsidRPr="00FE73DE">
        <w:t xml:space="preserve">designed to help Indigenous people build sustainable businesses that will support themselves, their </w:t>
      </w:r>
      <w:r w:rsidR="008C79C8" w:rsidRPr="00FE73DE">
        <w:t>families</w:t>
      </w:r>
      <w:r w:rsidR="008C79C8">
        <w:t>,</w:t>
      </w:r>
      <w:r w:rsidR="00A90860" w:rsidRPr="00FE73DE">
        <w:t xml:space="preserve"> and their communities through job creation and financial security and independence. </w:t>
      </w:r>
      <w:r>
        <w:t xml:space="preserve">There was an </w:t>
      </w:r>
      <w:r w:rsidR="00710E1A" w:rsidRPr="00FE73DE">
        <w:t xml:space="preserve">understanding that a </w:t>
      </w:r>
      <w:r w:rsidR="00A90860" w:rsidRPr="00FE73DE">
        <w:t>stronger Indigenous business sector can contribute to the growth of local economies and the broader Australian economy.</w:t>
      </w:r>
      <w:r w:rsidR="00FD67BB">
        <w:t xml:space="preserve"> See </w:t>
      </w:r>
      <w:r w:rsidR="00FD67BB" w:rsidRPr="00D546FB">
        <w:t>Appendix B for further</w:t>
      </w:r>
      <w:r w:rsidR="00FD67BB">
        <w:t xml:space="preserve"> details on the IBSS.</w:t>
      </w:r>
    </w:p>
    <w:p w14:paraId="7941134B" w14:textId="0D899A49" w:rsidR="00E42D22" w:rsidRPr="00FE73DE" w:rsidRDefault="00517E2A" w:rsidP="004F2771">
      <w:pPr>
        <w:pStyle w:val="Heading2"/>
        <w:ind w:hanging="792"/>
      </w:pPr>
      <w:bookmarkStart w:id="20" w:name="_Toc123734691"/>
      <w:bookmarkStart w:id="21" w:name="_Hlk104974869"/>
      <w:bookmarkStart w:id="22" w:name="_Hlk104307295"/>
      <w:bookmarkEnd w:id="18"/>
      <w:bookmarkEnd w:id="19"/>
      <w:r w:rsidRPr="00FE73DE">
        <w:t>Business Solutions Program</w:t>
      </w:r>
      <w:bookmarkEnd w:id="20"/>
      <w:r w:rsidR="00E42D22" w:rsidRPr="00FE73DE">
        <w:t xml:space="preserve"> </w:t>
      </w:r>
    </w:p>
    <w:p w14:paraId="3E10E51E" w14:textId="1395421E" w:rsidR="00517E2A" w:rsidRPr="00FE73DE" w:rsidRDefault="00517E2A" w:rsidP="00517E2A">
      <w:r w:rsidRPr="00FE73DE">
        <w:t xml:space="preserve">The terms of </w:t>
      </w:r>
      <w:r w:rsidR="00113137" w:rsidRPr="00FE73DE">
        <w:t xml:space="preserve">both the interim and more extensive grant </w:t>
      </w:r>
      <w:r w:rsidRPr="00FE73DE">
        <w:t>agreement</w:t>
      </w:r>
      <w:r w:rsidR="00113137" w:rsidRPr="00FE73DE">
        <w:t>s</w:t>
      </w:r>
      <w:r w:rsidRPr="00FE73DE">
        <w:t xml:space="preserve"> required IBA to:</w:t>
      </w:r>
    </w:p>
    <w:p w14:paraId="29328086" w14:textId="371C57C8" w:rsidR="00517E2A" w:rsidRPr="002A5593" w:rsidRDefault="00517E2A">
      <w:pPr>
        <w:pStyle w:val="ListBullet"/>
      </w:pPr>
      <w:r w:rsidRPr="002A5593">
        <w:t xml:space="preserve">deliver services to </w:t>
      </w:r>
      <w:r w:rsidR="009A691D">
        <w:t xml:space="preserve">eligible </w:t>
      </w:r>
      <w:r w:rsidRPr="002A5593">
        <w:t>Indigenous businesses that have a viable business idea but that would not be able to secure private sector investment</w:t>
      </w:r>
    </w:p>
    <w:p w14:paraId="1179703F" w14:textId="3F47D649" w:rsidR="00517E2A" w:rsidRPr="002A5593" w:rsidRDefault="00517E2A">
      <w:pPr>
        <w:pStyle w:val="ListBullet"/>
      </w:pPr>
      <w:r w:rsidRPr="002A5593">
        <w:t>assist early</w:t>
      </w:r>
      <w:r w:rsidR="0035315C" w:rsidRPr="002A5593">
        <w:t xml:space="preserve"> </w:t>
      </w:r>
      <w:r w:rsidRPr="002A5593">
        <w:t>stage Indigenous entrepreneurs and higher risk clients (including those defined as pre-bank)</w:t>
      </w:r>
    </w:p>
    <w:p w14:paraId="7AD3D303" w14:textId="091B0D93" w:rsidR="00517E2A" w:rsidRPr="002A5593" w:rsidRDefault="00517E2A">
      <w:pPr>
        <w:pStyle w:val="ListBullet"/>
      </w:pPr>
      <w:r w:rsidRPr="002A5593">
        <w:t>provide intensive support services and business loans to</w:t>
      </w:r>
      <w:r w:rsidR="000C762D">
        <w:t xml:space="preserve"> eligible</w:t>
      </w:r>
      <w:r w:rsidRPr="002A5593">
        <w:t xml:space="preserve"> Indigenous businesses</w:t>
      </w:r>
    </w:p>
    <w:p w14:paraId="2B5307C9" w14:textId="77777777" w:rsidR="00517E2A" w:rsidRPr="002A5593" w:rsidRDefault="00517E2A">
      <w:pPr>
        <w:pStyle w:val="ListBullet"/>
      </w:pPr>
      <w:r w:rsidRPr="002A5593">
        <w:t>act as a bridge between the Commonwealth and other partners who deliver capital and business support to Indigenous businesses.</w:t>
      </w:r>
    </w:p>
    <w:p w14:paraId="2B5E80DD" w14:textId="448A4B1F" w:rsidR="00517E2A" w:rsidRDefault="00517E2A" w:rsidP="00517E2A">
      <w:r w:rsidRPr="00FE73DE">
        <w:t xml:space="preserve">These requirements were consistent with the policy as outlined in the IBSS. </w:t>
      </w:r>
    </w:p>
    <w:p w14:paraId="0870BA48" w14:textId="56170BB7" w:rsidR="00630815" w:rsidRPr="00FE73DE" w:rsidRDefault="00630815" w:rsidP="00517E2A">
      <w:r>
        <w:t xml:space="preserve">With the move from the direct appropriation to targeted grant arrangements, specific Key Performance Indicators (KPIs) were </w:t>
      </w:r>
      <w:r w:rsidR="00281560">
        <w:t>introduced</w:t>
      </w:r>
      <w:r>
        <w:t xml:space="preserve"> for the BSP to ensure the continued support for target cohorts. </w:t>
      </w:r>
      <w:r w:rsidRPr="00630815">
        <w:t>For example, t</w:t>
      </w:r>
      <w:r w:rsidRPr="00EE7E76">
        <w:t>he initial 2016</w:t>
      </w:r>
      <w:r w:rsidRPr="00EE7E76">
        <w:rPr>
          <w:rFonts w:ascii="Franklin Gothic Book" w:hAnsi="Franklin Gothic Book"/>
        </w:rPr>
        <w:t>–</w:t>
      </w:r>
      <w:r w:rsidRPr="00EE7E76">
        <w:t xml:space="preserve">17 grant agreement set out 13 KPIs which underpinned quarterly performance assessments. These KPIs had a specific focus on IBA continuing to deliver and report on the uptake of its suite of seminars/workshops for business previously delivered under BDAP, with </w:t>
      </w:r>
      <w:r>
        <w:t xml:space="preserve">four </w:t>
      </w:r>
      <w:r w:rsidRPr="00EE7E76">
        <w:t xml:space="preserve">of the 13 KPIs setting targets to different target audiences. </w:t>
      </w:r>
      <w:r>
        <w:t xml:space="preserve">These BSP contractual targets were in addition to the KPIs as required by IBA to be reported on as part of its broader PGPA Act reporting requirements. </w:t>
      </w:r>
    </w:p>
    <w:p w14:paraId="5787EF1E" w14:textId="1DDF0B80" w:rsidR="00E462B1" w:rsidRDefault="00414EEA" w:rsidP="002155D7">
      <w:r>
        <w:t>Since the implementation of the BSP</w:t>
      </w:r>
      <w:r w:rsidR="00266AA9">
        <w:t>,</w:t>
      </w:r>
      <w:r>
        <w:t xml:space="preserve"> IBA has broadened its </w:t>
      </w:r>
      <w:r w:rsidR="00517E2A" w:rsidRPr="00FE73DE">
        <w:t>business product and service offering</w:t>
      </w:r>
      <w:r>
        <w:t xml:space="preserve">s </w:t>
      </w:r>
      <w:r w:rsidR="00266AA9">
        <w:t>so</w:t>
      </w:r>
      <w:r>
        <w:t xml:space="preserve"> that </w:t>
      </w:r>
      <w:r w:rsidR="00BD1E66" w:rsidRPr="00FE73DE">
        <w:t xml:space="preserve">other business products and services are funded through other grant agreements or </w:t>
      </w:r>
      <w:r w:rsidR="00BD1E66" w:rsidRPr="002D652A">
        <w:t>from IBA’s own funds.</w:t>
      </w:r>
      <w:r w:rsidR="00517E2A" w:rsidRPr="002D652A">
        <w:t xml:space="preserve"> </w:t>
      </w:r>
      <w:bookmarkStart w:id="23" w:name="_Toc109569478"/>
      <w:r>
        <w:t xml:space="preserve">See </w:t>
      </w:r>
      <w:r w:rsidR="00281560">
        <w:t>s</w:t>
      </w:r>
      <w:r>
        <w:t xml:space="preserve">ection </w:t>
      </w:r>
      <w:r w:rsidR="003257FB">
        <w:t>8</w:t>
      </w:r>
      <w:r w:rsidR="00281560">
        <w:t>.4</w:t>
      </w:r>
      <w:r>
        <w:t xml:space="preserve"> for more detail.</w:t>
      </w:r>
      <w:r w:rsidR="000C762D">
        <w:t xml:space="preserve"> </w:t>
      </w:r>
    </w:p>
    <w:p w14:paraId="282EE94A" w14:textId="1D907096" w:rsidR="005C3F32" w:rsidRPr="0052081E" w:rsidRDefault="005C3F32" w:rsidP="004F2771">
      <w:pPr>
        <w:pStyle w:val="Heading2"/>
        <w:ind w:hanging="792"/>
      </w:pPr>
      <w:bookmarkStart w:id="24" w:name="_Toc123734692"/>
      <w:r w:rsidRPr="0052081E">
        <w:t xml:space="preserve">Evaluation </w:t>
      </w:r>
      <w:r w:rsidR="00C33BA9" w:rsidRPr="0052081E">
        <w:t>r</w:t>
      </w:r>
      <w:r w:rsidRPr="0052081E">
        <w:t>eport structure</w:t>
      </w:r>
      <w:bookmarkEnd w:id="24"/>
      <w:r w:rsidRPr="0052081E">
        <w:t xml:space="preserve"> </w:t>
      </w:r>
    </w:p>
    <w:p w14:paraId="2AB88337" w14:textId="490BD96D" w:rsidR="005C3F32" w:rsidRPr="0052081E" w:rsidRDefault="005C3F32" w:rsidP="005C3F32">
      <w:r w:rsidRPr="0052081E">
        <w:t xml:space="preserve">The report is structured into </w:t>
      </w:r>
      <w:r w:rsidR="00281560" w:rsidRPr="0052081E">
        <w:t>eight</w:t>
      </w:r>
      <w:r w:rsidRPr="0052081E">
        <w:t xml:space="preserve"> sections. Section 2 provides details regarding the evaluation methodology of the BSP, including the approach to ethics and stakeholder engagement. It focuses on the evaluation methodology as a whole and any limitations to the study. </w:t>
      </w:r>
    </w:p>
    <w:p w14:paraId="2B122EB5" w14:textId="6DDE20EF" w:rsidR="005C3F32" w:rsidRPr="00FE73DE" w:rsidRDefault="005C3F32" w:rsidP="002155D7">
      <w:r w:rsidRPr="0052081E">
        <w:t xml:space="preserve">Sections 3 to </w:t>
      </w:r>
      <w:r w:rsidR="00C361B7" w:rsidRPr="0052081E">
        <w:t>7</w:t>
      </w:r>
      <w:r w:rsidRPr="0052081E">
        <w:t xml:space="preserve"> </w:t>
      </w:r>
      <w:r w:rsidR="001C6781" w:rsidRPr="0052081E">
        <w:t xml:space="preserve">answer the overarching evaluation questions, with </w:t>
      </w:r>
      <w:r w:rsidRPr="0052081E">
        <w:t>evaluation findings aligned to themes of: program design, program delivery and performance management; IBA’s governance, policies and procedures; program outcomes – short, medium and long term;</w:t>
      </w:r>
      <w:r w:rsidR="001C6781" w:rsidRPr="0052081E">
        <w:t xml:space="preserve"> and</w:t>
      </w:r>
      <w:r w:rsidRPr="0052081E">
        <w:t xml:space="preserve"> core values. </w:t>
      </w:r>
      <w:r w:rsidR="00C361B7" w:rsidRPr="0052081E">
        <w:t xml:space="preserve">Section </w:t>
      </w:r>
      <w:r w:rsidR="001C6781" w:rsidRPr="0052081E">
        <w:t>8</w:t>
      </w:r>
      <w:r w:rsidR="00C361B7" w:rsidRPr="0052081E">
        <w:t xml:space="preserve"> builds on these answers and presents </w:t>
      </w:r>
      <w:r w:rsidR="001C6781" w:rsidRPr="0052081E">
        <w:t xml:space="preserve">considerations for </w:t>
      </w:r>
      <w:r w:rsidR="00C361B7" w:rsidRPr="0052081E">
        <w:t>future directions.</w:t>
      </w:r>
    </w:p>
    <w:p w14:paraId="2B5C9BF9" w14:textId="16824DE1" w:rsidR="0066093E" w:rsidRPr="00FE73DE" w:rsidRDefault="0066093E">
      <w:pPr>
        <w:pStyle w:val="Heading1"/>
      </w:pPr>
      <w:bookmarkStart w:id="25" w:name="_Toc123734693"/>
      <w:r w:rsidRPr="00FE73DE">
        <w:t xml:space="preserve">Evaluation </w:t>
      </w:r>
      <w:r w:rsidR="00B11880">
        <w:t>m</w:t>
      </w:r>
      <w:r w:rsidRPr="00FE73DE">
        <w:t>ethodology</w:t>
      </w:r>
      <w:bookmarkEnd w:id="23"/>
      <w:bookmarkEnd w:id="25"/>
    </w:p>
    <w:p w14:paraId="1AD86B36" w14:textId="1596F83F" w:rsidR="0066093E" w:rsidRPr="00FE73DE" w:rsidRDefault="0066093E" w:rsidP="004F2771">
      <w:pPr>
        <w:pStyle w:val="Heading2"/>
        <w:ind w:hanging="792"/>
      </w:pPr>
      <w:bookmarkStart w:id="26" w:name="_Toc109569479"/>
      <w:bookmarkStart w:id="27" w:name="_Toc123734694"/>
      <w:r w:rsidRPr="00FE73DE">
        <w:t>Evaluation purpose, objective</w:t>
      </w:r>
      <w:r w:rsidR="00944E10" w:rsidRPr="00FE73DE">
        <w:t>,</w:t>
      </w:r>
      <w:r w:rsidRPr="00FE73DE">
        <w:t xml:space="preserve"> and framework</w:t>
      </w:r>
      <w:bookmarkEnd w:id="26"/>
      <w:bookmarkEnd w:id="27"/>
    </w:p>
    <w:p w14:paraId="7B95C297" w14:textId="14C0740B" w:rsidR="0066093E" w:rsidRPr="00FE73DE" w:rsidRDefault="0066093E" w:rsidP="0066093E">
      <w:r w:rsidRPr="00FE73DE">
        <w:t xml:space="preserve">The decision to redirect IBA’s appropriation to a grant arrangement under the IAS included a commitment to evaluate IBA’s delivery of the BSP against the policy intent after </w:t>
      </w:r>
      <w:r w:rsidR="003A0DE0">
        <w:t>two</w:t>
      </w:r>
      <w:r w:rsidRPr="00FE73DE">
        <w:t xml:space="preserve"> years</w:t>
      </w:r>
      <w:r w:rsidR="00B9140C">
        <w:rPr>
          <w:rStyle w:val="FootnoteReference"/>
        </w:rPr>
        <w:footnoteReference w:id="9"/>
      </w:r>
      <w:r w:rsidRPr="00FE73DE">
        <w:t>. This is the report on that evaluation commitment.</w:t>
      </w:r>
      <w:r w:rsidR="00B9140C">
        <w:rPr>
          <w:rStyle w:val="FootnoteReference"/>
        </w:rPr>
        <w:footnoteReference w:id="10"/>
      </w:r>
    </w:p>
    <w:p w14:paraId="3B57221A" w14:textId="4579D0AB" w:rsidR="0066093E" w:rsidRPr="00FE73DE" w:rsidRDefault="0066093E" w:rsidP="0066093E">
      <w:r w:rsidRPr="00FE73DE">
        <w:t>The evaluation seeks to</w:t>
      </w:r>
      <w:r w:rsidR="00893064" w:rsidRPr="00FE73DE">
        <w:t xml:space="preserve"> assess the extent to which IBA has delivered against the requirements of the BSP</w:t>
      </w:r>
      <w:r w:rsidRPr="00FE73DE">
        <w:t xml:space="preserve"> contract arrangement for the period 1 July 2016 to 30 June 2021, </w:t>
      </w:r>
      <w:r w:rsidR="00C145AC">
        <w:t xml:space="preserve">including </w:t>
      </w:r>
      <w:r w:rsidR="00C145AC" w:rsidRPr="00791ECA">
        <w:t>whether the</w:t>
      </w:r>
      <w:r w:rsidR="00C145AC">
        <w:t xml:space="preserve"> BSP’s delivery has achieved its</w:t>
      </w:r>
      <w:r w:rsidR="00C145AC" w:rsidRPr="00791ECA">
        <w:t xml:space="preserve"> policy intent </w:t>
      </w:r>
      <w:r w:rsidR="00C145AC">
        <w:t xml:space="preserve">to support </w:t>
      </w:r>
      <w:r w:rsidR="001C6781">
        <w:t xml:space="preserve">and develop </w:t>
      </w:r>
      <w:r w:rsidR="00C145AC">
        <w:t>early stage, pre-bank, and high risk Indigenous businesses</w:t>
      </w:r>
      <w:r w:rsidRPr="00FE73DE">
        <w:t xml:space="preserve">. </w:t>
      </w:r>
    </w:p>
    <w:p w14:paraId="18C4140B" w14:textId="3DA87185" w:rsidR="0066093E" w:rsidRPr="00FE73DE" w:rsidRDefault="0066093E" w:rsidP="0066093E">
      <w:r w:rsidRPr="00FE73DE">
        <w:t xml:space="preserve">The objectives of the evaluation </w:t>
      </w:r>
      <w:r w:rsidR="00BD1E66" w:rsidRPr="00FE73DE">
        <w:t xml:space="preserve">were </w:t>
      </w:r>
      <w:r w:rsidRPr="00FE73DE">
        <w:t xml:space="preserve">to: </w:t>
      </w:r>
    </w:p>
    <w:p w14:paraId="3541A03F" w14:textId="77777777" w:rsidR="0066093E" w:rsidRPr="00FE73DE" w:rsidRDefault="0066093E">
      <w:pPr>
        <w:pStyle w:val="ListBullet"/>
        <w:numPr>
          <w:ilvl w:val="0"/>
          <w:numId w:val="28"/>
        </w:numPr>
        <w:ind w:left="567"/>
      </w:pPr>
      <w:r w:rsidRPr="00FE73DE">
        <w:t>Assess the appropriateness of the design and delivery of the program in meeting the needs of Indigenous businesses</w:t>
      </w:r>
    </w:p>
    <w:p w14:paraId="31AD57D8" w14:textId="36A5731F" w:rsidR="0066093E" w:rsidRPr="00FE73DE" w:rsidRDefault="0066093E">
      <w:pPr>
        <w:pStyle w:val="ListBullet"/>
        <w:numPr>
          <w:ilvl w:val="0"/>
          <w:numId w:val="28"/>
        </w:numPr>
        <w:ind w:left="567"/>
      </w:pPr>
      <w:r w:rsidRPr="00FE73DE">
        <w:t>Assess the extent that the program has achieved its intended outcomes</w:t>
      </w:r>
    </w:p>
    <w:p w14:paraId="620FD3D5" w14:textId="77777777" w:rsidR="0066093E" w:rsidRPr="00FE73DE" w:rsidRDefault="0066093E">
      <w:pPr>
        <w:pStyle w:val="ListBullet"/>
        <w:numPr>
          <w:ilvl w:val="0"/>
          <w:numId w:val="28"/>
        </w:numPr>
        <w:ind w:left="567"/>
      </w:pPr>
      <w:r w:rsidRPr="00FE73DE">
        <w:t>Identify opportunities to improve the governance, management and delivery of the program.</w:t>
      </w:r>
    </w:p>
    <w:p w14:paraId="3A20AE23" w14:textId="7C4C52E3" w:rsidR="0066093E" w:rsidRPr="00FE73DE" w:rsidRDefault="0066093E" w:rsidP="0066093E">
      <w:r w:rsidRPr="00FE73DE">
        <w:t xml:space="preserve">The evaluation </w:t>
      </w:r>
      <w:r w:rsidR="003A0DE0">
        <w:t xml:space="preserve">was guided </w:t>
      </w:r>
      <w:r w:rsidRPr="00FE73DE">
        <w:t xml:space="preserve">by an evaluation strategy </w:t>
      </w:r>
      <w:r w:rsidR="00670A08" w:rsidRPr="00FE73DE">
        <w:t>completed in</w:t>
      </w:r>
      <w:r w:rsidRPr="00FE73DE">
        <w:t xml:space="preserve"> 2020 </w:t>
      </w:r>
      <w:bookmarkStart w:id="28" w:name="_Hlk119858688"/>
      <w:r w:rsidRPr="00FE73DE">
        <w:t>includ</w:t>
      </w:r>
      <w:r w:rsidR="002B0F40">
        <w:t>ing</w:t>
      </w:r>
      <w:r w:rsidRPr="00FE73DE">
        <w:t xml:space="preserve"> a program logic and theory of change </w:t>
      </w:r>
      <w:r w:rsidR="00893064" w:rsidRPr="00FE73DE">
        <w:t xml:space="preserve">(see </w:t>
      </w:r>
      <w:r w:rsidR="00893064" w:rsidRPr="003257FB">
        <w:t xml:space="preserve">Appendix </w:t>
      </w:r>
      <w:r w:rsidR="008B62F3" w:rsidRPr="003257FB">
        <w:t>C</w:t>
      </w:r>
      <w:r w:rsidR="00893064" w:rsidRPr="003257FB">
        <w:t>)</w:t>
      </w:r>
      <w:r w:rsidRPr="003257FB">
        <w:t xml:space="preserve">. </w:t>
      </w:r>
      <w:r w:rsidR="003A0DE0" w:rsidRPr="003257FB">
        <w:t>T</w:t>
      </w:r>
      <w:r w:rsidRPr="003257FB">
        <w:t>he</w:t>
      </w:r>
      <w:r w:rsidRPr="00FE73DE">
        <w:t xml:space="preserve"> strategy also included key evaluation questions and sub-questions </w:t>
      </w:r>
      <w:bookmarkEnd w:id="28"/>
      <w:r w:rsidRPr="00FE73DE">
        <w:t>as shown in</w:t>
      </w:r>
      <w:r w:rsidR="00396C02" w:rsidRPr="00FE73DE">
        <w:t xml:space="preserve"> </w:t>
      </w:r>
      <w:r w:rsidR="00396C02" w:rsidRPr="00FE73DE">
        <w:fldChar w:fldCharType="begin"/>
      </w:r>
      <w:r w:rsidR="00396C02" w:rsidRPr="00FE73DE">
        <w:instrText xml:space="preserve"> REF _Ref110869647 \h </w:instrText>
      </w:r>
      <w:r w:rsidR="00396C02" w:rsidRPr="00FE73DE">
        <w:fldChar w:fldCharType="separate"/>
      </w:r>
      <w:r w:rsidR="004718C9" w:rsidRPr="00FE73DE">
        <w:t xml:space="preserve">Table </w:t>
      </w:r>
      <w:r w:rsidR="004718C9">
        <w:rPr>
          <w:noProof/>
        </w:rPr>
        <w:t>1</w:t>
      </w:r>
      <w:r w:rsidR="00396C02" w:rsidRPr="00FE73DE">
        <w:fldChar w:fldCharType="end"/>
      </w:r>
      <w:r w:rsidRPr="00FE73DE">
        <w:t xml:space="preserve">. Further detail about the data and analytical methods for each evaluation question is provided in the Analytical and Evaluation Framework </w:t>
      </w:r>
      <w:r w:rsidR="00B65630">
        <w:t>at</w:t>
      </w:r>
      <w:r w:rsidRPr="00FE73DE">
        <w:t xml:space="preserve"> </w:t>
      </w:r>
      <w:r w:rsidRPr="003257FB">
        <w:t xml:space="preserve">Appendix </w:t>
      </w:r>
      <w:r w:rsidR="008B62F3" w:rsidRPr="003257FB">
        <w:t>B</w:t>
      </w:r>
      <w:r w:rsidRPr="003257FB">
        <w:t>.</w:t>
      </w:r>
      <w:r w:rsidRPr="00FE73DE">
        <w:t xml:space="preserve"> </w:t>
      </w:r>
    </w:p>
    <w:p w14:paraId="12C54591" w14:textId="6D5646B7" w:rsidR="0066093E" w:rsidRPr="00FE73DE" w:rsidRDefault="0066093E" w:rsidP="0066093E">
      <w:pPr>
        <w:pStyle w:val="Caption"/>
        <w:keepNext/>
      </w:pPr>
      <w:bookmarkStart w:id="29" w:name="_Ref110869647"/>
      <w:r w:rsidRPr="00FE73DE">
        <w:t xml:space="preserve">Table </w:t>
      </w:r>
      <w:fldSimple w:instr=" SEQ Table \* ARABIC ">
        <w:r w:rsidR="004718C9">
          <w:rPr>
            <w:noProof/>
          </w:rPr>
          <w:t>1</w:t>
        </w:r>
      </w:fldSimple>
      <w:bookmarkEnd w:id="29"/>
      <w:r w:rsidRPr="00FE73DE">
        <w:t>: Evaluation</w:t>
      </w:r>
      <w:r w:rsidR="00893064" w:rsidRPr="00FE73DE">
        <w:t xml:space="preserve"> </w:t>
      </w:r>
      <w:r w:rsidRPr="00FE73DE">
        <w:t>questions and sub-questions</w:t>
      </w:r>
    </w:p>
    <w:tbl>
      <w:tblPr>
        <w:tblStyle w:val="SustineoTableStyle1"/>
        <w:tblW w:w="0" w:type="auto"/>
        <w:tblLook w:val="0420" w:firstRow="1" w:lastRow="0" w:firstColumn="0" w:lastColumn="0" w:noHBand="0" w:noVBand="1"/>
      </w:tblPr>
      <w:tblGrid>
        <w:gridCol w:w="448"/>
        <w:gridCol w:w="3436"/>
        <w:gridCol w:w="613"/>
        <w:gridCol w:w="4393"/>
      </w:tblGrid>
      <w:tr w:rsidR="00675880" w:rsidRPr="00FE73DE" w14:paraId="235F9E5A" w14:textId="77777777" w:rsidTr="00712DDA">
        <w:trPr>
          <w:cnfStyle w:val="100000000000" w:firstRow="1" w:lastRow="0" w:firstColumn="0" w:lastColumn="0" w:oddVBand="0" w:evenVBand="0" w:oddHBand="0" w:evenHBand="0" w:firstRowFirstColumn="0" w:firstRowLastColumn="0" w:lastRowFirstColumn="0" w:lastRowLastColumn="0"/>
          <w:tblHeader/>
        </w:trPr>
        <w:tc>
          <w:tcPr>
            <w:tcW w:w="448" w:type="dxa"/>
          </w:tcPr>
          <w:p w14:paraId="5F0B276B" w14:textId="77777777" w:rsidR="00675880" w:rsidRPr="00FE73DE" w:rsidRDefault="00675880" w:rsidP="00102BEB">
            <w:pPr>
              <w:pStyle w:val="TableText"/>
            </w:pPr>
          </w:p>
        </w:tc>
        <w:tc>
          <w:tcPr>
            <w:tcW w:w="3516" w:type="dxa"/>
          </w:tcPr>
          <w:p w14:paraId="6EAE6D7C" w14:textId="2E03B388" w:rsidR="00675880" w:rsidRPr="00FE73DE" w:rsidRDefault="00675880" w:rsidP="00102BEB">
            <w:pPr>
              <w:pStyle w:val="TableText"/>
            </w:pPr>
            <w:r w:rsidRPr="00FE73DE">
              <w:t>Evaluation question</w:t>
            </w:r>
          </w:p>
        </w:tc>
        <w:tc>
          <w:tcPr>
            <w:tcW w:w="426" w:type="dxa"/>
          </w:tcPr>
          <w:p w14:paraId="11222CDD" w14:textId="77777777" w:rsidR="00675880" w:rsidRPr="00FE73DE" w:rsidRDefault="00675880" w:rsidP="00102BEB">
            <w:pPr>
              <w:pStyle w:val="TableText"/>
            </w:pPr>
          </w:p>
        </w:tc>
        <w:tc>
          <w:tcPr>
            <w:tcW w:w="4500" w:type="dxa"/>
          </w:tcPr>
          <w:p w14:paraId="34AB1C0B" w14:textId="06FC1E47" w:rsidR="00675880" w:rsidRPr="00FE73DE" w:rsidRDefault="00675880" w:rsidP="00102BEB">
            <w:pPr>
              <w:pStyle w:val="TableText"/>
            </w:pPr>
            <w:r w:rsidRPr="00FE73DE">
              <w:t>Evaluation sub-questions</w:t>
            </w:r>
          </w:p>
        </w:tc>
      </w:tr>
      <w:tr w:rsidR="00675880" w:rsidRPr="00FE73DE" w14:paraId="6C46D266" w14:textId="77777777" w:rsidTr="00712DDA">
        <w:tc>
          <w:tcPr>
            <w:tcW w:w="448" w:type="dxa"/>
          </w:tcPr>
          <w:p w14:paraId="44AD8645" w14:textId="28812D85" w:rsidR="00675880" w:rsidRPr="00FE73DE" w:rsidRDefault="00675880" w:rsidP="000C28D7">
            <w:pPr>
              <w:pStyle w:val="TableText"/>
              <w:rPr>
                <w:b/>
              </w:rPr>
            </w:pPr>
            <w:r>
              <w:rPr>
                <w:b/>
              </w:rPr>
              <w:t>1</w:t>
            </w:r>
          </w:p>
        </w:tc>
        <w:tc>
          <w:tcPr>
            <w:tcW w:w="3516" w:type="dxa"/>
          </w:tcPr>
          <w:p w14:paraId="16F70195" w14:textId="5F7FCB77" w:rsidR="00675880" w:rsidRPr="00FE73DE" w:rsidRDefault="00675880" w:rsidP="000C28D7">
            <w:pPr>
              <w:pStyle w:val="TableText"/>
              <w:rPr>
                <w:b/>
              </w:rPr>
            </w:pPr>
            <w:r w:rsidRPr="00FE73DE">
              <w:rPr>
                <w:b/>
              </w:rPr>
              <w:t>Is the suite of products and services delivered under the BSP aligned with the policy intent?</w:t>
            </w:r>
          </w:p>
        </w:tc>
        <w:tc>
          <w:tcPr>
            <w:tcW w:w="426" w:type="dxa"/>
          </w:tcPr>
          <w:p w14:paraId="7B76D937" w14:textId="0E311E7E" w:rsidR="00675880" w:rsidRPr="00FE73DE" w:rsidRDefault="00675880" w:rsidP="00102BEB">
            <w:pPr>
              <w:pStyle w:val="TableText"/>
            </w:pPr>
            <w:r>
              <w:t>1.1</w:t>
            </w:r>
          </w:p>
        </w:tc>
        <w:tc>
          <w:tcPr>
            <w:tcW w:w="4500" w:type="dxa"/>
          </w:tcPr>
          <w:p w14:paraId="1D046249" w14:textId="554CB98A" w:rsidR="00675880" w:rsidRPr="00FE73DE" w:rsidRDefault="00675880" w:rsidP="00102BEB">
            <w:pPr>
              <w:pStyle w:val="TableText"/>
            </w:pPr>
            <w:r w:rsidRPr="00FE73DE">
              <w:t>Does the suite of products and services deliver the policy intent to grow the cohort of economically sustainable Aboriginal and Torres Strait Islander owned businesses, including:</w:t>
            </w:r>
          </w:p>
          <w:p w14:paraId="4C3B43FD" w14:textId="60D3A0E0" w:rsidR="00675880" w:rsidRPr="00FE73DE" w:rsidRDefault="00675880">
            <w:pPr>
              <w:pStyle w:val="TableText"/>
              <w:numPr>
                <w:ilvl w:val="0"/>
                <w:numId w:val="27"/>
              </w:numPr>
              <w:ind w:left="314" w:hanging="284"/>
            </w:pPr>
            <w:r w:rsidRPr="00FE73DE">
              <w:t>providing access to finance for ‘high-risk’ firms</w:t>
            </w:r>
          </w:p>
          <w:p w14:paraId="18AC26F7" w14:textId="58BB8CA0" w:rsidR="00675880" w:rsidRPr="00FE73DE" w:rsidRDefault="00675880">
            <w:pPr>
              <w:pStyle w:val="TableText"/>
              <w:numPr>
                <w:ilvl w:val="0"/>
                <w:numId w:val="27"/>
              </w:numPr>
              <w:ind w:left="314" w:hanging="284"/>
            </w:pPr>
            <w:r w:rsidRPr="00FE73DE">
              <w:t>providing Indigenous owned businesses targeted business advisory support</w:t>
            </w:r>
          </w:p>
          <w:p w14:paraId="1F5F9458" w14:textId="38AF6DF9" w:rsidR="00675880" w:rsidRPr="00FE73DE" w:rsidRDefault="00675880">
            <w:pPr>
              <w:pStyle w:val="TableText"/>
              <w:numPr>
                <w:ilvl w:val="0"/>
                <w:numId w:val="27"/>
              </w:numPr>
              <w:ind w:left="314" w:hanging="284"/>
            </w:pPr>
            <w:r w:rsidRPr="00FE73DE">
              <w:t>ensuring the program delivery is efficient and effective, including cost-effective, and provides value for money</w:t>
            </w:r>
          </w:p>
          <w:p w14:paraId="30CAB9CE" w14:textId="61FF8123" w:rsidR="00675880" w:rsidRPr="00FE73DE" w:rsidRDefault="00675880">
            <w:pPr>
              <w:pStyle w:val="TableText"/>
              <w:numPr>
                <w:ilvl w:val="0"/>
                <w:numId w:val="27"/>
              </w:numPr>
              <w:ind w:left="314" w:hanging="284"/>
            </w:pPr>
            <w:r w:rsidRPr="00FE73DE">
              <w:t>supporting the sustainability of Indigenous owned businesses</w:t>
            </w:r>
          </w:p>
        </w:tc>
      </w:tr>
      <w:tr w:rsidR="00675880" w:rsidRPr="00FE73DE" w14:paraId="2D9EF285" w14:textId="77777777" w:rsidTr="00712DDA">
        <w:trPr>
          <w:cnfStyle w:val="000000010000" w:firstRow="0" w:lastRow="0" w:firstColumn="0" w:lastColumn="0" w:oddVBand="0" w:evenVBand="0" w:oddHBand="0" w:evenHBand="1" w:firstRowFirstColumn="0" w:firstRowLastColumn="0" w:lastRowFirstColumn="0" w:lastRowLastColumn="0"/>
        </w:trPr>
        <w:tc>
          <w:tcPr>
            <w:tcW w:w="448" w:type="dxa"/>
          </w:tcPr>
          <w:p w14:paraId="51642594" w14:textId="016769B5" w:rsidR="00675880" w:rsidRPr="00FE73DE" w:rsidRDefault="00675880" w:rsidP="000C28D7">
            <w:pPr>
              <w:pStyle w:val="TableText"/>
              <w:rPr>
                <w:b/>
              </w:rPr>
            </w:pPr>
            <w:r>
              <w:rPr>
                <w:b/>
              </w:rPr>
              <w:t>2</w:t>
            </w:r>
          </w:p>
        </w:tc>
        <w:tc>
          <w:tcPr>
            <w:tcW w:w="3516" w:type="dxa"/>
          </w:tcPr>
          <w:p w14:paraId="1FF252A8" w14:textId="65ADA371" w:rsidR="00675880" w:rsidRPr="00FE73DE" w:rsidRDefault="00675880" w:rsidP="000C28D7">
            <w:pPr>
              <w:pStyle w:val="TableText"/>
              <w:rPr>
                <w:b/>
              </w:rPr>
            </w:pPr>
            <w:r w:rsidRPr="00FE73DE">
              <w:rPr>
                <w:b/>
              </w:rPr>
              <w:t>Is the program design aligned with IBSS suite of services?</w:t>
            </w:r>
          </w:p>
        </w:tc>
        <w:tc>
          <w:tcPr>
            <w:tcW w:w="426" w:type="dxa"/>
          </w:tcPr>
          <w:p w14:paraId="10B87D5E" w14:textId="77777777" w:rsidR="00675880" w:rsidRDefault="00675880" w:rsidP="00675880">
            <w:pPr>
              <w:pStyle w:val="TableText"/>
              <w:spacing w:after="0"/>
            </w:pPr>
            <w:r>
              <w:t>2.1</w:t>
            </w:r>
          </w:p>
          <w:p w14:paraId="600658F4" w14:textId="77777777" w:rsidR="00675880" w:rsidRDefault="00675880" w:rsidP="00675880">
            <w:pPr>
              <w:pStyle w:val="TableText"/>
              <w:spacing w:before="0"/>
            </w:pPr>
          </w:p>
          <w:p w14:paraId="571058FC" w14:textId="32E285BA" w:rsidR="00675880" w:rsidRPr="00FE73DE" w:rsidRDefault="00675880" w:rsidP="00675880">
            <w:pPr>
              <w:pStyle w:val="TableText"/>
              <w:spacing w:after="0"/>
            </w:pPr>
            <w:r>
              <w:t>2.2</w:t>
            </w:r>
          </w:p>
        </w:tc>
        <w:tc>
          <w:tcPr>
            <w:tcW w:w="4500" w:type="dxa"/>
          </w:tcPr>
          <w:p w14:paraId="2E59BDFD" w14:textId="4BC170C7" w:rsidR="00675880" w:rsidRPr="00FE73DE" w:rsidRDefault="00675880" w:rsidP="00102BEB">
            <w:pPr>
              <w:pStyle w:val="TableText"/>
            </w:pPr>
            <w:r w:rsidRPr="00FE73DE">
              <w:t>Does the suite of services duplicate other services delivered under the IBSS?</w:t>
            </w:r>
          </w:p>
          <w:p w14:paraId="43DA6D46" w14:textId="77777777" w:rsidR="00675880" w:rsidRPr="00FE73DE" w:rsidRDefault="00675880" w:rsidP="00102BEB">
            <w:pPr>
              <w:pStyle w:val="TableText"/>
            </w:pPr>
            <w:r w:rsidRPr="00FE73DE">
              <w:t>Are there any clear gaps in service offerings for Indigenous owned businesses that could be delivered under the BSP by IBA?</w:t>
            </w:r>
          </w:p>
        </w:tc>
      </w:tr>
      <w:tr w:rsidR="00675880" w:rsidRPr="00FE73DE" w14:paraId="21D4E814" w14:textId="77777777" w:rsidTr="00712DDA">
        <w:tc>
          <w:tcPr>
            <w:tcW w:w="448" w:type="dxa"/>
          </w:tcPr>
          <w:p w14:paraId="23741E72" w14:textId="0105622C" w:rsidR="00675880" w:rsidRPr="00FE73DE" w:rsidRDefault="00675880" w:rsidP="000C28D7">
            <w:pPr>
              <w:pStyle w:val="TableText"/>
              <w:rPr>
                <w:b/>
              </w:rPr>
            </w:pPr>
            <w:r>
              <w:rPr>
                <w:b/>
              </w:rPr>
              <w:t>3</w:t>
            </w:r>
          </w:p>
        </w:tc>
        <w:tc>
          <w:tcPr>
            <w:tcW w:w="3516" w:type="dxa"/>
          </w:tcPr>
          <w:p w14:paraId="07BD8CC6" w14:textId="20E8F10C" w:rsidR="00675880" w:rsidRPr="00FE73DE" w:rsidRDefault="00675880" w:rsidP="000C28D7">
            <w:pPr>
              <w:pStyle w:val="TableText"/>
              <w:rPr>
                <w:b/>
              </w:rPr>
            </w:pPr>
            <w:r w:rsidRPr="00FE73DE">
              <w:rPr>
                <w:b/>
              </w:rPr>
              <w:t>Has the delivery of BSP products and services met the contract targets?</w:t>
            </w:r>
          </w:p>
        </w:tc>
        <w:tc>
          <w:tcPr>
            <w:tcW w:w="426" w:type="dxa"/>
          </w:tcPr>
          <w:p w14:paraId="209DD4A9" w14:textId="77777777" w:rsidR="00675880" w:rsidRDefault="00675880" w:rsidP="00675880">
            <w:pPr>
              <w:pStyle w:val="TableText"/>
              <w:spacing w:before="0" w:after="0"/>
            </w:pPr>
            <w:r>
              <w:t>3.1</w:t>
            </w:r>
          </w:p>
          <w:p w14:paraId="33F9D74C" w14:textId="77777777" w:rsidR="00675880" w:rsidRDefault="00675880" w:rsidP="00675880">
            <w:pPr>
              <w:pStyle w:val="TableText"/>
              <w:spacing w:before="0" w:after="0"/>
            </w:pPr>
          </w:p>
          <w:p w14:paraId="6E2B25FB" w14:textId="77777777" w:rsidR="00675880" w:rsidRDefault="00675880" w:rsidP="00675880">
            <w:pPr>
              <w:pStyle w:val="TableText"/>
              <w:spacing w:before="0" w:after="0"/>
            </w:pPr>
          </w:p>
          <w:p w14:paraId="40A17A4C" w14:textId="2D65B536" w:rsidR="00675880" w:rsidRDefault="00675880" w:rsidP="00675880">
            <w:pPr>
              <w:pStyle w:val="TableText"/>
              <w:spacing w:before="0" w:after="0"/>
            </w:pPr>
          </w:p>
          <w:p w14:paraId="12F2F2F0" w14:textId="420ADBAC" w:rsidR="00675880" w:rsidRDefault="00675880" w:rsidP="00675880">
            <w:pPr>
              <w:pStyle w:val="TableText"/>
              <w:spacing w:before="0" w:after="120"/>
            </w:pPr>
          </w:p>
          <w:p w14:paraId="359A1D1E" w14:textId="728A95D6" w:rsidR="00675880" w:rsidRDefault="00675880" w:rsidP="00675880">
            <w:pPr>
              <w:pStyle w:val="TableText"/>
              <w:spacing w:before="0" w:after="120"/>
            </w:pPr>
            <w:r>
              <w:t>3.2</w:t>
            </w:r>
          </w:p>
          <w:p w14:paraId="789DDEF4" w14:textId="0A42FFFC" w:rsidR="00675880" w:rsidRPr="00FE73DE" w:rsidRDefault="00675880" w:rsidP="00675880">
            <w:pPr>
              <w:pStyle w:val="TableText"/>
              <w:spacing w:before="0" w:after="0"/>
            </w:pPr>
          </w:p>
        </w:tc>
        <w:tc>
          <w:tcPr>
            <w:tcW w:w="4500" w:type="dxa"/>
          </w:tcPr>
          <w:p w14:paraId="0DCE3B09" w14:textId="4EFA6FBF" w:rsidR="00675880" w:rsidRPr="00FE73DE" w:rsidRDefault="00675880" w:rsidP="00102BEB">
            <w:pPr>
              <w:pStyle w:val="TableText"/>
            </w:pPr>
            <w:r w:rsidRPr="00FE73DE">
              <w:t>What is the utilisation of products and services by location, size</w:t>
            </w:r>
            <w:r>
              <w:t>,</w:t>
            </w:r>
            <w:r w:rsidRPr="00FE73DE">
              <w:t xml:space="preserve"> and type of business support services and/or loan product, type and size of business, gender, diversity</w:t>
            </w:r>
            <w:r>
              <w:t>,</w:t>
            </w:r>
            <w:r w:rsidRPr="00FE73DE">
              <w:t xml:space="preserve"> and any other characteristics?</w:t>
            </w:r>
          </w:p>
          <w:p w14:paraId="3BBB771A" w14:textId="77777777" w:rsidR="00675880" w:rsidRPr="00FE73DE" w:rsidRDefault="00675880" w:rsidP="00102BEB">
            <w:pPr>
              <w:pStyle w:val="TableText"/>
            </w:pPr>
            <w:r w:rsidRPr="00FE73DE">
              <w:t>Are customers satisfied with their experience of the BSP throughout the customer journey?</w:t>
            </w:r>
          </w:p>
        </w:tc>
      </w:tr>
      <w:tr w:rsidR="00675880" w:rsidRPr="00FE73DE" w14:paraId="4E851A05" w14:textId="77777777" w:rsidTr="00712DDA">
        <w:trPr>
          <w:cnfStyle w:val="000000010000" w:firstRow="0" w:lastRow="0" w:firstColumn="0" w:lastColumn="0" w:oddVBand="0" w:evenVBand="0" w:oddHBand="0" w:evenHBand="1" w:firstRowFirstColumn="0" w:firstRowLastColumn="0" w:lastRowFirstColumn="0" w:lastRowLastColumn="0"/>
        </w:trPr>
        <w:tc>
          <w:tcPr>
            <w:tcW w:w="448" w:type="dxa"/>
          </w:tcPr>
          <w:p w14:paraId="6EA2971F" w14:textId="502F6436" w:rsidR="00675880" w:rsidRPr="00FE73DE" w:rsidRDefault="00675880" w:rsidP="000C28D7">
            <w:pPr>
              <w:pStyle w:val="TableText"/>
              <w:rPr>
                <w:b/>
              </w:rPr>
            </w:pPr>
            <w:r>
              <w:rPr>
                <w:b/>
              </w:rPr>
              <w:t>4</w:t>
            </w:r>
          </w:p>
        </w:tc>
        <w:tc>
          <w:tcPr>
            <w:tcW w:w="3516" w:type="dxa"/>
          </w:tcPr>
          <w:p w14:paraId="1F7571C3" w14:textId="54E84B6E" w:rsidR="00675880" w:rsidRPr="00FE73DE" w:rsidRDefault="00675880" w:rsidP="000C28D7">
            <w:pPr>
              <w:pStyle w:val="TableText"/>
              <w:rPr>
                <w:b/>
              </w:rPr>
            </w:pPr>
            <w:r w:rsidRPr="00FE73DE">
              <w:rPr>
                <w:b/>
              </w:rPr>
              <w:t>Do the products and services delivered under the BSP meet the needs of clients?</w:t>
            </w:r>
          </w:p>
        </w:tc>
        <w:tc>
          <w:tcPr>
            <w:tcW w:w="426" w:type="dxa"/>
          </w:tcPr>
          <w:p w14:paraId="2AB62359" w14:textId="77777777" w:rsidR="0056325B" w:rsidRDefault="0056325B" w:rsidP="007408E1">
            <w:pPr>
              <w:pStyle w:val="TableText"/>
              <w:spacing w:after="0"/>
            </w:pPr>
            <w:r>
              <w:t>4.1</w:t>
            </w:r>
          </w:p>
          <w:p w14:paraId="6E0A25A4" w14:textId="07ED9A28" w:rsidR="0056325B" w:rsidRDefault="0056325B" w:rsidP="007408E1">
            <w:pPr>
              <w:pStyle w:val="TableText"/>
              <w:spacing w:before="0"/>
            </w:pPr>
          </w:p>
          <w:p w14:paraId="413FAB20" w14:textId="1394E170" w:rsidR="0056325B" w:rsidRDefault="0056325B" w:rsidP="0056325B">
            <w:pPr>
              <w:pStyle w:val="TableText"/>
              <w:spacing w:before="0" w:after="0"/>
            </w:pPr>
            <w:r>
              <w:t>4.2</w:t>
            </w:r>
          </w:p>
          <w:p w14:paraId="51993E08" w14:textId="388B954F" w:rsidR="0056325B" w:rsidRDefault="0056325B" w:rsidP="0056325B">
            <w:pPr>
              <w:pStyle w:val="TableText"/>
              <w:spacing w:before="0"/>
            </w:pPr>
          </w:p>
          <w:p w14:paraId="5DEBD1D6" w14:textId="3B294BB7" w:rsidR="0056325B" w:rsidRDefault="0056325B" w:rsidP="0056325B">
            <w:pPr>
              <w:pStyle w:val="TableText"/>
              <w:spacing w:before="0" w:after="0"/>
            </w:pPr>
            <w:r>
              <w:t>4.3</w:t>
            </w:r>
          </w:p>
          <w:p w14:paraId="3A4A701E" w14:textId="77777777" w:rsidR="0056325B" w:rsidRDefault="0056325B" w:rsidP="0056325B">
            <w:pPr>
              <w:pStyle w:val="TableText"/>
              <w:spacing w:before="0"/>
            </w:pPr>
          </w:p>
          <w:p w14:paraId="3C804CA4" w14:textId="0D8BDE36" w:rsidR="0056325B" w:rsidRDefault="0056325B" w:rsidP="0056325B">
            <w:pPr>
              <w:pStyle w:val="TableText"/>
              <w:spacing w:before="0" w:after="0"/>
            </w:pPr>
            <w:r>
              <w:t>4.4</w:t>
            </w:r>
          </w:p>
          <w:p w14:paraId="49D87CA2" w14:textId="3C4BCBF7" w:rsidR="0056325B" w:rsidRDefault="0056325B" w:rsidP="0056325B">
            <w:pPr>
              <w:pStyle w:val="TableText"/>
              <w:spacing w:before="0"/>
            </w:pPr>
          </w:p>
          <w:p w14:paraId="42DC9F91" w14:textId="1A231A5C" w:rsidR="0056325B" w:rsidRDefault="0056325B" w:rsidP="0056325B">
            <w:pPr>
              <w:pStyle w:val="TableText"/>
              <w:spacing w:before="0"/>
            </w:pPr>
            <w:r>
              <w:t>4.5</w:t>
            </w:r>
          </w:p>
          <w:p w14:paraId="5F880C37" w14:textId="77777777" w:rsidR="0056325B" w:rsidRDefault="0056325B" w:rsidP="0056325B">
            <w:pPr>
              <w:pStyle w:val="TableText"/>
              <w:spacing w:before="0" w:after="0"/>
            </w:pPr>
          </w:p>
          <w:p w14:paraId="23A5B24D" w14:textId="325B2794" w:rsidR="00675880" w:rsidRPr="00FE73DE" w:rsidRDefault="00675880" w:rsidP="007408E1">
            <w:pPr>
              <w:pStyle w:val="TableText"/>
              <w:spacing w:after="0"/>
            </w:pPr>
          </w:p>
        </w:tc>
        <w:tc>
          <w:tcPr>
            <w:tcW w:w="4500" w:type="dxa"/>
          </w:tcPr>
          <w:p w14:paraId="779A05E7" w14:textId="3D23DB6D" w:rsidR="00675880" w:rsidRPr="00FE73DE" w:rsidRDefault="00675880" w:rsidP="00102BEB">
            <w:pPr>
              <w:pStyle w:val="TableText"/>
            </w:pPr>
            <w:r w:rsidRPr="00FE73DE">
              <w:t>Do individual products and services meet customer needs and expectations?</w:t>
            </w:r>
          </w:p>
          <w:p w14:paraId="6AE1545E" w14:textId="77777777" w:rsidR="00675880" w:rsidRPr="00FE73DE" w:rsidRDefault="00675880" w:rsidP="00102BEB">
            <w:pPr>
              <w:pStyle w:val="TableText"/>
            </w:pPr>
            <w:r w:rsidRPr="00FE73DE">
              <w:t>Have there been innovations in product and service design and delivery?</w:t>
            </w:r>
          </w:p>
          <w:p w14:paraId="616E9840" w14:textId="77777777" w:rsidR="00675880" w:rsidRPr="00FE73DE" w:rsidRDefault="00675880" w:rsidP="00102BEB">
            <w:pPr>
              <w:pStyle w:val="TableText"/>
            </w:pPr>
            <w:r w:rsidRPr="00FE73DE">
              <w:t>Are there barriers or challenges for customers in utilising the BSP’s products and services?</w:t>
            </w:r>
          </w:p>
          <w:p w14:paraId="6AD3C410" w14:textId="77777777" w:rsidR="00675880" w:rsidRPr="00FE73DE" w:rsidRDefault="00675880" w:rsidP="00102BEB">
            <w:pPr>
              <w:pStyle w:val="TableText"/>
            </w:pPr>
            <w:r w:rsidRPr="00FE73DE">
              <w:t>Are there any gaps in the product and service offering?</w:t>
            </w:r>
          </w:p>
          <w:p w14:paraId="59157A78" w14:textId="77777777" w:rsidR="00675880" w:rsidRPr="00FE73DE" w:rsidRDefault="00675880" w:rsidP="00102BEB">
            <w:pPr>
              <w:pStyle w:val="TableText"/>
            </w:pPr>
            <w:r w:rsidRPr="00FE73DE">
              <w:t>Does the suite of products need to be changed or enhanced, e.g.</w:t>
            </w:r>
          </w:p>
          <w:p w14:paraId="280833B9" w14:textId="4D005C64" w:rsidR="00675880" w:rsidRPr="00FE73DE" w:rsidRDefault="00675880">
            <w:pPr>
              <w:pStyle w:val="TableText"/>
              <w:numPr>
                <w:ilvl w:val="0"/>
                <w:numId w:val="27"/>
              </w:numPr>
              <w:ind w:left="314" w:hanging="284"/>
            </w:pPr>
            <w:r w:rsidRPr="00FE73DE">
              <w:t>modifications to existing products / services</w:t>
            </w:r>
          </w:p>
          <w:p w14:paraId="5DB509C9" w14:textId="7555E433" w:rsidR="00675880" w:rsidRPr="00FE73DE" w:rsidRDefault="00675880">
            <w:pPr>
              <w:pStyle w:val="TableText"/>
              <w:numPr>
                <w:ilvl w:val="0"/>
                <w:numId w:val="27"/>
              </w:numPr>
              <w:ind w:left="314" w:hanging="284"/>
            </w:pPr>
            <w:r w:rsidRPr="00FE73DE">
              <w:t>new products</w:t>
            </w:r>
          </w:p>
          <w:p w14:paraId="05454C19" w14:textId="289EE5DA" w:rsidR="00675880" w:rsidRPr="00FE73DE" w:rsidRDefault="00675880">
            <w:pPr>
              <w:pStyle w:val="TableText"/>
              <w:numPr>
                <w:ilvl w:val="0"/>
                <w:numId w:val="27"/>
              </w:numPr>
              <w:ind w:left="314" w:hanging="284"/>
            </w:pPr>
            <w:r w:rsidRPr="00FE73DE">
              <w:t>new / alternative delivery modes</w:t>
            </w:r>
          </w:p>
        </w:tc>
      </w:tr>
      <w:tr w:rsidR="00675880" w:rsidRPr="00FE73DE" w14:paraId="06577BD9" w14:textId="77777777" w:rsidTr="00712DDA">
        <w:trPr>
          <w:cantSplit/>
        </w:trPr>
        <w:tc>
          <w:tcPr>
            <w:tcW w:w="448" w:type="dxa"/>
          </w:tcPr>
          <w:p w14:paraId="50D1A343" w14:textId="399C65A4" w:rsidR="00675880" w:rsidRPr="00FE73DE" w:rsidRDefault="00675880" w:rsidP="000C28D7">
            <w:pPr>
              <w:pStyle w:val="TableText"/>
              <w:rPr>
                <w:b/>
              </w:rPr>
            </w:pPr>
            <w:r>
              <w:rPr>
                <w:b/>
              </w:rPr>
              <w:t>5</w:t>
            </w:r>
          </w:p>
        </w:tc>
        <w:tc>
          <w:tcPr>
            <w:tcW w:w="3516" w:type="dxa"/>
          </w:tcPr>
          <w:p w14:paraId="47D2D76C" w14:textId="2AD1E1D6" w:rsidR="00675880" w:rsidRPr="00FE73DE" w:rsidRDefault="00675880" w:rsidP="000C28D7">
            <w:pPr>
              <w:pStyle w:val="TableText"/>
              <w:rPr>
                <w:b/>
              </w:rPr>
            </w:pPr>
            <w:r w:rsidRPr="00FE73DE">
              <w:rPr>
                <w:b/>
              </w:rPr>
              <w:t>Are IBA’s governance and administration policies, systems</w:t>
            </w:r>
            <w:r>
              <w:rPr>
                <w:b/>
              </w:rPr>
              <w:t>,</w:t>
            </w:r>
            <w:r w:rsidRPr="00FE73DE">
              <w:rPr>
                <w:b/>
              </w:rPr>
              <w:t xml:space="preserve"> and processes efficient and effective in delivering the BSP?</w:t>
            </w:r>
          </w:p>
        </w:tc>
        <w:tc>
          <w:tcPr>
            <w:tcW w:w="426" w:type="dxa"/>
          </w:tcPr>
          <w:p w14:paraId="7F791096" w14:textId="77777777" w:rsidR="007408E1" w:rsidRDefault="007408E1" w:rsidP="00102BEB">
            <w:pPr>
              <w:pStyle w:val="TableText"/>
            </w:pPr>
            <w:r>
              <w:t>5.1</w:t>
            </w:r>
          </w:p>
          <w:p w14:paraId="49AA5A02" w14:textId="77777777" w:rsidR="007408E1" w:rsidRDefault="007408E1" w:rsidP="007408E1">
            <w:pPr>
              <w:pStyle w:val="TableText"/>
              <w:spacing w:before="0" w:after="0"/>
            </w:pPr>
          </w:p>
          <w:p w14:paraId="15D4C3BD" w14:textId="77777777" w:rsidR="007408E1" w:rsidRDefault="007408E1" w:rsidP="007408E1">
            <w:pPr>
              <w:pStyle w:val="TableText"/>
              <w:spacing w:before="0" w:after="0"/>
            </w:pPr>
          </w:p>
          <w:p w14:paraId="34243649" w14:textId="77777777" w:rsidR="007408E1" w:rsidRDefault="007408E1" w:rsidP="007408E1">
            <w:pPr>
              <w:pStyle w:val="TableText"/>
              <w:spacing w:before="0" w:after="0"/>
            </w:pPr>
          </w:p>
          <w:p w14:paraId="6A9A3712" w14:textId="77777777" w:rsidR="007408E1" w:rsidRDefault="007408E1" w:rsidP="007408E1">
            <w:pPr>
              <w:pStyle w:val="TableText"/>
              <w:spacing w:before="0" w:after="0"/>
            </w:pPr>
            <w:r>
              <w:t>5.2</w:t>
            </w:r>
          </w:p>
          <w:p w14:paraId="00A96381" w14:textId="77777777" w:rsidR="007408E1" w:rsidRDefault="007408E1" w:rsidP="007408E1">
            <w:pPr>
              <w:pStyle w:val="TableText"/>
              <w:spacing w:before="0" w:after="0"/>
            </w:pPr>
          </w:p>
          <w:p w14:paraId="61E93411" w14:textId="77777777" w:rsidR="007408E1" w:rsidRDefault="007408E1" w:rsidP="007408E1">
            <w:pPr>
              <w:pStyle w:val="TableText"/>
              <w:spacing w:before="0"/>
            </w:pPr>
          </w:p>
          <w:p w14:paraId="3E7B8E5C" w14:textId="374FC6FB" w:rsidR="00675880" w:rsidRPr="00FE73DE" w:rsidRDefault="007408E1" w:rsidP="00102BEB">
            <w:pPr>
              <w:pStyle w:val="TableText"/>
            </w:pPr>
            <w:r>
              <w:t>5.3</w:t>
            </w:r>
          </w:p>
        </w:tc>
        <w:tc>
          <w:tcPr>
            <w:tcW w:w="4500" w:type="dxa"/>
          </w:tcPr>
          <w:p w14:paraId="7E9F2B6A" w14:textId="2536B2F1" w:rsidR="00675880" w:rsidRPr="00FE73DE" w:rsidRDefault="00675880" w:rsidP="00102BEB">
            <w:pPr>
              <w:pStyle w:val="TableText"/>
            </w:pPr>
            <w:r w:rsidRPr="00FE73DE">
              <w:t>Does IBA’s credit policy, risk framework, guidance</w:t>
            </w:r>
            <w:r>
              <w:t>,</w:t>
            </w:r>
            <w:r w:rsidRPr="00FE73DE">
              <w:t xml:space="preserve"> and oversight align with the policy’s target cohort of clients, i.e. Indigenous owned businesses that commercial lenders consider too high risk?</w:t>
            </w:r>
          </w:p>
          <w:p w14:paraId="3B5171E7" w14:textId="5CC6A5A1" w:rsidR="00675880" w:rsidRPr="00FE73DE" w:rsidRDefault="00675880" w:rsidP="00102BEB">
            <w:pPr>
              <w:pStyle w:val="TableText"/>
            </w:pPr>
            <w:r w:rsidRPr="00FE73DE">
              <w:t>Are IBA’s operating policies, systems</w:t>
            </w:r>
            <w:r>
              <w:t>,</w:t>
            </w:r>
            <w:r w:rsidRPr="00FE73DE">
              <w:t xml:space="preserve"> and processes effective in delivering against the policy intent of the BSP?</w:t>
            </w:r>
          </w:p>
          <w:p w14:paraId="3E8B7014" w14:textId="77777777" w:rsidR="00675880" w:rsidRPr="00FE73DE" w:rsidRDefault="00675880" w:rsidP="00102BEB">
            <w:pPr>
              <w:pStyle w:val="TableText"/>
            </w:pPr>
            <w:r w:rsidRPr="00FE73DE">
              <w:t>Are IBA’s performance reporting systems and processes robust and effective?</w:t>
            </w:r>
          </w:p>
        </w:tc>
      </w:tr>
      <w:tr w:rsidR="00675880" w:rsidRPr="00FE73DE" w14:paraId="34276702" w14:textId="77777777" w:rsidTr="00712DDA">
        <w:trPr>
          <w:cnfStyle w:val="000000010000" w:firstRow="0" w:lastRow="0" w:firstColumn="0" w:lastColumn="0" w:oddVBand="0" w:evenVBand="0" w:oddHBand="0" w:evenHBand="1" w:firstRowFirstColumn="0" w:firstRowLastColumn="0" w:lastRowFirstColumn="0" w:lastRowLastColumn="0"/>
        </w:trPr>
        <w:tc>
          <w:tcPr>
            <w:tcW w:w="448" w:type="dxa"/>
          </w:tcPr>
          <w:p w14:paraId="74D72824" w14:textId="58A2F820" w:rsidR="00675880" w:rsidRPr="00FE73DE" w:rsidRDefault="00675880" w:rsidP="000C28D7">
            <w:pPr>
              <w:pStyle w:val="TableText"/>
              <w:rPr>
                <w:b/>
              </w:rPr>
            </w:pPr>
            <w:r>
              <w:rPr>
                <w:b/>
              </w:rPr>
              <w:t>6</w:t>
            </w:r>
          </w:p>
        </w:tc>
        <w:tc>
          <w:tcPr>
            <w:tcW w:w="3516" w:type="dxa"/>
          </w:tcPr>
          <w:p w14:paraId="043DEB6E" w14:textId="3A9EB01D" w:rsidR="00675880" w:rsidRPr="00FE73DE" w:rsidRDefault="00675880" w:rsidP="000C28D7">
            <w:pPr>
              <w:pStyle w:val="TableText"/>
              <w:rPr>
                <w:b/>
              </w:rPr>
            </w:pPr>
            <w:r w:rsidRPr="00FE73DE">
              <w:rPr>
                <w:b/>
              </w:rPr>
              <w:t>Are there any learnings from the design and delivery of the COVID-19 support package that could be applied to the BSP?</w:t>
            </w:r>
          </w:p>
        </w:tc>
        <w:tc>
          <w:tcPr>
            <w:tcW w:w="426" w:type="dxa"/>
          </w:tcPr>
          <w:p w14:paraId="0C1C9D9E" w14:textId="1C388791" w:rsidR="00675880" w:rsidRPr="00FE73DE" w:rsidRDefault="00B5087B" w:rsidP="00102BEB">
            <w:pPr>
              <w:pStyle w:val="TableText"/>
            </w:pPr>
            <w:r>
              <w:t>6.1</w:t>
            </w:r>
          </w:p>
        </w:tc>
        <w:tc>
          <w:tcPr>
            <w:tcW w:w="4500" w:type="dxa"/>
          </w:tcPr>
          <w:p w14:paraId="567D8D3D" w14:textId="597DBA6F" w:rsidR="00675880" w:rsidRPr="00FE73DE" w:rsidRDefault="00675880" w:rsidP="00102BEB">
            <w:pPr>
              <w:pStyle w:val="TableText"/>
            </w:pPr>
            <w:r w:rsidRPr="00FE73DE">
              <w:t xml:space="preserve">What learnings can be taken from the design and implementation of the COVID-19 </w:t>
            </w:r>
            <w:r w:rsidR="009B4818">
              <w:t xml:space="preserve">IBRP </w:t>
            </w:r>
            <w:r w:rsidRPr="00FE73DE">
              <w:t>support package</w:t>
            </w:r>
            <w:r>
              <w:t>? E.g.</w:t>
            </w:r>
          </w:p>
          <w:p w14:paraId="29A0326E" w14:textId="0D925D1D" w:rsidR="00675880" w:rsidRPr="00FE73DE" w:rsidRDefault="00675880">
            <w:pPr>
              <w:pStyle w:val="TableText"/>
              <w:numPr>
                <w:ilvl w:val="0"/>
                <w:numId w:val="27"/>
              </w:numPr>
              <w:ind w:left="314" w:hanging="284"/>
            </w:pPr>
            <w:r w:rsidRPr="00FE73DE">
              <w:t>Streamlined application process</w:t>
            </w:r>
          </w:p>
          <w:p w14:paraId="01BB7491" w14:textId="1089920D" w:rsidR="00675880" w:rsidRPr="00FE73DE" w:rsidRDefault="00675880">
            <w:pPr>
              <w:pStyle w:val="TableText"/>
              <w:numPr>
                <w:ilvl w:val="0"/>
                <w:numId w:val="27"/>
              </w:numPr>
              <w:ind w:left="314" w:hanging="284"/>
            </w:pPr>
            <w:r w:rsidRPr="00FE73DE">
              <w:t>Streamlined assessment process</w:t>
            </w:r>
          </w:p>
          <w:p w14:paraId="0F73808C" w14:textId="17F4F966" w:rsidR="00675880" w:rsidRPr="00FE73DE" w:rsidRDefault="00675880">
            <w:pPr>
              <w:pStyle w:val="TableText"/>
              <w:numPr>
                <w:ilvl w:val="0"/>
                <w:numId w:val="27"/>
              </w:numPr>
              <w:ind w:left="314" w:hanging="284"/>
            </w:pPr>
            <w:r w:rsidRPr="00FE73DE">
              <w:t>Size of assistance package</w:t>
            </w:r>
          </w:p>
          <w:p w14:paraId="5D17323B" w14:textId="0FE888AC" w:rsidR="00675880" w:rsidRPr="00FE73DE" w:rsidRDefault="00675880">
            <w:pPr>
              <w:pStyle w:val="TableText"/>
              <w:numPr>
                <w:ilvl w:val="0"/>
                <w:numId w:val="27"/>
              </w:numPr>
              <w:ind w:left="314" w:hanging="284"/>
            </w:pPr>
            <w:r w:rsidRPr="00FE73DE">
              <w:t>Analysis of loan / grant assistance</w:t>
            </w:r>
          </w:p>
          <w:p w14:paraId="5DEEFB31" w14:textId="533E67F5" w:rsidR="00675880" w:rsidRPr="00FE73DE" w:rsidRDefault="00675880">
            <w:pPr>
              <w:pStyle w:val="TableText"/>
              <w:numPr>
                <w:ilvl w:val="0"/>
                <w:numId w:val="27"/>
              </w:numPr>
              <w:ind w:left="314" w:hanging="284"/>
            </w:pPr>
            <w:r w:rsidRPr="00FE73DE">
              <w:t>Demographics of uptake of assistance</w:t>
            </w:r>
          </w:p>
        </w:tc>
      </w:tr>
      <w:tr w:rsidR="00675880" w:rsidRPr="00FE73DE" w14:paraId="4A322179" w14:textId="77777777" w:rsidTr="00712DDA">
        <w:trPr>
          <w:cantSplit/>
        </w:trPr>
        <w:tc>
          <w:tcPr>
            <w:tcW w:w="448" w:type="dxa"/>
          </w:tcPr>
          <w:p w14:paraId="7B76103E" w14:textId="48ACA703" w:rsidR="00675880" w:rsidRPr="00FE73DE" w:rsidRDefault="00675880" w:rsidP="000C28D7">
            <w:pPr>
              <w:pStyle w:val="TableText"/>
              <w:rPr>
                <w:b/>
              </w:rPr>
            </w:pPr>
            <w:r>
              <w:rPr>
                <w:b/>
              </w:rPr>
              <w:t>7</w:t>
            </w:r>
          </w:p>
        </w:tc>
        <w:tc>
          <w:tcPr>
            <w:tcW w:w="3516" w:type="dxa"/>
          </w:tcPr>
          <w:p w14:paraId="46D5AA59" w14:textId="0452E70A" w:rsidR="00675880" w:rsidRPr="00FE73DE" w:rsidRDefault="00675880" w:rsidP="000C28D7">
            <w:pPr>
              <w:pStyle w:val="TableText"/>
              <w:rPr>
                <w:b/>
              </w:rPr>
            </w:pPr>
            <w:r w:rsidRPr="00FE73DE">
              <w:rPr>
                <w:b/>
              </w:rPr>
              <w:t>Does the design and delivery of the BSP build on strengths, demonstrate cultural respect</w:t>
            </w:r>
            <w:r>
              <w:rPr>
                <w:b/>
              </w:rPr>
              <w:t>,</w:t>
            </w:r>
            <w:r w:rsidRPr="00FE73DE">
              <w:rPr>
                <w:b/>
              </w:rPr>
              <w:t xml:space="preserve"> and involve collaboration?</w:t>
            </w:r>
          </w:p>
        </w:tc>
        <w:tc>
          <w:tcPr>
            <w:tcW w:w="426" w:type="dxa"/>
          </w:tcPr>
          <w:p w14:paraId="58060FF3" w14:textId="77777777" w:rsidR="00B5087B" w:rsidRDefault="00B5087B" w:rsidP="00102BEB">
            <w:pPr>
              <w:pStyle w:val="TableText"/>
            </w:pPr>
            <w:r>
              <w:t>7.1</w:t>
            </w:r>
          </w:p>
          <w:p w14:paraId="72351039" w14:textId="77777777" w:rsidR="00B5087B" w:rsidRDefault="00B5087B" w:rsidP="00985D43">
            <w:pPr>
              <w:pStyle w:val="TableText"/>
              <w:spacing w:before="0" w:after="0"/>
            </w:pPr>
          </w:p>
          <w:p w14:paraId="77140928" w14:textId="2FCF12BE" w:rsidR="00B5087B" w:rsidRDefault="00B5087B" w:rsidP="00985D43">
            <w:pPr>
              <w:pStyle w:val="TableText"/>
              <w:spacing w:before="0"/>
            </w:pPr>
            <w:r>
              <w:t>7.2</w:t>
            </w:r>
          </w:p>
          <w:p w14:paraId="360EBD18" w14:textId="12B80364" w:rsidR="00B5087B" w:rsidRDefault="00B5087B" w:rsidP="00985D43">
            <w:pPr>
              <w:pStyle w:val="TableText"/>
              <w:spacing w:before="0" w:after="0"/>
            </w:pPr>
          </w:p>
          <w:p w14:paraId="3866C109" w14:textId="5FAB6962" w:rsidR="00B5087B" w:rsidRDefault="00B5087B" w:rsidP="00985D43">
            <w:pPr>
              <w:pStyle w:val="TableText"/>
              <w:spacing w:before="0" w:after="0"/>
            </w:pPr>
          </w:p>
          <w:p w14:paraId="4DF6B4E2" w14:textId="65DD1C36" w:rsidR="00B5087B" w:rsidRDefault="00B5087B" w:rsidP="00985D43">
            <w:pPr>
              <w:pStyle w:val="TableText"/>
              <w:spacing w:before="0"/>
            </w:pPr>
            <w:r>
              <w:t>7.3</w:t>
            </w:r>
          </w:p>
          <w:p w14:paraId="6E9042FE" w14:textId="5A6E3768" w:rsidR="00B5087B" w:rsidRDefault="00B5087B" w:rsidP="00985D43">
            <w:pPr>
              <w:pStyle w:val="TableText"/>
              <w:spacing w:before="0" w:after="0"/>
            </w:pPr>
          </w:p>
          <w:p w14:paraId="5150873E" w14:textId="2ABAE7F4" w:rsidR="00B5087B" w:rsidRDefault="00B5087B" w:rsidP="00985D43">
            <w:pPr>
              <w:pStyle w:val="TableText"/>
              <w:spacing w:before="0" w:after="0"/>
            </w:pPr>
          </w:p>
          <w:p w14:paraId="5F6150C2" w14:textId="0A2C4E5F" w:rsidR="00B5087B" w:rsidRDefault="00B5087B" w:rsidP="00985D43">
            <w:pPr>
              <w:pStyle w:val="TableText"/>
              <w:spacing w:before="0"/>
            </w:pPr>
            <w:r>
              <w:t>7.4</w:t>
            </w:r>
          </w:p>
          <w:p w14:paraId="731CA102" w14:textId="77777777" w:rsidR="00B5087B" w:rsidRDefault="00B5087B" w:rsidP="00102BEB">
            <w:pPr>
              <w:pStyle w:val="TableText"/>
            </w:pPr>
          </w:p>
          <w:p w14:paraId="158FA3AB" w14:textId="104CF340" w:rsidR="00675880" w:rsidRPr="00FE73DE" w:rsidRDefault="00675880" w:rsidP="00102BEB">
            <w:pPr>
              <w:pStyle w:val="TableText"/>
            </w:pPr>
          </w:p>
        </w:tc>
        <w:tc>
          <w:tcPr>
            <w:tcW w:w="4500" w:type="dxa"/>
          </w:tcPr>
          <w:p w14:paraId="0DF4E00B" w14:textId="5D54B424" w:rsidR="00675880" w:rsidRPr="00FE73DE" w:rsidRDefault="00675880" w:rsidP="00102BEB">
            <w:pPr>
              <w:pStyle w:val="TableText"/>
            </w:pPr>
            <w:r w:rsidRPr="00FE73DE">
              <w:t>Were Indigenous stakeholders consulted on the design and delivery of the BSP?</w:t>
            </w:r>
          </w:p>
          <w:p w14:paraId="0643B2F5" w14:textId="77777777" w:rsidR="00675880" w:rsidRPr="00FE73DE" w:rsidRDefault="00675880" w:rsidP="00102BEB">
            <w:pPr>
              <w:pStyle w:val="TableText"/>
            </w:pPr>
            <w:r w:rsidRPr="00FE73DE">
              <w:t>Does the design and delivery of products and services respect and demonstrate an understanding of Indigenous culture and values?</w:t>
            </w:r>
          </w:p>
          <w:p w14:paraId="6E3513E1" w14:textId="77777777" w:rsidR="00675880" w:rsidRPr="00FE73DE" w:rsidRDefault="00675880" w:rsidP="00102BEB">
            <w:pPr>
              <w:pStyle w:val="TableText"/>
            </w:pPr>
            <w:r w:rsidRPr="00FE73DE">
              <w:t>Do customers and Indigenous stakeholders have an ongoing voice in the design and delivery of the BSP?</w:t>
            </w:r>
          </w:p>
          <w:p w14:paraId="05488565" w14:textId="724C1D5B" w:rsidR="00675880" w:rsidRPr="00FE73DE" w:rsidRDefault="00675880" w:rsidP="00102BEB">
            <w:pPr>
              <w:pStyle w:val="TableText"/>
            </w:pPr>
            <w:r w:rsidRPr="00FE73DE">
              <w:t>Does IBA have a Reconciliation Action Plan (RAP) or equivalent culturally</w:t>
            </w:r>
            <w:r>
              <w:t xml:space="preserve"> </w:t>
            </w:r>
            <w:r w:rsidRPr="00FE73DE">
              <w:t xml:space="preserve">informed engagement approach and </w:t>
            </w:r>
            <w:r>
              <w:t xml:space="preserve">if so, </w:t>
            </w:r>
            <w:r w:rsidRPr="00FE73DE">
              <w:t>how is it used to measure their adherence and the BSP</w:t>
            </w:r>
            <w:r>
              <w:t>’s</w:t>
            </w:r>
            <w:r w:rsidRPr="00FE73DE">
              <w:t xml:space="preserve"> adherence to core values?</w:t>
            </w:r>
          </w:p>
        </w:tc>
      </w:tr>
      <w:tr w:rsidR="00675880" w:rsidRPr="00FE73DE" w14:paraId="5531B068" w14:textId="77777777" w:rsidTr="00712DDA">
        <w:trPr>
          <w:cnfStyle w:val="000000010000" w:firstRow="0" w:lastRow="0" w:firstColumn="0" w:lastColumn="0" w:oddVBand="0" w:evenVBand="0" w:oddHBand="0" w:evenHBand="1" w:firstRowFirstColumn="0" w:firstRowLastColumn="0" w:lastRowFirstColumn="0" w:lastRowLastColumn="0"/>
        </w:trPr>
        <w:tc>
          <w:tcPr>
            <w:tcW w:w="448" w:type="dxa"/>
          </w:tcPr>
          <w:p w14:paraId="076DCE0F" w14:textId="255BB425" w:rsidR="00675880" w:rsidRPr="00FE73DE" w:rsidRDefault="00675880" w:rsidP="000C28D7">
            <w:pPr>
              <w:pStyle w:val="TableText"/>
              <w:rPr>
                <w:b/>
              </w:rPr>
            </w:pPr>
            <w:r>
              <w:rPr>
                <w:b/>
              </w:rPr>
              <w:t>8</w:t>
            </w:r>
          </w:p>
        </w:tc>
        <w:tc>
          <w:tcPr>
            <w:tcW w:w="3516" w:type="dxa"/>
          </w:tcPr>
          <w:p w14:paraId="714D9CF1" w14:textId="45F29C95" w:rsidR="00675880" w:rsidRPr="00FE73DE" w:rsidRDefault="00675880" w:rsidP="000C28D7">
            <w:pPr>
              <w:pStyle w:val="TableText"/>
              <w:rPr>
                <w:b/>
              </w:rPr>
            </w:pPr>
            <w:r w:rsidRPr="00FE73DE">
              <w:rPr>
                <w:b/>
              </w:rPr>
              <w:t>Has the BSP achieved its short-term outcomes?</w:t>
            </w:r>
          </w:p>
        </w:tc>
        <w:tc>
          <w:tcPr>
            <w:tcW w:w="426" w:type="dxa"/>
          </w:tcPr>
          <w:p w14:paraId="453349F1" w14:textId="77777777" w:rsidR="00985D43" w:rsidRDefault="00985D43" w:rsidP="00985D43">
            <w:pPr>
              <w:pStyle w:val="TableText"/>
              <w:spacing w:after="0"/>
            </w:pPr>
            <w:r>
              <w:t>8.1</w:t>
            </w:r>
          </w:p>
          <w:p w14:paraId="1CD4BC2C" w14:textId="575F4DAC" w:rsidR="00985D43" w:rsidRDefault="00985D43" w:rsidP="00E55673">
            <w:pPr>
              <w:pStyle w:val="TableText"/>
              <w:spacing w:before="0"/>
            </w:pPr>
          </w:p>
          <w:p w14:paraId="7E33A203" w14:textId="07665FFB" w:rsidR="00985D43" w:rsidRDefault="00985D43" w:rsidP="00985D43">
            <w:pPr>
              <w:pStyle w:val="TableText"/>
              <w:spacing w:before="0" w:after="0"/>
            </w:pPr>
            <w:r>
              <w:t>8.2</w:t>
            </w:r>
          </w:p>
          <w:p w14:paraId="7D7CC1F9" w14:textId="45673806" w:rsidR="00985D43" w:rsidRDefault="00985D43" w:rsidP="00E55673">
            <w:pPr>
              <w:pStyle w:val="TableText"/>
              <w:spacing w:before="0"/>
            </w:pPr>
          </w:p>
          <w:p w14:paraId="23DD1027" w14:textId="267B70AD" w:rsidR="00C62AB4" w:rsidRDefault="00C62AB4" w:rsidP="00C62AB4">
            <w:pPr>
              <w:pStyle w:val="TableText"/>
              <w:spacing w:before="0" w:after="0"/>
            </w:pPr>
            <w:r>
              <w:t>8.3</w:t>
            </w:r>
          </w:p>
          <w:p w14:paraId="689E738A" w14:textId="0DF74891" w:rsidR="00C62AB4" w:rsidRDefault="00C62AB4" w:rsidP="00C62AB4">
            <w:pPr>
              <w:pStyle w:val="TableText"/>
              <w:spacing w:before="0" w:after="0"/>
            </w:pPr>
          </w:p>
          <w:p w14:paraId="62A79626" w14:textId="7CC7E821" w:rsidR="00C62AB4" w:rsidRDefault="00C62AB4" w:rsidP="00E55673">
            <w:pPr>
              <w:pStyle w:val="TableText"/>
              <w:spacing w:before="0"/>
            </w:pPr>
          </w:p>
          <w:p w14:paraId="1C212FB4" w14:textId="285F52A0" w:rsidR="00C62AB4" w:rsidRDefault="00C62AB4" w:rsidP="00C62AB4">
            <w:pPr>
              <w:pStyle w:val="TableText"/>
              <w:spacing w:before="0" w:after="0"/>
            </w:pPr>
            <w:r>
              <w:t>8.4</w:t>
            </w:r>
          </w:p>
          <w:p w14:paraId="231F6B82" w14:textId="77777777" w:rsidR="00985D43" w:rsidRDefault="00985D43" w:rsidP="00985D43">
            <w:pPr>
              <w:pStyle w:val="TableText"/>
              <w:spacing w:before="0" w:after="0"/>
            </w:pPr>
          </w:p>
          <w:p w14:paraId="224D473F" w14:textId="7E06C210" w:rsidR="00675880" w:rsidRPr="00FE73DE" w:rsidRDefault="00C62AB4" w:rsidP="00985D43">
            <w:pPr>
              <w:pStyle w:val="TableText"/>
              <w:spacing w:after="0"/>
            </w:pPr>
            <w:r>
              <w:t>8.5</w:t>
            </w:r>
          </w:p>
        </w:tc>
        <w:tc>
          <w:tcPr>
            <w:tcW w:w="4500" w:type="dxa"/>
          </w:tcPr>
          <w:p w14:paraId="498AC808" w14:textId="65EF2437" w:rsidR="00675880" w:rsidRPr="00FE73DE" w:rsidRDefault="00675880" w:rsidP="00102BEB">
            <w:pPr>
              <w:pStyle w:val="TableText"/>
            </w:pPr>
            <w:r w:rsidRPr="00FE73DE">
              <w:t>Have customers improved their business capabilities through business support services?</w:t>
            </w:r>
          </w:p>
          <w:p w14:paraId="6C28B425" w14:textId="77777777" w:rsidR="00675880" w:rsidRPr="00FE73DE" w:rsidRDefault="00675880" w:rsidP="00102BEB">
            <w:pPr>
              <w:pStyle w:val="TableText"/>
            </w:pPr>
            <w:r w:rsidRPr="00FE73DE">
              <w:t>Were the customers who accessed the suite of financial products the targeted cohort?</w:t>
            </w:r>
          </w:p>
          <w:p w14:paraId="7093D617" w14:textId="77777777" w:rsidR="00675880" w:rsidRPr="00FE73DE" w:rsidRDefault="00675880" w:rsidP="00102BEB">
            <w:pPr>
              <w:pStyle w:val="TableText"/>
            </w:pPr>
            <w:r w:rsidRPr="00FE73DE">
              <w:t>What percentage of customers who received financial support were new, or existing customers with a prior financial / loan history with IBA?</w:t>
            </w:r>
          </w:p>
          <w:p w14:paraId="72892ADC" w14:textId="77777777" w:rsidR="00675880" w:rsidRPr="00FE73DE" w:rsidRDefault="00675880" w:rsidP="00102BEB">
            <w:pPr>
              <w:pStyle w:val="TableText"/>
            </w:pPr>
            <w:r w:rsidRPr="00FE73DE">
              <w:t>Is the application process efficient and were the services provided appropriate?</w:t>
            </w:r>
          </w:p>
          <w:p w14:paraId="133E3987" w14:textId="77777777" w:rsidR="00675880" w:rsidRPr="00FE73DE" w:rsidRDefault="00675880" w:rsidP="00102BEB">
            <w:pPr>
              <w:pStyle w:val="TableText"/>
            </w:pPr>
            <w:r w:rsidRPr="00FE73DE">
              <w:t>Has the number and size of Indigenous business grown and developed?</w:t>
            </w:r>
          </w:p>
        </w:tc>
      </w:tr>
      <w:tr w:rsidR="00675880" w:rsidRPr="00FE73DE" w14:paraId="77DE9201" w14:textId="77777777" w:rsidTr="00712DDA">
        <w:tc>
          <w:tcPr>
            <w:tcW w:w="448" w:type="dxa"/>
          </w:tcPr>
          <w:p w14:paraId="40D0467F" w14:textId="1CF15466" w:rsidR="00675880" w:rsidRPr="00FE73DE" w:rsidRDefault="00675880" w:rsidP="000C28D7">
            <w:pPr>
              <w:pStyle w:val="TableText"/>
              <w:rPr>
                <w:b/>
              </w:rPr>
            </w:pPr>
            <w:r>
              <w:rPr>
                <w:b/>
              </w:rPr>
              <w:t>9</w:t>
            </w:r>
          </w:p>
        </w:tc>
        <w:tc>
          <w:tcPr>
            <w:tcW w:w="3516" w:type="dxa"/>
          </w:tcPr>
          <w:p w14:paraId="1011467F" w14:textId="089E6D35" w:rsidR="00675880" w:rsidRPr="00FE73DE" w:rsidRDefault="00675880" w:rsidP="000C28D7">
            <w:pPr>
              <w:pStyle w:val="TableText"/>
              <w:rPr>
                <w:b/>
              </w:rPr>
            </w:pPr>
            <w:r w:rsidRPr="00FE73DE">
              <w:rPr>
                <w:b/>
              </w:rPr>
              <w:t>Has the BSP achieved its medium-term outcomes?</w:t>
            </w:r>
          </w:p>
        </w:tc>
        <w:tc>
          <w:tcPr>
            <w:tcW w:w="426" w:type="dxa"/>
          </w:tcPr>
          <w:p w14:paraId="1E6352D7" w14:textId="77777777" w:rsidR="00E55673" w:rsidRDefault="00E55673" w:rsidP="00E55673">
            <w:pPr>
              <w:pStyle w:val="TableText"/>
              <w:spacing w:after="0"/>
            </w:pPr>
            <w:r>
              <w:t>9.1</w:t>
            </w:r>
          </w:p>
          <w:p w14:paraId="4971BB0F" w14:textId="105829DF" w:rsidR="00E55673" w:rsidRDefault="00E55673" w:rsidP="00E55673">
            <w:pPr>
              <w:pStyle w:val="TableText"/>
              <w:spacing w:before="0"/>
            </w:pPr>
          </w:p>
          <w:p w14:paraId="214AFFD1" w14:textId="4B615818" w:rsidR="00E55673" w:rsidRDefault="00E55673" w:rsidP="00E55673">
            <w:pPr>
              <w:pStyle w:val="TableText"/>
              <w:spacing w:before="0" w:after="0"/>
            </w:pPr>
            <w:r>
              <w:t>9.2</w:t>
            </w:r>
          </w:p>
          <w:p w14:paraId="707D7113" w14:textId="1E832F63" w:rsidR="00E55673" w:rsidRDefault="00E55673" w:rsidP="00E55673">
            <w:pPr>
              <w:pStyle w:val="TableText"/>
              <w:spacing w:before="0"/>
            </w:pPr>
          </w:p>
          <w:p w14:paraId="29BDAB47" w14:textId="2532332D" w:rsidR="00E55673" w:rsidRDefault="00E55673" w:rsidP="00E55673">
            <w:pPr>
              <w:pStyle w:val="TableText"/>
              <w:spacing w:before="0"/>
            </w:pPr>
            <w:r>
              <w:t>9.3</w:t>
            </w:r>
          </w:p>
          <w:p w14:paraId="3B2A7C32" w14:textId="3CF977B2" w:rsidR="00675880" w:rsidRPr="00FE73DE" w:rsidRDefault="00675880" w:rsidP="00E55673">
            <w:pPr>
              <w:pStyle w:val="TableText"/>
              <w:spacing w:after="0"/>
            </w:pPr>
          </w:p>
        </w:tc>
        <w:tc>
          <w:tcPr>
            <w:tcW w:w="4500" w:type="dxa"/>
          </w:tcPr>
          <w:p w14:paraId="01CA3827" w14:textId="791BD0E9" w:rsidR="00675880" w:rsidRPr="00FE73DE" w:rsidRDefault="00675880" w:rsidP="00102BEB">
            <w:pPr>
              <w:pStyle w:val="TableText"/>
            </w:pPr>
            <w:r w:rsidRPr="00FE73DE">
              <w:t>Have customers engaged with the wider business sector and support services?</w:t>
            </w:r>
          </w:p>
          <w:p w14:paraId="45D8E49E" w14:textId="77777777" w:rsidR="00675880" w:rsidRPr="00FE73DE" w:rsidRDefault="00675880" w:rsidP="00102BEB">
            <w:pPr>
              <w:pStyle w:val="TableText"/>
            </w:pPr>
            <w:r w:rsidRPr="00FE73DE">
              <w:t>Have customers strengthened their business capabilities?</w:t>
            </w:r>
          </w:p>
          <w:p w14:paraId="2CC760F0" w14:textId="77777777" w:rsidR="00675880" w:rsidRPr="00FE73DE" w:rsidRDefault="00675880" w:rsidP="00102BEB">
            <w:pPr>
              <w:pStyle w:val="TableText"/>
            </w:pPr>
            <w:r w:rsidRPr="00FE73DE">
              <w:t>Is the Indigenous business sector growing and becoming more sustainable?</w:t>
            </w:r>
          </w:p>
        </w:tc>
      </w:tr>
      <w:tr w:rsidR="00675880" w:rsidRPr="00FE73DE" w14:paraId="34A96187" w14:textId="77777777" w:rsidTr="00712DDA">
        <w:trPr>
          <w:cnfStyle w:val="000000010000" w:firstRow="0" w:lastRow="0" w:firstColumn="0" w:lastColumn="0" w:oddVBand="0" w:evenVBand="0" w:oddHBand="0" w:evenHBand="1" w:firstRowFirstColumn="0" w:firstRowLastColumn="0" w:lastRowFirstColumn="0" w:lastRowLastColumn="0"/>
        </w:trPr>
        <w:tc>
          <w:tcPr>
            <w:tcW w:w="448" w:type="dxa"/>
          </w:tcPr>
          <w:p w14:paraId="778F5F89" w14:textId="6FE7CD3F" w:rsidR="00675880" w:rsidRPr="00FE73DE" w:rsidRDefault="00675880" w:rsidP="000C28D7">
            <w:pPr>
              <w:pStyle w:val="TableText"/>
              <w:rPr>
                <w:b/>
              </w:rPr>
            </w:pPr>
            <w:r>
              <w:rPr>
                <w:b/>
              </w:rPr>
              <w:t>10</w:t>
            </w:r>
          </w:p>
        </w:tc>
        <w:tc>
          <w:tcPr>
            <w:tcW w:w="3516" w:type="dxa"/>
          </w:tcPr>
          <w:p w14:paraId="3DB977A3" w14:textId="717A2FF9" w:rsidR="00675880" w:rsidRPr="00FE73DE" w:rsidRDefault="00675880" w:rsidP="000C28D7">
            <w:pPr>
              <w:pStyle w:val="TableText"/>
              <w:rPr>
                <w:b/>
              </w:rPr>
            </w:pPr>
            <w:r w:rsidRPr="00FE73DE">
              <w:rPr>
                <w:b/>
              </w:rPr>
              <w:t>Has the BSP achieved its long-term outcomes?</w:t>
            </w:r>
          </w:p>
          <w:p w14:paraId="0F2F74CB" w14:textId="78C657B8" w:rsidR="00675880" w:rsidRPr="00FE73DE" w:rsidRDefault="00675880" w:rsidP="00102BEB">
            <w:pPr>
              <w:pStyle w:val="TableText"/>
              <w:rPr>
                <w:b/>
              </w:rPr>
            </w:pPr>
            <w:r w:rsidRPr="00FE73DE">
              <w:rPr>
                <w:b/>
              </w:rPr>
              <w:t>Note – Long-term outcomes are not expected to be measurable during the timeframe of the evaluation, however, the questions will underpin future assessments of long-term outcomes</w:t>
            </w:r>
          </w:p>
        </w:tc>
        <w:tc>
          <w:tcPr>
            <w:tcW w:w="426" w:type="dxa"/>
          </w:tcPr>
          <w:p w14:paraId="4CBE343A" w14:textId="77777777" w:rsidR="00EB219A" w:rsidRDefault="00EB219A" w:rsidP="00EB219A">
            <w:pPr>
              <w:pStyle w:val="TableText"/>
              <w:spacing w:after="0"/>
            </w:pPr>
            <w:r>
              <w:t>10.1</w:t>
            </w:r>
          </w:p>
          <w:p w14:paraId="125FE16E" w14:textId="77777777" w:rsidR="00EB219A" w:rsidRDefault="00EB219A" w:rsidP="00EB219A">
            <w:pPr>
              <w:pStyle w:val="TableText"/>
              <w:spacing w:before="0" w:after="0"/>
            </w:pPr>
          </w:p>
          <w:p w14:paraId="66ACBBA6" w14:textId="77777777" w:rsidR="00EB219A" w:rsidRDefault="00EB219A" w:rsidP="00EB219A">
            <w:pPr>
              <w:pStyle w:val="TableText"/>
              <w:spacing w:before="0"/>
            </w:pPr>
          </w:p>
          <w:p w14:paraId="0C2A69BE" w14:textId="77777777" w:rsidR="00EB219A" w:rsidRDefault="00EB219A" w:rsidP="00EB219A">
            <w:pPr>
              <w:pStyle w:val="TableText"/>
              <w:spacing w:before="0" w:after="0"/>
            </w:pPr>
            <w:r>
              <w:t>10.2</w:t>
            </w:r>
          </w:p>
          <w:p w14:paraId="3802FED4" w14:textId="77777777" w:rsidR="00EB219A" w:rsidRDefault="00EB219A" w:rsidP="00EB219A">
            <w:pPr>
              <w:pStyle w:val="TableText"/>
              <w:spacing w:before="0" w:after="0"/>
            </w:pPr>
          </w:p>
          <w:p w14:paraId="0CCEC753" w14:textId="77777777" w:rsidR="00EB219A" w:rsidRDefault="00EB219A" w:rsidP="00EB219A">
            <w:pPr>
              <w:pStyle w:val="TableText"/>
              <w:spacing w:before="0"/>
            </w:pPr>
          </w:p>
          <w:p w14:paraId="007725FD" w14:textId="77777777" w:rsidR="00EB219A" w:rsidRDefault="00EB219A" w:rsidP="00EB219A">
            <w:pPr>
              <w:pStyle w:val="TableText"/>
              <w:spacing w:before="0" w:after="0"/>
            </w:pPr>
            <w:r>
              <w:t>10.3</w:t>
            </w:r>
          </w:p>
          <w:p w14:paraId="2B99B027" w14:textId="77777777" w:rsidR="00EB219A" w:rsidRDefault="00EB219A" w:rsidP="00EB219A">
            <w:pPr>
              <w:pStyle w:val="TableText"/>
              <w:spacing w:before="0" w:after="0"/>
            </w:pPr>
          </w:p>
          <w:p w14:paraId="7AB7E5AF" w14:textId="09BB7042" w:rsidR="00EB219A" w:rsidRDefault="00EB219A" w:rsidP="00EB219A">
            <w:pPr>
              <w:pStyle w:val="TableText"/>
              <w:spacing w:before="0"/>
            </w:pPr>
          </w:p>
          <w:p w14:paraId="76CE4846" w14:textId="6454C241" w:rsidR="00EB219A" w:rsidRDefault="00EB219A" w:rsidP="00EB219A">
            <w:pPr>
              <w:pStyle w:val="TableText"/>
              <w:spacing w:before="0" w:after="0"/>
            </w:pPr>
            <w:r>
              <w:t>10.4</w:t>
            </w:r>
          </w:p>
          <w:p w14:paraId="1FAB5DB4" w14:textId="4C8DE5DB" w:rsidR="00675880" w:rsidRPr="00FE73DE" w:rsidRDefault="00675880" w:rsidP="00EB219A">
            <w:pPr>
              <w:pStyle w:val="TableText"/>
              <w:spacing w:after="0"/>
            </w:pPr>
          </w:p>
        </w:tc>
        <w:tc>
          <w:tcPr>
            <w:tcW w:w="4500" w:type="dxa"/>
          </w:tcPr>
          <w:p w14:paraId="2AA05BA6" w14:textId="447A3761" w:rsidR="00675880" w:rsidRPr="00FE73DE" w:rsidRDefault="00675880" w:rsidP="00102BEB">
            <w:pPr>
              <w:pStyle w:val="TableText"/>
            </w:pPr>
            <w:r w:rsidRPr="00FE73DE">
              <w:t>Is there a correlation between business sustainability / growth, and employment in the community?</w:t>
            </w:r>
          </w:p>
          <w:p w14:paraId="64E8C937" w14:textId="77777777" w:rsidR="00675880" w:rsidRPr="00FE73DE" w:rsidRDefault="00675880" w:rsidP="00102BEB">
            <w:pPr>
              <w:pStyle w:val="TableText"/>
            </w:pPr>
            <w:r w:rsidRPr="00FE73DE">
              <w:t>Are customers contributing their business capabilities to community development and support?</w:t>
            </w:r>
          </w:p>
          <w:p w14:paraId="517C41FC" w14:textId="77777777" w:rsidR="00675880" w:rsidRPr="00FE73DE" w:rsidRDefault="00675880" w:rsidP="00102BEB">
            <w:pPr>
              <w:pStyle w:val="TableText"/>
            </w:pPr>
            <w:r w:rsidRPr="00FE73DE">
              <w:t>Are communities receiving socio-economic benefits from the development of the Indigenous business sector?</w:t>
            </w:r>
          </w:p>
          <w:p w14:paraId="26FC35D1" w14:textId="77777777" w:rsidR="00675880" w:rsidRPr="00FE73DE" w:rsidRDefault="00675880" w:rsidP="00102BEB">
            <w:pPr>
              <w:pStyle w:val="TableText"/>
            </w:pPr>
            <w:r w:rsidRPr="00FE73DE">
              <w:t>Are customers investing capital and time into their Indigenous communities / networks?</w:t>
            </w:r>
          </w:p>
        </w:tc>
      </w:tr>
      <w:tr w:rsidR="00675880" w:rsidRPr="00FE73DE" w14:paraId="0C695039" w14:textId="77777777" w:rsidTr="00712DDA">
        <w:tc>
          <w:tcPr>
            <w:tcW w:w="448" w:type="dxa"/>
          </w:tcPr>
          <w:p w14:paraId="10D5CF45" w14:textId="771FE521" w:rsidR="00675880" w:rsidRPr="00FE73DE" w:rsidRDefault="00675880" w:rsidP="000C28D7">
            <w:pPr>
              <w:pStyle w:val="TableText"/>
              <w:rPr>
                <w:b/>
              </w:rPr>
            </w:pPr>
            <w:r>
              <w:rPr>
                <w:b/>
              </w:rPr>
              <w:t>11</w:t>
            </w:r>
          </w:p>
        </w:tc>
        <w:tc>
          <w:tcPr>
            <w:tcW w:w="3516" w:type="dxa"/>
          </w:tcPr>
          <w:p w14:paraId="21219B2B" w14:textId="0CBEDA9F" w:rsidR="00675880" w:rsidRPr="00FE73DE" w:rsidRDefault="00675880" w:rsidP="000C28D7">
            <w:pPr>
              <w:pStyle w:val="TableText"/>
              <w:rPr>
                <w:b/>
              </w:rPr>
            </w:pPr>
            <w:r w:rsidRPr="00FE73DE">
              <w:rPr>
                <w:b/>
              </w:rPr>
              <w:t>What are the alternatives for the future delivery of the BSP?</w:t>
            </w:r>
          </w:p>
        </w:tc>
        <w:tc>
          <w:tcPr>
            <w:tcW w:w="426" w:type="dxa"/>
          </w:tcPr>
          <w:p w14:paraId="7AA6CF70" w14:textId="77777777" w:rsidR="002D4BDD" w:rsidRDefault="002D4BDD" w:rsidP="002D4BDD">
            <w:pPr>
              <w:pStyle w:val="TableText"/>
              <w:spacing w:after="0"/>
            </w:pPr>
            <w:r>
              <w:t>11.1</w:t>
            </w:r>
          </w:p>
          <w:p w14:paraId="524C4FD0" w14:textId="77777777" w:rsidR="002D4BDD" w:rsidRDefault="002D4BDD" w:rsidP="002D4BDD">
            <w:pPr>
              <w:pStyle w:val="TableText"/>
              <w:spacing w:before="0" w:after="0"/>
            </w:pPr>
          </w:p>
          <w:p w14:paraId="3D300785" w14:textId="77777777" w:rsidR="002D4BDD" w:rsidRDefault="002D4BDD" w:rsidP="002D4BDD">
            <w:pPr>
              <w:pStyle w:val="TableText"/>
              <w:spacing w:before="0"/>
            </w:pPr>
          </w:p>
          <w:p w14:paraId="7971F42E" w14:textId="6211C5B7" w:rsidR="00675880" w:rsidRPr="00FE73DE" w:rsidRDefault="002D4BDD" w:rsidP="002D4BDD">
            <w:pPr>
              <w:pStyle w:val="TableText"/>
              <w:spacing w:after="0"/>
            </w:pPr>
            <w:r>
              <w:t>11.2</w:t>
            </w:r>
          </w:p>
        </w:tc>
        <w:tc>
          <w:tcPr>
            <w:tcW w:w="4500" w:type="dxa"/>
          </w:tcPr>
          <w:p w14:paraId="214A7D04" w14:textId="400420FA" w:rsidR="00675880" w:rsidRPr="00FE73DE" w:rsidRDefault="00675880" w:rsidP="00102BEB">
            <w:pPr>
              <w:pStyle w:val="TableText"/>
            </w:pPr>
            <w:r w:rsidRPr="00FE73DE">
              <w:t>Are there risks, cost implications or challenges in the delivery of the current suite of products and services?</w:t>
            </w:r>
          </w:p>
          <w:p w14:paraId="41AAC55D" w14:textId="77777777" w:rsidR="00675880" w:rsidRPr="00FE73DE" w:rsidRDefault="00675880" w:rsidP="00102BEB">
            <w:pPr>
              <w:pStyle w:val="TableText"/>
            </w:pPr>
            <w:r w:rsidRPr="00FE73DE">
              <w:t>Are there alternative delivery models?</w:t>
            </w:r>
          </w:p>
          <w:p w14:paraId="4F62627E" w14:textId="77777777" w:rsidR="00675880" w:rsidRPr="00FE73DE" w:rsidRDefault="00675880" w:rsidP="00102BEB">
            <w:pPr>
              <w:pStyle w:val="TableText"/>
            </w:pPr>
            <w:r w:rsidRPr="00FE73DE">
              <w:t>What are these alternatives?</w:t>
            </w:r>
          </w:p>
        </w:tc>
      </w:tr>
    </w:tbl>
    <w:p w14:paraId="3F374305" w14:textId="77777777" w:rsidR="0066093E" w:rsidRPr="00FE73DE" w:rsidRDefault="0066093E" w:rsidP="0066093E"/>
    <w:p w14:paraId="30503860" w14:textId="01B7FF04" w:rsidR="00B12374" w:rsidRDefault="00B12374" w:rsidP="004F2771">
      <w:pPr>
        <w:pStyle w:val="Heading2"/>
        <w:ind w:hanging="792"/>
      </w:pPr>
      <w:bookmarkStart w:id="30" w:name="_Toc123734695"/>
      <w:bookmarkEnd w:id="21"/>
      <w:r w:rsidRPr="00FE73DE">
        <w:t xml:space="preserve">Evaluation </w:t>
      </w:r>
      <w:r w:rsidR="004F2771">
        <w:t>s</w:t>
      </w:r>
      <w:r>
        <w:t>cope</w:t>
      </w:r>
      <w:bookmarkEnd w:id="30"/>
    </w:p>
    <w:p w14:paraId="04D998A6" w14:textId="14809B93" w:rsidR="00B12374" w:rsidRDefault="000C28D7" w:rsidP="00E42D22">
      <w:r w:rsidRPr="00FE73DE">
        <w:t>T</w:t>
      </w:r>
      <w:r w:rsidR="00E42D22" w:rsidRPr="00FE73DE">
        <w:t xml:space="preserve">he </w:t>
      </w:r>
      <w:r w:rsidRPr="00FE73DE">
        <w:t xml:space="preserve">evaluation focuses on the </w:t>
      </w:r>
      <w:r w:rsidR="007957C2">
        <w:t xml:space="preserve">primary </w:t>
      </w:r>
      <w:r w:rsidRPr="00FE73DE">
        <w:t>BSP grant</w:t>
      </w:r>
      <w:r w:rsidR="00B12374">
        <w:t xml:space="preserve">s as funded under the IAS </w:t>
      </w:r>
      <w:r w:rsidR="00A10905">
        <w:t xml:space="preserve">for the period 1 July 2016 to 30 June 2021, </w:t>
      </w:r>
      <w:r w:rsidR="00B12374">
        <w:t>including:</w:t>
      </w:r>
    </w:p>
    <w:p w14:paraId="35D803FD" w14:textId="1175D4CD" w:rsidR="00625192" w:rsidRDefault="00F50C00">
      <w:pPr>
        <w:pStyle w:val="ListParagraph"/>
        <w:numPr>
          <w:ilvl w:val="0"/>
          <w:numId w:val="36"/>
        </w:numPr>
      </w:pPr>
      <w:r>
        <w:t>the provision of i</w:t>
      </w:r>
      <w:r w:rsidR="00625192">
        <w:t>nternal and external business support</w:t>
      </w:r>
      <w:r w:rsidR="004C1AE9">
        <w:t>, and</w:t>
      </w:r>
    </w:p>
    <w:p w14:paraId="1C759ED0" w14:textId="30FC62C2" w:rsidR="00625192" w:rsidRDefault="00B9140C">
      <w:pPr>
        <w:pStyle w:val="ListParagraph"/>
        <w:numPr>
          <w:ilvl w:val="0"/>
          <w:numId w:val="36"/>
        </w:numPr>
      </w:pPr>
      <w:r>
        <w:t>f</w:t>
      </w:r>
      <w:r w:rsidR="00625192">
        <w:t>inancial products</w:t>
      </w:r>
      <w:r w:rsidR="004C1AE9">
        <w:t xml:space="preserve"> </w:t>
      </w:r>
      <w:r w:rsidR="00F50C00">
        <w:t xml:space="preserve">funded from the capital component </w:t>
      </w:r>
      <w:r w:rsidR="004C1AE9">
        <w:t xml:space="preserve">such as the </w:t>
      </w:r>
      <w:r w:rsidR="00FD67BB">
        <w:t>B</w:t>
      </w:r>
      <w:r w:rsidR="004C1AE9">
        <w:t xml:space="preserve">usiness </w:t>
      </w:r>
      <w:r w:rsidR="00FD67BB">
        <w:t>S</w:t>
      </w:r>
      <w:r w:rsidR="004C1AE9">
        <w:t>tart</w:t>
      </w:r>
      <w:r w:rsidR="00FD67BB">
        <w:t>-</w:t>
      </w:r>
      <w:r w:rsidR="004C1AE9">
        <w:t xml:space="preserve">up package </w:t>
      </w:r>
      <w:r w:rsidR="00FD67BB">
        <w:t xml:space="preserve">(consisting of both a grant and loan component) </w:t>
      </w:r>
      <w:r w:rsidR="004C1AE9">
        <w:t>and standard business loans.</w:t>
      </w:r>
    </w:p>
    <w:p w14:paraId="7D307E24" w14:textId="4082378A" w:rsidR="00E01DAB" w:rsidRPr="009E3246" w:rsidRDefault="004C1AE9" w:rsidP="009E3246">
      <w:r>
        <w:t>Additional grant agreements</w:t>
      </w:r>
      <w:r w:rsidR="00FD67BB">
        <w:t xml:space="preserve"> with NIAA</w:t>
      </w:r>
      <w:r>
        <w:t xml:space="preserve"> such as the provision of performance bonds </w:t>
      </w:r>
      <w:r w:rsidR="00FD67BB">
        <w:t>wa</w:t>
      </w:r>
      <w:r w:rsidR="007957C2">
        <w:t>s</w:t>
      </w:r>
      <w:r>
        <w:t xml:space="preserve"> out of scope. Similarly, while t</w:t>
      </w:r>
      <w:r w:rsidR="00E01DAB" w:rsidRPr="009E3246">
        <w:t xml:space="preserve">he </w:t>
      </w:r>
      <w:r w:rsidR="009E3246" w:rsidRPr="009E3246">
        <w:t>IBA COVID-19 Indigenous Business Relief Program</w:t>
      </w:r>
      <w:r w:rsidR="009E3246">
        <w:t xml:space="preserve"> (IBRP)</w:t>
      </w:r>
      <w:r w:rsidR="009E3246" w:rsidRPr="009E3246">
        <w:t xml:space="preserve"> </w:t>
      </w:r>
      <w:r w:rsidR="00102BE2">
        <w:t xml:space="preserve">is </w:t>
      </w:r>
      <w:r w:rsidR="00B9140C">
        <w:t>noted</w:t>
      </w:r>
      <w:r w:rsidR="00102BE2">
        <w:t xml:space="preserve"> in relation to its design features, </w:t>
      </w:r>
      <w:r>
        <w:t xml:space="preserve">it was </w:t>
      </w:r>
      <w:r w:rsidR="00102BE2">
        <w:t xml:space="preserve">not evaluated in-depth. </w:t>
      </w:r>
      <w:r>
        <w:t xml:space="preserve">IBA </w:t>
      </w:r>
      <w:r w:rsidR="00A10905">
        <w:t>own source</w:t>
      </w:r>
      <w:r>
        <w:t xml:space="preserve"> fund</w:t>
      </w:r>
      <w:r w:rsidR="00A10905">
        <w:t xml:space="preserve">ed </w:t>
      </w:r>
      <w:r w:rsidR="001C6781">
        <w:t xml:space="preserve">business </w:t>
      </w:r>
      <w:r>
        <w:t>activities were not examined.</w:t>
      </w:r>
    </w:p>
    <w:p w14:paraId="4B4EA688" w14:textId="679BC108" w:rsidR="00B65630" w:rsidRDefault="00D52C02" w:rsidP="00F33154">
      <w:pPr>
        <w:rPr>
          <w:rFonts w:asciiTheme="majorHAnsi" w:eastAsiaTheme="majorEastAsia" w:hAnsiTheme="majorHAnsi" w:cstheme="majorBidi"/>
          <w:b/>
          <w:bCs/>
          <w:color w:val="36591F" w:themeColor="accent2" w:themeShade="80"/>
          <w:kern w:val="10"/>
          <w:sz w:val="26"/>
          <w:szCs w:val="28"/>
        </w:rPr>
      </w:pPr>
      <w:r>
        <w:t>O</w:t>
      </w:r>
      <w:r w:rsidR="00E42D22" w:rsidRPr="00FE73DE">
        <w:t xml:space="preserve">ut of scope of the evaluation is any review or consideration of amendments to the </w:t>
      </w:r>
      <w:r w:rsidR="00B65630">
        <w:rPr>
          <w:iCs/>
        </w:rPr>
        <w:t>ATSI Act</w:t>
      </w:r>
      <w:r w:rsidR="00E42D22" w:rsidRPr="00FE73DE">
        <w:t>.</w:t>
      </w:r>
      <w:bookmarkStart w:id="31" w:name="_Toc109569480"/>
    </w:p>
    <w:p w14:paraId="7B16D345" w14:textId="5C4E84EF" w:rsidR="0066093E" w:rsidRPr="00FE73DE" w:rsidRDefault="0066093E" w:rsidP="004F2771">
      <w:pPr>
        <w:pStyle w:val="Heading2"/>
        <w:ind w:hanging="792"/>
      </w:pPr>
      <w:bookmarkStart w:id="32" w:name="_Toc123734696"/>
      <w:r w:rsidRPr="00FE73DE">
        <w:t>Methodology</w:t>
      </w:r>
      <w:bookmarkEnd w:id="31"/>
      <w:bookmarkEnd w:id="32"/>
    </w:p>
    <w:p w14:paraId="56568191" w14:textId="3734D5D0" w:rsidR="0066093E" w:rsidRPr="00FE73DE" w:rsidRDefault="004E00B8" w:rsidP="00386479">
      <w:r w:rsidRPr="00FE73DE">
        <w:t xml:space="preserve">The BSP Evaluation Strategy </w:t>
      </w:r>
      <w:r w:rsidR="00B12374">
        <w:t xml:space="preserve">outlined the </w:t>
      </w:r>
      <w:r w:rsidR="00386479" w:rsidRPr="00FE73DE">
        <w:t>evaluati</w:t>
      </w:r>
      <w:r w:rsidR="00CE7AE5">
        <w:t>on</w:t>
      </w:r>
      <w:r w:rsidR="00386479" w:rsidRPr="00FE73DE">
        <w:t xml:space="preserve"> approach and </w:t>
      </w:r>
      <w:r w:rsidRPr="00FE73DE">
        <w:t xml:space="preserve">evaluation questions to be answered. </w:t>
      </w:r>
    </w:p>
    <w:p w14:paraId="564C4813" w14:textId="2CBA3CEC" w:rsidR="00717111" w:rsidRDefault="00717111" w:rsidP="0066093E">
      <w:r>
        <w:rPr>
          <w:rFonts w:eastAsia="Times New Roman"/>
        </w:rPr>
        <w:t>A mixed</w:t>
      </w:r>
      <w:r w:rsidR="000C762D">
        <w:rPr>
          <w:rFonts w:eastAsia="Times New Roman"/>
        </w:rPr>
        <w:t>-</w:t>
      </w:r>
      <w:r>
        <w:rPr>
          <w:rFonts w:eastAsia="Times New Roman"/>
        </w:rPr>
        <w:t>methods approach was utilised including</w:t>
      </w:r>
      <w:r w:rsidR="007969EC">
        <w:rPr>
          <w:rFonts w:eastAsia="Times New Roman"/>
        </w:rPr>
        <w:t xml:space="preserve"> </w:t>
      </w:r>
      <w:r w:rsidR="0066093E" w:rsidRPr="00FE73DE">
        <w:rPr>
          <w:rFonts w:eastAsia="Times New Roman"/>
        </w:rPr>
        <w:t xml:space="preserve">document review, </w:t>
      </w:r>
      <w:r w:rsidR="0054674B" w:rsidRPr="00FE73DE">
        <w:rPr>
          <w:rFonts w:eastAsia="Times New Roman"/>
        </w:rPr>
        <w:t>key informant and semi-structured interviews</w:t>
      </w:r>
      <w:r w:rsidR="0066093E" w:rsidRPr="00FE73DE">
        <w:rPr>
          <w:rFonts w:eastAsia="Times New Roman"/>
        </w:rPr>
        <w:t>, and integrative analysis of data from all sources</w:t>
      </w:r>
      <w:r>
        <w:rPr>
          <w:rFonts w:eastAsia="Times New Roman"/>
        </w:rPr>
        <w:t>.</w:t>
      </w:r>
    </w:p>
    <w:p w14:paraId="0077339E" w14:textId="1CA6D8DE" w:rsidR="0066093E" w:rsidRPr="009B4818" w:rsidRDefault="0066093E" w:rsidP="0066093E">
      <w:pPr>
        <w:rPr>
          <w:rFonts w:eastAsia="Times New Roman"/>
        </w:rPr>
      </w:pPr>
      <w:r w:rsidRPr="00FE73DE">
        <w:t>The evaluation</w:t>
      </w:r>
      <w:r w:rsidR="00670A08" w:rsidRPr="00FE73DE">
        <w:t xml:space="preserve"> sought to assess the </w:t>
      </w:r>
      <w:r w:rsidR="00386479" w:rsidRPr="00FE73DE">
        <w:t>extent to which the program has achieved its intended outcomes</w:t>
      </w:r>
      <w:r w:rsidRPr="00FE73DE">
        <w:t xml:space="preserve">. A specific focus was on </w:t>
      </w:r>
      <w:r w:rsidR="000C2510" w:rsidRPr="00FE73DE">
        <w:t>the short</w:t>
      </w:r>
      <w:r w:rsidR="00F00DCF" w:rsidRPr="00FE73DE">
        <w:t>-</w:t>
      </w:r>
      <w:r w:rsidR="000C2510" w:rsidRPr="00FE73DE">
        <w:t xml:space="preserve">term and </w:t>
      </w:r>
      <w:r w:rsidR="00841D7A">
        <w:t>medium</w:t>
      </w:r>
      <w:r w:rsidR="007969EC">
        <w:t xml:space="preserve"> </w:t>
      </w:r>
      <w:r w:rsidRPr="00FE73DE">
        <w:t>outcomes that the program deliver</w:t>
      </w:r>
      <w:r w:rsidR="000C2510" w:rsidRPr="00FE73DE">
        <w:t>ed</w:t>
      </w:r>
      <w:r w:rsidRPr="00FE73DE">
        <w:t xml:space="preserve">, including the extent </w:t>
      </w:r>
      <w:r w:rsidR="000C2510" w:rsidRPr="00FE73DE">
        <w:t xml:space="preserve">to </w:t>
      </w:r>
      <w:r w:rsidRPr="00FE73DE">
        <w:t xml:space="preserve">which the program </w:t>
      </w:r>
      <w:r w:rsidR="000C2510" w:rsidRPr="00FE73DE">
        <w:t>wa</w:t>
      </w:r>
      <w:r w:rsidRPr="00FE73DE">
        <w:t xml:space="preserve">s tailored to the needs of recipients. </w:t>
      </w:r>
    </w:p>
    <w:p w14:paraId="7BD09A10" w14:textId="2B5E43E7" w:rsidR="00265901" w:rsidRPr="00FE73DE" w:rsidRDefault="00B12374" w:rsidP="00265901">
      <w:r>
        <w:t>The evaluation sought to understand broader view</w:t>
      </w:r>
      <w:r w:rsidR="007A6F2B">
        <w:t xml:space="preserve"> </w:t>
      </w:r>
      <w:r>
        <w:t xml:space="preserve">points </w:t>
      </w:r>
      <w:r w:rsidR="004A21BF">
        <w:t xml:space="preserve">rather </w:t>
      </w:r>
      <w:r>
        <w:t>than just direct BSP customers.</w:t>
      </w:r>
      <w:r w:rsidR="007969EC">
        <w:t xml:space="preserve"> </w:t>
      </w:r>
      <w:r w:rsidR="00F50C00">
        <w:t xml:space="preserve">The evaluation included two surveys—an </w:t>
      </w:r>
      <w:r w:rsidR="00F50C00" w:rsidRPr="00FE73DE">
        <w:t xml:space="preserve">online Indigenous business survey, and </w:t>
      </w:r>
      <w:r w:rsidR="00F50C00">
        <w:t>an</w:t>
      </w:r>
      <w:r w:rsidR="00F50C00" w:rsidRPr="00FE73DE">
        <w:t xml:space="preserve"> online delivery partner survey</w:t>
      </w:r>
      <w:r w:rsidR="00F50C00">
        <w:t>. R</w:t>
      </w:r>
      <w:r w:rsidR="000C2510" w:rsidRPr="00FE73DE">
        <w:t xml:space="preserve">ather than restricting the online business survey </w:t>
      </w:r>
      <w:r w:rsidR="00F00DCF" w:rsidRPr="00FE73DE">
        <w:t xml:space="preserve">to </w:t>
      </w:r>
      <w:r w:rsidR="000C2510" w:rsidRPr="00FE73DE">
        <w:t xml:space="preserve">only </w:t>
      </w:r>
      <w:r w:rsidR="00645011" w:rsidRPr="00FE73DE">
        <w:t xml:space="preserve">a select group of </w:t>
      </w:r>
      <w:r w:rsidR="0083206D" w:rsidRPr="00FE73DE">
        <w:t xml:space="preserve">IBA </w:t>
      </w:r>
      <w:r w:rsidR="000C2510" w:rsidRPr="00FE73DE">
        <w:t>business</w:t>
      </w:r>
      <w:r w:rsidR="0083206D" w:rsidRPr="00FE73DE">
        <w:t xml:space="preserve"> customers </w:t>
      </w:r>
      <w:r w:rsidR="000C2510" w:rsidRPr="00FE73DE">
        <w:t xml:space="preserve">who had received assistance </w:t>
      </w:r>
      <w:r w:rsidR="0083206D" w:rsidRPr="00FE73DE">
        <w:t xml:space="preserve">under </w:t>
      </w:r>
      <w:r w:rsidR="000C2510" w:rsidRPr="00FE73DE">
        <w:t xml:space="preserve">the BSP, the </w:t>
      </w:r>
      <w:r w:rsidR="00A10905">
        <w:t xml:space="preserve">survey was open to </w:t>
      </w:r>
      <w:r w:rsidR="000C2510" w:rsidRPr="00FE73DE">
        <w:t>all Indigenous</w:t>
      </w:r>
      <w:r w:rsidR="00B65630">
        <w:t xml:space="preserve"> </w:t>
      </w:r>
      <w:r w:rsidR="00F00DCF" w:rsidRPr="00FE73DE">
        <w:t xml:space="preserve">owned and led </w:t>
      </w:r>
      <w:r w:rsidR="000C2510" w:rsidRPr="00FE73DE">
        <w:t>businesses to respond.</w:t>
      </w:r>
      <w:r w:rsidR="00F50C00">
        <w:t xml:space="preserve"> </w:t>
      </w:r>
      <w:r w:rsidR="000C2510" w:rsidRPr="00FE73DE">
        <w:t xml:space="preserve">A further </w:t>
      </w:r>
      <w:r w:rsidR="00D912E5" w:rsidRPr="00FE73DE">
        <w:t xml:space="preserve">targeted </w:t>
      </w:r>
      <w:r w:rsidR="00B65630" w:rsidRPr="00FE73DE">
        <w:t xml:space="preserve">survey </w:t>
      </w:r>
      <w:r w:rsidR="00B65630">
        <w:t xml:space="preserve">for </w:t>
      </w:r>
      <w:r w:rsidR="000C2510" w:rsidRPr="00FE73DE">
        <w:t>delivery partners</w:t>
      </w:r>
      <w:r w:rsidR="00C77C17" w:rsidRPr="00FE73DE">
        <w:rPr>
          <w:rStyle w:val="FootnoteReference"/>
        </w:rPr>
        <w:footnoteReference w:id="11"/>
      </w:r>
      <w:r w:rsidR="000C2510" w:rsidRPr="00FE73DE">
        <w:t xml:space="preserve"> was </w:t>
      </w:r>
      <w:r w:rsidR="00F50C00">
        <w:t xml:space="preserve">undertaken </w:t>
      </w:r>
      <w:r w:rsidR="000C2510" w:rsidRPr="00FE73DE">
        <w:t xml:space="preserve">to give the opportunity for those </w:t>
      </w:r>
      <w:r w:rsidR="00D912E5" w:rsidRPr="00FE73DE">
        <w:t>individuals</w:t>
      </w:r>
      <w:r w:rsidR="000C2510" w:rsidRPr="00FE73DE">
        <w:t xml:space="preserve"> involved in the delivery of the BSP a confidential and safe space to express their views</w:t>
      </w:r>
      <w:r w:rsidR="00645011" w:rsidRPr="00FE73DE">
        <w:t xml:space="preserve"> on the success or otherwise of the program</w:t>
      </w:r>
      <w:r w:rsidR="000C2510" w:rsidRPr="00FE73DE">
        <w:t xml:space="preserve">. For both the online business survey and online delivery partners survey, respondents were given the opportunity to </w:t>
      </w:r>
      <w:r w:rsidR="00717111">
        <w:t xml:space="preserve">participate in </w:t>
      </w:r>
      <w:r w:rsidR="009F162B">
        <w:t xml:space="preserve">an </w:t>
      </w:r>
      <w:r w:rsidR="009F162B">
        <w:rPr>
          <w:rFonts w:eastAsia="Times New Roman" w:cstheme="minorHAnsi"/>
          <w:color w:val="000000"/>
        </w:rPr>
        <w:t>interview with a member of the evaluation team for the purpose of a follow-up discussion</w:t>
      </w:r>
      <w:r w:rsidR="00717111">
        <w:t>. They could choose either a male/female or Indigenous/</w:t>
      </w:r>
      <w:r w:rsidR="00A10905">
        <w:t>n</w:t>
      </w:r>
      <w:r w:rsidR="000C762D">
        <w:t>on-Indigenous</w:t>
      </w:r>
      <w:r w:rsidR="00717111">
        <w:t xml:space="preserve"> researcher and whether the interviewer had access to their survey results for follow up discussion.</w:t>
      </w:r>
    </w:p>
    <w:p w14:paraId="7803EF70" w14:textId="083D47F3" w:rsidR="0066093E" w:rsidRPr="00FE73DE" w:rsidRDefault="0083206D" w:rsidP="0066093E">
      <w:r w:rsidRPr="00FE73DE">
        <w:t xml:space="preserve">Principles of </w:t>
      </w:r>
      <w:r w:rsidR="00B65630">
        <w:t>f</w:t>
      </w:r>
      <w:r w:rsidR="0066093E" w:rsidRPr="00FE73DE">
        <w:t xml:space="preserve">ree, </w:t>
      </w:r>
      <w:r w:rsidR="00B65630">
        <w:t>p</w:t>
      </w:r>
      <w:r w:rsidR="0066093E" w:rsidRPr="00FE73DE">
        <w:t>rior</w:t>
      </w:r>
      <w:r w:rsidR="00B65630">
        <w:t>,</w:t>
      </w:r>
      <w:r w:rsidR="0066093E" w:rsidRPr="00FE73DE">
        <w:t xml:space="preserve"> and </w:t>
      </w:r>
      <w:r w:rsidR="00B65630">
        <w:t>i</w:t>
      </w:r>
      <w:r w:rsidR="0066093E" w:rsidRPr="00FE73DE">
        <w:t xml:space="preserve">nformed </w:t>
      </w:r>
      <w:r w:rsidR="00B65630">
        <w:t>c</w:t>
      </w:r>
      <w:r w:rsidR="0066093E" w:rsidRPr="00FE73DE">
        <w:t xml:space="preserve">onsent </w:t>
      </w:r>
      <w:r w:rsidRPr="00FE73DE">
        <w:t>were</w:t>
      </w:r>
      <w:r w:rsidR="0066093E" w:rsidRPr="00FE73DE">
        <w:t xml:space="preserve"> embedded within the project framework. </w:t>
      </w:r>
      <w:r w:rsidR="009F162B">
        <w:t>P</w:t>
      </w:r>
      <w:r w:rsidR="0066093E" w:rsidRPr="00FE73DE">
        <w:t>articipation was voluntary. All participa</w:t>
      </w:r>
      <w:r w:rsidR="00B65630">
        <w:t>nt</w:t>
      </w:r>
      <w:r w:rsidR="0066093E" w:rsidRPr="00FE73DE">
        <w:t xml:space="preserve">s had the right to withdraw their consent at any point and without </w:t>
      </w:r>
      <w:r w:rsidR="00B65630" w:rsidRPr="00FE73DE">
        <w:t>consequence</w:t>
      </w:r>
      <w:r w:rsidR="00B65630">
        <w:t xml:space="preserve"> and </w:t>
      </w:r>
      <w:r w:rsidR="0066093E" w:rsidRPr="00FE73DE">
        <w:t>set the parameters of their engagement.</w:t>
      </w:r>
    </w:p>
    <w:p w14:paraId="274901FB" w14:textId="31B57237" w:rsidR="0083206D" w:rsidRDefault="008B0DD7" w:rsidP="0083206D">
      <w:r w:rsidRPr="00FE73DE">
        <w:t xml:space="preserve">The evaluation team </w:t>
      </w:r>
      <w:r w:rsidR="009F162B">
        <w:t xml:space="preserve">included </w:t>
      </w:r>
      <w:r w:rsidR="00265901">
        <w:t>two</w:t>
      </w:r>
      <w:r w:rsidRPr="00FE73DE">
        <w:t xml:space="preserve"> Indigenous researchers with extensive experience and qualifications in Indigenous governance and trauma care. </w:t>
      </w:r>
      <w:r w:rsidR="00626580" w:rsidRPr="00FE73DE">
        <w:t>Guided by</w:t>
      </w:r>
      <w:r w:rsidRPr="00FE73DE">
        <w:t xml:space="preserve"> these</w:t>
      </w:r>
      <w:r w:rsidR="00626580" w:rsidRPr="00FE73DE">
        <w:t xml:space="preserve"> researchers</w:t>
      </w:r>
      <w:r w:rsidR="0083206D" w:rsidRPr="00FE73DE">
        <w:t>,</w:t>
      </w:r>
      <w:r w:rsidRPr="00FE73DE">
        <w:t xml:space="preserve"> </w:t>
      </w:r>
      <w:r w:rsidR="0083206D" w:rsidRPr="00FE73DE">
        <w:t xml:space="preserve">the introduction of </w:t>
      </w:r>
      <w:r w:rsidR="0066093E" w:rsidRPr="00FE73DE">
        <w:t xml:space="preserve">‘yarning’ as a research method </w:t>
      </w:r>
      <w:r w:rsidR="0083206D" w:rsidRPr="00FE73DE">
        <w:t>was incorporated into the</w:t>
      </w:r>
      <w:r w:rsidR="007969EC">
        <w:t xml:space="preserve"> </w:t>
      </w:r>
      <w:r w:rsidR="009F162B">
        <w:t xml:space="preserve">follow-up </w:t>
      </w:r>
      <w:r w:rsidR="0069157A">
        <w:t>interview</w:t>
      </w:r>
      <w:r w:rsidR="007969EC">
        <w:t xml:space="preserve"> </w:t>
      </w:r>
      <w:r w:rsidR="0069157A">
        <w:t>approach</w:t>
      </w:r>
      <w:r w:rsidR="0083206D" w:rsidRPr="00FE73DE">
        <w:t xml:space="preserve">. The use of this method, and </w:t>
      </w:r>
      <w:r w:rsidR="0066093E" w:rsidRPr="00FE73DE">
        <w:t>respect</w:t>
      </w:r>
      <w:r w:rsidR="00626580" w:rsidRPr="00FE73DE">
        <w:t xml:space="preserve">ing </w:t>
      </w:r>
      <w:r w:rsidR="0066093E" w:rsidRPr="00FE73DE">
        <w:t>and embed</w:t>
      </w:r>
      <w:r w:rsidR="00D912E5" w:rsidRPr="00FE73DE">
        <w:t>d</w:t>
      </w:r>
      <w:r w:rsidR="00626580" w:rsidRPr="00FE73DE">
        <w:t>ing</w:t>
      </w:r>
      <w:r w:rsidR="0066093E" w:rsidRPr="00FE73DE">
        <w:t xml:space="preserve"> Indigenous ways of being, knowing and doing, </w:t>
      </w:r>
      <w:r w:rsidR="00D912E5" w:rsidRPr="00FE73DE">
        <w:t>was</w:t>
      </w:r>
      <w:r w:rsidR="0083206D" w:rsidRPr="00FE73DE">
        <w:t xml:space="preserve"> </w:t>
      </w:r>
      <w:r w:rsidR="00626580" w:rsidRPr="00FE73DE">
        <w:t xml:space="preserve">particularly </w:t>
      </w:r>
      <w:r w:rsidR="0083206D" w:rsidRPr="00FE73DE">
        <w:t xml:space="preserve">important </w:t>
      </w:r>
      <w:r w:rsidR="00626580" w:rsidRPr="00FE73DE">
        <w:t>when engaging with Indigenous businesses and entrepreneurs</w:t>
      </w:r>
      <w:r w:rsidR="0066093E" w:rsidRPr="00FE73DE">
        <w:t>.</w:t>
      </w:r>
      <w:r w:rsidR="00A4487D" w:rsidRPr="00FE73DE">
        <w:t xml:space="preserve"> </w:t>
      </w:r>
      <w:r w:rsidR="002A5593">
        <w:t>T</w:t>
      </w:r>
      <w:r w:rsidR="0066093E" w:rsidRPr="00FE73DE">
        <w:t>he interview method positioned Indigenous businesses as experts in their own fields</w:t>
      </w:r>
      <w:r w:rsidR="002A5593">
        <w:t xml:space="preserve">, </w:t>
      </w:r>
      <w:r w:rsidR="009F162B">
        <w:t>enabling</w:t>
      </w:r>
      <w:r w:rsidR="00717111">
        <w:t xml:space="preserve"> </w:t>
      </w:r>
      <w:r w:rsidR="0066093E" w:rsidRPr="00FE73DE">
        <w:t xml:space="preserve">the evaluation team </w:t>
      </w:r>
      <w:r w:rsidR="009F162B">
        <w:t xml:space="preserve">to </w:t>
      </w:r>
      <w:r w:rsidR="0066093E" w:rsidRPr="00FE73DE">
        <w:t xml:space="preserve">listen and learn from their experiences. </w:t>
      </w:r>
      <w:r w:rsidR="0083206D" w:rsidRPr="00FE73DE">
        <w:t xml:space="preserve">Where desired by survey respondents, one of these Indigenous researchers facilitated the </w:t>
      </w:r>
      <w:r w:rsidR="009F162B">
        <w:t>interview</w:t>
      </w:r>
      <w:r w:rsidR="0083206D" w:rsidRPr="00FE73DE">
        <w:t xml:space="preserve">. </w:t>
      </w:r>
    </w:p>
    <w:p w14:paraId="6A43F286" w14:textId="36E5A97C" w:rsidR="00717111" w:rsidRPr="00FE73DE" w:rsidRDefault="00717111" w:rsidP="0083206D">
      <w:r>
        <w:t xml:space="preserve">Due to the </w:t>
      </w:r>
      <w:r w:rsidR="00A10905">
        <w:t xml:space="preserve">continued </w:t>
      </w:r>
      <w:r>
        <w:t>outbreak of C</w:t>
      </w:r>
      <w:r w:rsidR="009F162B">
        <w:t>OVID</w:t>
      </w:r>
      <w:r>
        <w:t>-19 during the evaluation</w:t>
      </w:r>
      <w:r w:rsidR="00C91710">
        <w:t>,</w:t>
      </w:r>
      <w:r>
        <w:t xml:space="preserve"> most interviews were undertaken virtually rather than face to face.</w:t>
      </w:r>
    </w:p>
    <w:p w14:paraId="7BE6D1E4" w14:textId="77777777" w:rsidR="0066093E" w:rsidRPr="00FE73DE" w:rsidRDefault="0066093E" w:rsidP="004F2771">
      <w:pPr>
        <w:pStyle w:val="Heading2"/>
        <w:ind w:hanging="792"/>
      </w:pPr>
      <w:bookmarkStart w:id="33" w:name="_Toc109569481"/>
      <w:bookmarkStart w:id="34" w:name="_Toc123734697"/>
      <w:r w:rsidRPr="00FE73DE">
        <w:t>Data collection</w:t>
      </w:r>
      <w:bookmarkEnd w:id="33"/>
      <w:bookmarkEnd w:id="34"/>
    </w:p>
    <w:p w14:paraId="26F02688" w14:textId="77777777" w:rsidR="002A5593" w:rsidRDefault="0066093E" w:rsidP="0066093E">
      <w:pPr>
        <w:spacing w:after="200" w:line="276" w:lineRule="auto"/>
      </w:pPr>
      <w:r w:rsidRPr="00FE73DE">
        <w:t xml:space="preserve">Specific data collection methods for the evaluation included: </w:t>
      </w:r>
    </w:p>
    <w:p w14:paraId="026A8395" w14:textId="46CC1C7B" w:rsidR="002A5593" w:rsidRPr="002A5593" w:rsidRDefault="007B7F28">
      <w:pPr>
        <w:pStyle w:val="ListBullet"/>
      </w:pPr>
      <w:r>
        <w:t>A</w:t>
      </w:r>
      <w:r w:rsidR="0066093E" w:rsidRPr="002A5593">
        <w:t xml:space="preserve">nalysis of available </w:t>
      </w:r>
      <w:r w:rsidR="00717111">
        <w:t xml:space="preserve">BSP </w:t>
      </w:r>
      <w:r w:rsidR="00A10905">
        <w:t>p</w:t>
      </w:r>
      <w:r w:rsidR="0066093E" w:rsidRPr="002A5593">
        <w:t xml:space="preserve">rogram data (including </w:t>
      </w:r>
      <w:r w:rsidR="00F00DCF" w:rsidRPr="002A5593">
        <w:t>IBA</w:t>
      </w:r>
      <w:r w:rsidR="007969EC">
        <w:t xml:space="preserve"> </w:t>
      </w:r>
      <w:r w:rsidR="000B7C6C">
        <w:t xml:space="preserve">internal policy and procedural </w:t>
      </w:r>
      <w:r>
        <w:t>documentation</w:t>
      </w:r>
      <w:r w:rsidR="00717111">
        <w:t xml:space="preserve">, </w:t>
      </w:r>
      <w:r w:rsidR="000B7C6C">
        <w:t xml:space="preserve">deidentified </w:t>
      </w:r>
      <w:r w:rsidR="00717111">
        <w:t>customer information and reporting)</w:t>
      </w:r>
      <w:r w:rsidR="0066093E" w:rsidRPr="002A5593">
        <w:t xml:space="preserve"> </w:t>
      </w:r>
    </w:p>
    <w:p w14:paraId="054DBE9A" w14:textId="77777777" w:rsidR="002A5593" w:rsidRPr="002A5593" w:rsidRDefault="0066093E">
      <w:pPr>
        <w:pStyle w:val="ListBullet"/>
      </w:pPr>
      <w:r w:rsidRPr="002A5593">
        <w:t xml:space="preserve">a </w:t>
      </w:r>
      <w:r w:rsidR="002A5593" w:rsidRPr="002A5593">
        <w:t xml:space="preserve">review of </w:t>
      </w:r>
      <w:r w:rsidRPr="002A5593">
        <w:t>publicly available document</w:t>
      </w:r>
      <w:r w:rsidR="002A5593" w:rsidRPr="002A5593">
        <w:t>s</w:t>
      </w:r>
    </w:p>
    <w:p w14:paraId="6A96EAE9" w14:textId="77777777" w:rsidR="002A5593" w:rsidRPr="002A5593" w:rsidRDefault="00626580">
      <w:pPr>
        <w:pStyle w:val="ListBullet"/>
      </w:pPr>
      <w:r w:rsidRPr="002A5593">
        <w:t xml:space="preserve">key informant interviews </w:t>
      </w:r>
      <w:r w:rsidR="00D912E5" w:rsidRPr="002A5593">
        <w:t xml:space="preserve">with NIAA and </w:t>
      </w:r>
      <w:r w:rsidR="004E00B8" w:rsidRPr="002A5593">
        <w:t xml:space="preserve">senior </w:t>
      </w:r>
      <w:r w:rsidR="00D912E5" w:rsidRPr="002A5593">
        <w:t>IBA staff</w:t>
      </w:r>
      <w:r w:rsidR="0083206D" w:rsidRPr="002A5593">
        <w:t xml:space="preserve">, supplemented by multiple </w:t>
      </w:r>
      <w:r w:rsidR="00480C32" w:rsidRPr="002A5593">
        <w:t xml:space="preserve">focus group discussions/presentations from key </w:t>
      </w:r>
      <w:r w:rsidR="0083206D" w:rsidRPr="002A5593">
        <w:t>IBA staff</w:t>
      </w:r>
    </w:p>
    <w:p w14:paraId="4C237977" w14:textId="77777777" w:rsidR="002A5593" w:rsidRPr="002A5593" w:rsidRDefault="00626580">
      <w:pPr>
        <w:pStyle w:val="ListBullet"/>
      </w:pPr>
      <w:r w:rsidRPr="002A5593">
        <w:t xml:space="preserve">semi-structured interviews </w:t>
      </w:r>
      <w:r w:rsidR="00D912E5" w:rsidRPr="002A5593">
        <w:t>with senior staff from state and territory Indigenous business chambers</w:t>
      </w:r>
      <w:r w:rsidR="004E00B8" w:rsidRPr="002A5593">
        <w:t xml:space="preserve"> of commerce</w:t>
      </w:r>
      <w:r w:rsidR="00D912E5" w:rsidRPr="002A5593">
        <w:t xml:space="preserve"> and NIAA-funded Indigenous Business Hubs around Australia</w:t>
      </w:r>
    </w:p>
    <w:p w14:paraId="2D0BE20D" w14:textId="77777777" w:rsidR="002A5593" w:rsidRPr="002A5593" w:rsidRDefault="0066093E">
      <w:pPr>
        <w:pStyle w:val="ListBullet"/>
      </w:pPr>
      <w:r w:rsidRPr="002A5593">
        <w:t>an online business survey and an online delivery partner survey</w:t>
      </w:r>
    </w:p>
    <w:p w14:paraId="610F145B" w14:textId="17A5110A" w:rsidR="0066093E" w:rsidRPr="002A5593" w:rsidRDefault="0061791A">
      <w:pPr>
        <w:pStyle w:val="ListBullet"/>
      </w:pPr>
      <w:r>
        <w:t>interviews</w:t>
      </w:r>
      <w:r w:rsidR="004E00B8" w:rsidRPr="002A5593">
        <w:t xml:space="preserve"> with available survey respondents (from both the business survey and delivery partners) who sought to have follow-up discussions with the evaluation team.</w:t>
      </w:r>
    </w:p>
    <w:p w14:paraId="4B4E93ED" w14:textId="37226880" w:rsidR="0061791A" w:rsidRDefault="0061791A" w:rsidP="0061791A">
      <w:r>
        <w:rPr>
          <w:spacing w:val="2"/>
        </w:rPr>
        <w:t xml:space="preserve">A summary of the engagement with survey respondents </w:t>
      </w:r>
      <w:r w:rsidR="00F00DCF" w:rsidRPr="00FE73DE">
        <w:t xml:space="preserve">is </w:t>
      </w:r>
      <w:r w:rsidR="00721974" w:rsidRPr="00FE73DE">
        <w:t xml:space="preserve">shown in </w:t>
      </w:r>
      <w:r w:rsidR="00721974" w:rsidRPr="00FE73DE">
        <w:fldChar w:fldCharType="begin"/>
      </w:r>
      <w:r w:rsidR="00721974" w:rsidRPr="00FE73DE">
        <w:instrText xml:space="preserve"> REF _Ref116242571 \h </w:instrText>
      </w:r>
      <w:r w:rsidR="00721974" w:rsidRPr="00FE73DE">
        <w:fldChar w:fldCharType="separate"/>
      </w:r>
      <w:r w:rsidR="004718C9" w:rsidRPr="00FE73DE">
        <w:t xml:space="preserve">Table </w:t>
      </w:r>
      <w:r w:rsidR="004718C9">
        <w:rPr>
          <w:noProof/>
        </w:rPr>
        <w:t>2</w:t>
      </w:r>
      <w:r w:rsidR="00721974" w:rsidRPr="00FE73DE">
        <w:fldChar w:fldCharType="end"/>
      </w:r>
      <w:r w:rsidR="00721974" w:rsidRPr="00FE73DE">
        <w:t>.</w:t>
      </w:r>
      <w:r w:rsidRPr="0061791A">
        <w:t xml:space="preserve"> </w:t>
      </w:r>
      <w:r w:rsidRPr="00FE73DE">
        <w:t xml:space="preserve">The demographic result for each survey is presented </w:t>
      </w:r>
      <w:r w:rsidRPr="003257FB">
        <w:t xml:space="preserve">in Appendix </w:t>
      </w:r>
      <w:r w:rsidR="000B7C6C" w:rsidRPr="003257FB">
        <w:t>E</w:t>
      </w:r>
      <w:r w:rsidRPr="00FE73DE">
        <w:t xml:space="preserve">. </w:t>
      </w:r>
    </w:p>
    <w:p w14:paraId="226AB7BB" w14:textId="0FCB2326" w:rsidR="00F80603" w:rsidRPr="00FE73DE" w:rsidRDefault="00F80603" w:rsidP="00F80603">
      <w:pPr>
        <w:pStyle w:val="Caption"/>
        <w:keepNext/>
      </w:pPr>
      <w:bookmarkStart w:id="35" w:name="_Ref116242571"/>
      <w:r w:rsidRPr="00FE73DE">
        <w:t xml:space="preserve">Table </w:t>
      </w:r>
      <w:fldSimple w:instr=" SEQ Table \* ARABIC ">
        <w:r w:rsidR="004718C9">
          <w:rPr>
            <w:noProof/>
          </w:rPr>
          <w:t>2</w:t>
        </w:r>
      </w:fldSimple>
      <w:bookmarkEnd w:id="35"/>
      <w:r w:rsidRPr="00FE73DE">
        <w:t>: Engagements with survey respondents</w:t>
      </w:r>
    </w:p>
    <w:tbl>
      <w:tblPr>
        <w:tblStyle w:val="Summaryboxtablestyle"/>
        <w:tblW w:w="5000" w:type="pct"/>
        <w:tblLook w:val="04A0" w:firstRow="1" w:lastRow="0" w:firstColumn="1" w:lastColumn="0" w:noHBand="0" w:noVBand="1"/>
      </w:tblPr>
      <w:tblGrid>
        <w:gridCol w:w="1778"/>
        <w:gridCol w:w="1778"/>
        <w:gridCol w:w="1778"/>
        <w:gridCol w:w="1778"/>
        <w:gridCol w:w="1778"/>
      </w:tblGrid>
      <w:tr w:rsidR="00F80603" w:rsidRPr="00FE73DE" w14:paraId="77E46FCF" w14:textId="77777777" w:rsidTr="00102BEB">
        <w:trPr>
          <w:cnfStyle w:val="100000000000" w:firstRow="1" w:lastRow="0" w:firstColumn="0" w:lastColumn="0" w:oddVBand="0" w:evenVBand="0" w:oddHBand="0" w:evenHBand="0" w:firstRowFirstColumn="0" w:firstRowLastColumn="0" w:lastRowFirstColumn="0" w:lastRowLastColumn="0"/>
        </w:trPr>
        <w:tc>
          <w:tcPr>
            <w:tcW w:w="1000" w:type="pct"/>
            <w:vAlign w:val="bottom"/>
          </w:tcPr>
          <w:p w14:paraId="73175048" w14:textId="77777777" w:rsidR="00F80603" w:rsidRPr="00FE73DE" w:rsidRDefault="00F80603" w:rsidP="00102BEB">
            <w:pPr>
              <w:pStyle w:val="TableText"/>
            </w:pPr>
            <w:r w:rsidRPr="00FE73DE">
              <w:t>Survey</w:t>
            </w:r>
          </w:p>
        </w:tc>
        <w:tc>
          <w:tcPr>
            <w:tcW w:w="1000" w:type="pct"/>
            <w:vAlign w:val="bottom"/>
          </w:tcPr>
          <w:p w14:paraId="606FC1B5" w14:textId="77777777" w:rsidR="00F80603" w:rsidRPr="00FE73DE" w:rsidRDefault="00F80603" w:rsidP="00102BEB">
            <w:pPr>
              <w:pStyle w:val="TableText"/>
            </w:pPr>
            <w:r w:rsidRPr="00FE73DE">
              <w:t xml:space="preserve">Number of </w:t>
            </w:r>
            <w:r w:rsidRPr="00FE73DE">
              <w:br/>
              <w:t>survey responses</w:t>
            </w:r>
          </w:p>
        </w:tc>
        <w:tc>
          <w:tcPr>
            <w:tcW w:w="1000" w:type="pct"/>
            <w:vAlign w:val="bottom"/>
          </w:tcPr>
          <w:p w14:paraId="3A6717CB" w14:textId="51B4A728" w:rsidR="00F80603" w:rsidRPr="00FE73DE" w:rsidRDefault="00F80603" w:rsidP="00102BEB">
            <w:pPr>
              <w:pStyle w:val="TableText"/>
            </w:pPr>
            <w:r w:rsidRPr="00FE73DE">
              <w:t xml:space="preserve">Number of people willing to engage in a follow-up </w:t>
            </w:r>
            <w:r w:rsidR="0061791A">
              <w:t>interview</w:t>
            </w:r>
          </w:p>
        </w:tc>
        <w:tc>
          <w:tcPr>
            <w:tcW w:w="1000" w:type="pct"/>
            <w:vAlign w:val="bottom"/>
          </w:tcPr>
          <w:p w14:paraId="200894D3" w14:textId="3CDEC6C2" w:rsidR="00F80603" w:rsidRPr="00FE73DE" w:rsidRDefault="00F80603" w:rsidP="00102BEB">
            <w:pPr>
              <w:pStyle w:val="TableText"/>
            </w:pPr>
            <w:r w:rsidRPr="00FE73DE">
              <w:t xml:space="preserve">Number of </w:t>
            </w:r>
            <w:r w:rsidR="00721974" w:rsidRPr="00FE73DE">
              <w:t xml:space="preserve">respondents </w:t>
            </w:r>
            <w:r w:rsidRPr="00FE73DE">
              <w:t>contacted</w:t>
            </w:r>
          </w:p>
        </w:tc>
        <w:tc>
          <w:tcPr>
            <w:tcW w:w="1000" w:type="pct"/>
            <w:vAlign w:val="bottom"/>
          </w:tcPr>
          <w:p w14:paraId="04422079" w14:textId="2E81627B" w:rsidR="00F80603" w:rsidRPr="00FE73DE" w:rsidRDefault="00F80603" w:rsidP="00102BEB">
            <w:pPr>
              <w:pStyle w:val="TableText"/>
            </w:pPr>
            <w:r w:rsidRPr="00FE73DE">
              <w:t xml:space="preserve">Number of </w:t>
            </w:r>
            <w:r w:rsidR="0061791A">
              <w:t>interviews</w:t>
            </w:r>
            <w:r w:rsidRPr="00FE73DE">
              <w:t xml:space="preserve"> conducted</w:t>
            </w:r>
          </w:p>
        </w:tc>
      </w:tr>
      <w:tr w:rsidR="00F80603" w:rsidRPr="00FE73DE" w14:paraId="6EC43BDE" w14:textId="77777777" w:rsidTr="00102BEB">
        <w:tc>
          <w:tcPr>
            <w:tcW w:w="1000" w:type="pct"/>
          </w:tcPr>
          <w:p w14:paraId="11A25EB3" w14:textId="09C18A76" w:rsidR="00F80603" w:rsidRPr="00FE73DE" w:rsidRDefault="007C272F" w:rsidP="00102BEB">
            <w:pPr>
              <w:pStyle w:val="TableText"/>
              <w:rPr>
                <w:b/>
                <w:bCs/>
              </w:rPr>
            </w:pPr>
            <w:r w:rsidRPr="00FE73DE">
              <w:rPr>
                <w:b/>
                <w:bCs/>
              </w:rPr>
              <w:t>Indigenous b</w:t>
            </w:r>
            <w:r w:rsidR="00F80603" w:rsidRPr="00FE73DE">
              <w:rPr>
                <w:b/>
                <w:bCs/>
              </w:rPr>
              <w:t>usiness</w:t>
            </w:r>
          </w:p>
        </w:tc>
        <w:tc>
          <w:tcPr>
            <w:tcW w:w="1000" w:type="pct"/>
          </w:tcPr>
          <w:p w14:paraId="1D17AE4E" w14:textId="77777777" w:rsidR="00F80603" w:rsidRPr="00FE73DE" w:rsidRDefault="00F80603" w:rsidP="00102BEB">
            <w:pPr>
              <w:pStyle w:val="TableText"/>
            </w:pPr>
            <w:r w:rsidRPr="00FE73DE">
              <w:t>71</w:t>
            </w:r>
          </w:p>
        </w:tc>
        <w:tc>
          <w:tcPr>
            <w:tcW w:w="1000" w:type="pct"/>
          </w:tcPr>
          <w:p w14:paraId="30869F6F" w14:textId="77777777" w:rsidR="00F80603" w:rsidRPr="00FE73DE" w:rsidRDefault="00F80603" w:rsidP="00102BEB">
            <w:pPr>
              <w:pStyle w:val="TableText"/>
            </w:pPr>
            <w:r w:rsidRPr="00FE73DE">
              <w:t>44</w:t>
            </w:r>
          </w:p>
        </w:tc>
        <w:tc>
          <w:tcPr>
            <w:tcW w:w="1000" w:type="pct"/>
          </w:tcPr>
          <w:p w14:paraId="379F2889" w14:textId="77777777" w:rsidR="00F80603" w:rsidRPr="00FE73DE" w:rsidRDefault="00F80603" w:rsidP="00102BEB">
            <w:pPr>
              <w:pStyle w:val="TableText"/>
            </w:pPr>
            <w:r w:rsidRPr="00FE73DE">
              <w:t>44</w:t>
            </w:r>
          </w:p>
        </w:tc>
        <w:tc>
          <w:tcPr>
            <w:tcW w:w="1000" w:type="pct"/>
          </w:tcPr>
          <w:p w14:paraId="6FE2E6FC" w14:textId="77777777" w:rsidR="00F80603" w:rsidRPr="00FE73DE" w:rsidRDefault="00F80603" w:rsidP="00102BEB">
            <w:pPr>
              <w:pStyle w:val="TableText"/>
            </w:pPr>
            <w:r w:rsidRPr="00FE73DE">
              <w:t>12</w:t>
            </w:r>
          </w:p>
        </w:tc>
      </w:tr>
      <w:tr w:rsidR="00F80603" w:rsidRPr="00FE73DE" w14:paraId="66D9011D" w14:textId="77777777" w:rsidTr="00102BEB">
        <w:trPr>
          <w:cnfStyle w:val="000000010000" w:firstRow="0" w:lastRow="0" w:firstColumn="0" w:lastColumn="0" w:oddVBand="0" w:evenVBand="0" w:oddHBand="0" w:evenHBand="1" w:firstRowFirstColumn="0" w:firstRowLastColumn="0" w:lastRowFirstColumn="0" w:lastRowLastColumn="0"/>
        </w:trPr>
        <w:tc>
          <w:tcPr>
            <w:tcW w:w="1000" w:type="pct"/>
          </w:tcPr>
          <w:p w14:paraId="7939AA42" w14:textId="77777777" w:rsidR="00F80603" w:rsidRPr="00FE73DE" w:rsidRDefault="00F80603" w:rsidP="00102BEB">
            <w:pPr>
              <w:pStyle w:val="TableText"/>
              <w:rPr>
                <w:b/>
                <w:bCs/>
              </w:rPr>
            </w:pPr>
            <w:r w:rsidRPr="00FE73DE">
              <w:rPr>
                <w:b/>
                <w:bCs/>
              </w:rPr>
              <w:t>Delivery partners</w:t>
            </w:r>
          </w:p>
        </w:tc>
        <w:tc>
          <w:tcPr>
            <w:tcW w:w="1000" w:type="pct"/>
          </w:tcPr>
          <w:p w14:paraId="3445947F" w14:textId="77777777" w:rsidR="00F80603" w:rsidRPr="00FE73DE" w:rsidRDefault="00F80603" w:rsidP="00102BEB">
            <w:pPr>
              <w:pStyle w:val="TableText"/>
            </w:pPr>
            <w:r w:rsidRPr="00FE73DE">
              <w:t>24</w:t>
            </w:r>
          </w:p>
        </w:tc>
        <w:tc>
          <w:tcPr>
            <w:tcW w:w="1000" w:type="pct"/>
          </w:tcPr>
          <w:p w14:paraId="6C5EA2FA" w14:textId="77777777" w:rsidR="00F80603" w:rsidRPr="00FE73DE" w:rsidRDefault="00F80603" w:rsidP="00102BEB">
            <w:pPr>
              <w:pStyle w:val="TableText"/>
            </w:pPr>
            <w:r w:rsidRPr="00FE73DE">
              <w:t>12</w:t>
            </w:r>
          </w:p>
        </w:tc>
        <w:tc>
          <w:tcPr>
            <w:tcW w:w="1000" w:type="pct"/>
          </w:tcPr>
          <w:p w14:paraId="059F3EAB" w14:textId="77777777" w:rsidR="00F80603" w:rsidRPr="00FE73DE" w:rsidRDefault="00F80603" w:rsidP="00102BEB">
            <w:pPr>
              <w:pStyle w:val="TableText"/>
            </w:pPr>
            <w:r w:rsidRPr="00FE73DE">
              <w:t>12</w:t>
            </w:r>
          </w:p>
        </w:tc>
        <w:tc>
          <w:tcPr>
            <w:tcW w:w="1000" w:type="pct"/>
          </w:tcPr>
          <w:p w14:paraId="4933E4B0" w14:textId="77777777" w:rsidR="00F80603" w:rsidRPr="00FE73DE" w:rsidRDefault="00F80603" w:rsidP="00102BEB">
            <w:pPr>
              <w:pStyle w:val="TableText"/>
            </w:pPr>
            <w:r w:rsidRPr="00FE73DE">
              <w:t>10</w:t>
            </w:r>
          </w:p>
        </w:tc>
      </w:tr>
    </w:tbl>
    <w:p w14:paraId="2E0C92D3" w14:textId="77777777" w:rsidR="00F80603" w:rsidRPr="00FE73DE" w:rsidRDefault="00F80603" w:rsidP="00F80603"/>
    <w:p w14:paraId="0B26CC4E" w14:textId="4FE1C9E9" w:rsidR="0061791A" w:rsidRPr="002A5593" w:rsidRDefault="0061791A" w:rsidP="0061791A">
      <w:pPr>
        <w:rPr>
          <w:spacing w:val="2"/>
        </w:rPr>
      </w:pPr>
      <w:r w:rsidRPr="002A5593">
        <w:rPr>
          <w:spacing w:val="2"/>
        </w:rPr>
        <w:t xml:space="preserve">The evaluation data collection was undertaken consistent with the best practice principles in the </w:t>
      </w:r>
      <w:r w:rsidRPr="002A5593">
        <w:rPr>
          <w:i/>
          <w:spacing w:val="2"/>
        </w:rPr>
        <w:t>Indigenous Advancement Strategy Evaluation Framework</w:t>
      </w:r>
      <w:r w:rsidRPr="002A5593">
        <w:rPr>
          <w:spacing w:val="2"/>
        </w:rPr>
        <w:t>. These include the principles of respectful, ethical, and fit-for-purpose engagement. The primary data collection tools were drafted to ensure that data collection was respectful, collaborative, and strengths-based, responding to the context and able to integrate diverse Indigenous views.</w:t>
      </w:r>
    </w:p>
    <w:p w14:paraId="5E32A2EF" w14:textId="77777777" w:rsidR="0066093E" w:rsidRPr="00FE73DE" w:rsidRDefault="0066093E" w:rsidP="00FD40BC">
      <w:pPr>
        <w:pStyle w:val="Heading2"/>
        <w:ind w:left="720" w:hanging="720"/>
      </w:pPr>
      <w:bookmarkStart w:id="36" w:name="_Toc109569482"/>
      <w:bookmarkStart w:id="37" w:name="_Toc123734698"/>
      <w:r w:rsidRPr="00FE73DE">
        <w:t>Data analysis</w:t>
      </w:r>
      <w:bookmarkEnd w:id="36"/>
      <w:bookmarkEnd w:id="37"/>
    </w:p>
    <w:p w14:paraId="57A1A448" w14:textId="06FB2244" w:rsidR="0066093E" w:rsidRPr="00FE73DE" w:rsidRDefault="00C36BE7" w:rsidP="0066093E">
      <w:pPr>
        <w:spacing w:after="200" w:line="276" w:lineRule="auto"/>
      </w:pPr>
      <w:r>
        <w:t>Q</w:t>
      </w:r>
      <w:r w:rsidR="0066093E" w:rsidRPr="00FE73DE">
        <w:t>ualitative and qua</w:t>
      </w:r>
      <w:r w:rsidR="00615574" w:rsidRPr="00FE73DE">
        <w:t>nt</w:t>
      </w:r>
      <w:r w:rsidR="0066093E" w:rsidRPr="00FE73DE">
        <w:t xml:space="preserve">itative analysis methods </w:t>
      </w:r>
      <w:r>
        <w:t>were used</w:t>
      </w:r>
      <w:r w:rsidR="0066093E" w:rsidRPr="00FE73DE">
        <w:t xml:space="preserve"> on both primary and secondary data source</w:t>
      </w:r>
      <w:r w:rsidR="004A21BF">
        <w:t>s including:</w:t>
      </w:r>
    </w:p>
    <w:p w14:paraId="6F2848DA" w14:textId="5157EBBF" w:rsidR="0066093E" w:rsidRPr="00FE73DE" w:rsidRDefault="0066093E">
      <w:pPr>
        <w:pStyle w:val="ListBullet"/>
      </w:pPr>
      <w:r w:rsidRPr="00C36BE7">
        <w:rPr>
          <w:b/>
          <w:bCs/>
        </w:rPr>
        <w:t>Quantitative data analysis</w:t>
      </w:r>
      <w:r w:rsidRPr="00FE73DE">
        <w:t xml:space="preserve"> included statistical analysis, from basic descriptive statistics to complex analyses of the relationship</w:t>
      </w:r>
      <w:r w:rsidR="00C36BE7">
        <w:t>s</w:t>
      </w:r>
      <w:r w:rsidRPr="00FE73DE">
        <w:t xml:space="preserve"> between customer characteristics as appropriate for the various data sets</w:t>
      </w:r>
      <w:r w:rsidR="007031B2" w:rsidRPr="00FE73DE">
        <w:t xml:space="preserve"> (such as the primary survey data collected</w:t>
      </w:r>
      <w:r w:rsidR="00C36BE7">
        <w:t>,</w:t>
      </w:r>
      <w:r w:rsidR="007031B2" w:rsidRPr="00FE73DE">
        <w:t xml:space="preserve"> and IBA-provided customer data highlighted in section 4.1)</w:t>
      </w:r>
      <w:r w:rsidRPr="00FE73DE">
        <w:t xml:space="preserve">. </w:t>
      </w:r>
    </w:p>
    <w:p w14:paraId="7D073D3A" w14:textId="5E890F1B" w:rsidR="001B2043" w:rsidRDefault="0066093E" w:rsidP="00773B0E">
      <w:pPr>
        <w:pStyle w:val="ListBullet"/>
      </w:pPr>
      <w:r w:rsidRPr="000C762D">
        <w:rPr>
          <w:b/>
          <w:bCs/>
        </w:rPr>
        <w:t>Qualitative data analysis</w:t>
      </w:r>
      <w:r w:rsidRPr="00FE73DE">
        <w:t xml:space="preserve"> </w:t>
      </w:r>
      <w:r w:rsidR="001B2043">
        <w:t>of primary data sources including interview and survey</w:t>
      </w:r>
      <w:r w:rsidR="000C762D">
        <w:t>-</w:t>
      </w:r>
      <w:r w:rsidR="001B2043">
        <w:t xml:space="preserve">based material. This </w:t>
      </w:r>
      <w:r w:rsidR="001B2043" w:rsidRPr="00FE73DE">
        <w:t>included identification of themes, coding, and inductive analysis of important points against the analytical framework and program logic.</w:t>
      </w:r>
    </w:p>
    <w:p w14:paraId="37B832BE" w14:textId="77777777" w:rsidR="0066093E" w:rsidRPr="00FE73DE" w:rsidRDefault="0066093E" w:rsidP="004F2771">
      <w:pPr>
        <w:pStyle w:val="Heading2"/>
        <w:ind w:hanging="792"/>
      </w:pPr>
      <w:bookmarkStart w:id="38" w:name="_Toc109569483"/>
      <w:bookmarkStart w:id="39" w:name="_Toc123734699"/>
      <w:r w:rsidRPr="00FE73DE">
        <w:t>Ethics</w:t>
      </w:r>
      <w:bookmarkEnd w:id="38"/>
      <w:bookmarkEnd w:id="39"/>
    </w:p>
    <w:p w14:paraId="307F7811" w14:textId="6F6A2B77" w:rsidR="0066093E" w:rsidRPr="00FE73DE" w:rsidRDefault="0066093E" w:rsidP="0066093E">
      <w:r w:rsidRPr="00FE73DE">
        <w:t>The conduct of th</w:t>
      </w:r>
      <w:r w:rsidR="000A7B59" w:rsidRPr="00FE73DE">
        <w:t>e</w:t>
      </w:r>
      <w:r w:rsidRPr="00FE73DE">
        <w:t xml:space="preserve"> evaluation was guided by relevant standards and principles, including the Australasian Evaluation Society </w:t>
      </w:r>
      <w:r w:rsidRPr="00FE73DE">
        <w:rPr>
          <w:i/>
        </w:rPr>
        <w:t>Code of Ethics</w:t>
      </w:r>
      <w:r w:rsidRPr="00FE73DE">
        <w:t xml:space="preserve"> and </w:t>
      </w:r>
      <w:r w:rsidRPr="00FE73DE">
        <w:rPr>
          <w:i/>
        </w:rPr>
        <w:t xml:space="preserve">Guidelines for the Ethical Conduct of Evaluations </w:t>
      </w:r>
      <w:r w:rsidRPr="00FE73DE">
        <w:rPr>
          <w:iCs/>
        </w:rPr>
        <w:t xml:space="preserve">and </w:t>
      </w:r>
      <w:r w:rsidRPr="00FE73DE">
        <w:t>the values and principles for evaluation of Indigenous programs articulated the</w:t>
      </w:r>
      <w:r w:rsidRPr="00FE73DE">
        <w:rPr>
          <w:i/>
        </w:rPr>
        <w:t xml:space="preserve"> Indigenous</w:t>
      </w:r>
      <w:r w:rsidRPr="00FE73DE">
        <w:rPr>
          <w:rFonts w:ascii="Helvetica" w:hAnsi="Helvetica"/>
          <w:i/>
        </w:rPr>
        <w:t xml:space="preserve"> </w:t>
      </w:r>
      <w:r w:rsidRPr="00FE73DE">
        <w:rPr>
          <w:i/>
        </w:rPr>
        <w:t>Advancement Strategy Evaluation Framework.</w:t>
      </w:r>
    </w:p>
    <w:p w14:paraId="252E043C" w14:textId="77777777" w:rsidR="0066093E" w:rsidRPr="00FE73DE" w:rsidRDefault="0066093E" w:rsidP="0066093E">
      <w:r w:rsidRPr="00FE73DE">
        <w:t>In addition to these overarching principles for evaluation</w:t>
      </w:r>
      <w:r w:rsidRPr="00FE73DE">
        <w:rPr>
          <w:i/>
        </w:rPr>
        <w:t xml:space="preserve">, </w:t>
      </w:r>
      <w:r w:rsidRPr="00FE73DE">
        <w:t xml:space="preserve">the Australian Institute of Aboriginal and Torres Strait Islander Studies (AIATSIS) has created the </w:t>
      </w:r>
      <w:r w:rsidRPr="00FE73DE">
        <w:rPr>
          <w:i/>
        </w:rPr>
        <w:t>Guidelines for Ethical Research in Australian Indigenous Studies</w:t>
      </w:r>
      <w:r w:rsidRPr="00FE73DE">
        <w:t xml:space="preserve"> (GERAIS). Under the GERAIS, it is essential that Indigenous people are full participants in research projects that concern them, share an understanding of the aims and methods of the research, and share the results of this work. </w:t>
      </w:r>
    </w:p>
    <w:p w14:paraId="71654663" w14:textId="1EFC0EA0" w:rsidR="0066093E" w:rsidRPr="00FE73DE" w:rsidRDefault="0066093E" w:rsidP="007031B2">
      <w:r w:rsidRPr="00FE73DE">
        <w:t>The process of gaining ethics approval enhanced the design and delivery approach to the project in line with the GERAIS. Full ethics approval was provided by the AIATSIS Human Research Ethics Committee on 21 September 2021</w:t>
      </w:r>
      <w:r w:rsidR="007031B2" w:rsidRPr="00FE73DE">
        <w:t xml:space="preserve"> with reference number EO259-20210630</w:t>
      </w:r>
      <w:r w:rsidRPr="00FE73DE">
        <w:t>.</w:t>
      </w:r>
    </w:p>
    <w:p w14:paraId="554A46F0" w14:textId="77777777" w:rsidR="0066093E" w:rsidRPr="00FE73DE" w:rsidRDefault="0066093E" w:rsidP="004F2771">
      <w:pPr>
        <w:pStyle w:val="Heading2"/>
        <w:ind w:hanging="792"/>
      </w:pPr>
      <w:bookmarkStart w:id="40" w:name="_Toc109569484"/>
      <w:bookmarkStart w:id="41" w:name="_Toc123734700"/>
      <w:r w:rsidRPr="00FE73DE">
        <w:t>Limitations</w:t>
      </w:r>
      <w:bookmarkEnd w:id="40"/>
      <w:bookmarkEnd w:id="41"/>
    </w:p>
    <w:p w14:paraId="1D905283" w14:textId="72D8FE2D" w:rsidR="0066093E" w:rsidRPr="00FE73DE" w:rsidRDefault="0066093E" w:rsidP="0066093E">
      <w:r w:rsidRPr="00FE73DE">
        <w:t>The</w:t>
      </w:r>
      <w:r w:rsidR="00CB1B58">
        <w:t xml:space="preserve"> evaluation team experienced several</w:t>
      </w:r>
      <w:r w:rsidRPr="00FE73DE">
        <w:t xml:space="preserve"> </w:t>
      </w:r>
      <w:r w:rsidR="00D12C77">
        <w:t>key</w:t>
      </w:r>
      <w:r w:rsidR="007969EC">
        <w:t xml:space="preserve"> </w:t>
      </w:r>
      <w:r w:rsidRPr="00FE73DE">
        <w:t xml:space="preserve">limitations </w:t>
      </w:r>
      <w:r w:rsidR="00D12C77">
        <w:t xml:space="preserve">related to </w:t>
      </w:r>
      <w:r w:rsidR="00543194">
        <w:t xml:space="preserve">performance and financial </w:t>
      </w:r>
      <w:r w:rsidR="00D12C77">
        <w:t>data availability and adequacy including:</w:t>
      </w:r>
      <w:r w:rsidR="00D12C77" w:rsidRPr="00FE73DE" w:rsidDel="00D12C77">
        <w:t xml:space="preserve"> </w:t>
      </w:r>
    </w:p>
    <w:p w14:paraId="6ED20394" w14:textId="468C0A3D" w:rsidR="004B6121" w:rsidRPr="00FE73DE" w:rsidRDefault="00C36BE7">
      <w:pPr>
        <w:pStyle w:val="ListBullet"/>
      </w:pPr>
      <w:r>
        <w:t>S</w:t>
      </w:r>
      <w:r w:rsidR="004B6121" w:rsidRPr="00FE73DE">
        <w:t xml:space="preserve">ignificant difficulty in obtaining </w:t>
      </w:r>
      <w:r w:rsidR="007031B2" w:rsidRPr="00FE73DE">
        <w:t xml:space="preserve">relevant and appropriate </w:t>
      </w:r>
      <w:r w:rsidR="004B6121" w:rsidRPr="00FE73DE">
        <w:t>customer data from IBA</w:t>
      </w:r>
      <w:r w:rsidR="006A70A4">
        <w:t>’s systems</w:t>
      </w:r>
      <w:r w:rsidR="00AF016B" w:rsidRPr="00FE73DE">
        <w:t>.</w:t>
      </w:r>
      <w:r w:rsidR="006A70A4">
        <w:t xml:space="preserve"> In particular, IBA’s customer relationship management (CRM) system</w:t>
      </w:r>
      <w:r w:rsidR="00543194">
        <w:t>(s)</w:t>
      </w:r>
      <w:r w:rsidR="00543194" w:rsidRPr="00543194">
        <w:t xml:space="preserve"> </w:t>
      </w:r>
      <w:r w:rsidR="00543194">
        <w:t>used to capture BSP customer data was not purposely designed for the program. IBA was unable</w:t>
      </w:r>
      <w:r w:rsidR="006A70A4">
        <w:t xml:space="preserve"> </w:t>
      </w:r>
      <w:r w:rsidR="006A70A4" w:rsidRPr="00FF6BC2">
        <w:t>to extract the comprehensive customer data</w:t>
      </w:r>
      <w:r w:rsidR="006A70A4" w:rsidRPr="006A70A4">
        <w:t xml:space="preserve"> required to test the program</w:t>
      </w:r>
      <w:r w:rsidR="006A70A4">
        <w:t xml:space="preserve"> logic.</w:t>
      </w:r>
      <w:r w:rsidR="00543194" w:rsidRPr="00543194">
        <w:t xml:space="preserve"> </w:t>
      </w:r>
    </w:p>
    <w:p w14:paraId="37EC2AAF" w14:textId="0977CDB2" w:rsidR="004B6121" w:rsidRDefault="006A70A4">
      <w:pPr>
        <w:pStyle w:val="ListBullet"/>
      </w:pPr>
      <w:r>
        <w:t>The</w:t>
      </w:r>
      <w:r w:rsidR="004F3B4F">
        <w:t xml:space="preserve"> deidentified</w:t>
      </w:r>
      <w:r>
        <w:t xml:space="preserve"> </w:t>
      </w:r>
      <w:r w:rsidR="00543194">
        <w:t xml:space="preserve">customer </w:t>
      </w:r>
      <w:r>
        <w:t xml:space="preserve">datasets provided by IBA </w:t>
      </w:r>
      <w:r w:rsidR="00543194">
        <w:t xml:space="preserve">to the evaluation team </w:t>
      </w:r>
      <w:r>
        <w:t xml:space="preserve">were aligned to the </w:t>
      </w:r>
      <w:r w:rsidR="000B7C6C">
        <w:t>grant agreement’s</w:t>
      </w:r>
      <w:r>
        <w:t xml:space="preserve"> KPI</w:t>
      </w:r>
      <w:r w:rsidR="000B7C6C">
        <w:t>s</w:t>
      </w:r>
      <w:r>
        <w:t>. As a result, n</w:t>
      </w:r>
      <w:r w:rsidR="00C36BE7">
        <w:t>o</w:t>
      </w:r>
      <w:r w:rsidR="004B6121" w:rsidRPr="00FE73DE">
        <w:t xml:space="preserve"> unique identifier for </w:t>
      </w:r>
      <w:r w:rsidR="00FF6BC2">
        <w:t>each</w:t>
      </w:r>
      <w:r w:rsidR="004B6121" w:rsidRPr="00FE73DE">
        <w:t xml:space="preserve"> business customer </w:t>
      </w:r>
      <w:r>
        <w:t xml:space="preserve">was included </w:t>
      </w:r>
      <w:r w:rsidR="004B6121" w:rsidRPr="00FE73DE">
        <w:t>in the provided datasets</w:t>
      </w:r>
      <w:r w:rsidR="00FF6BC2">
        <w:t xml:space="preserve">. This </w:t>
      </w:r>
      <w:r w:rsidR="004B6121" w:rsidRPr="00FE73DE">
        <w:t xml:space="preserve">meant an assessment could not be made of </w:t>
      </w:r>
      <w:r w:rsidR="002B32C2">
        <w:t>a</w:t>
      </w:r>
      <w:r w:rsidR="002B32C2" w:rsidRPr="00FE73DE">
        <w:t xml:space="preserve"> </w:t>
      </w:r>
      <w:r w:rsidR="004B6121" w:rsidRPr="00FE73DE">
        <w:t>customer’s journey across the various business support and financial service product offerings, or across the same service over multiple years</w:t>
      </w:r>
      <w:r w:rsidR="00AF016B" w:rsidRPr="00FE73DE">
        <w:t>.</w:t>
      </w:r>
    </w:p>
    <w:p w14:paraId="5F3F4234" w14:textId="2CCD3CD2" w:rsidR="004D20AC" w:rsidRDefault="004D20AC" w:rsidP="004D20AC">
      <w:pPr>
        <w:pStyle w:val="ListBullet"/>
      </w:pPr>
      <w:r>
        <w:t xml:space="preserve">The customer data </w:t>
      </w:r>
      <w:r w:rsidR="00CB1B58">
        <w:t xml:space="preserve">for </w:t>
      </w:r>
      <w:r>
        <w:t xml:space="preserve">external business support related to the value of support. While this </w:t>
      </w:r>
      <w:r w:rsidRPr="00FE73DE">
        <w:t xml:space="preserve">enabled some analysis in relation to customer demographics, it was insufficient for analysis </w:t>
      </w:r>
      <w:r w:rsidR="00CB1B58">
        <w:t>of</w:t>
      </w:r>
      <w:r w:rsidR="00CB1B58" w:rsidRPr="00FE73DE">
        <w:t xml:space="preserve"> </w:t>
      </w:r>
      <w:r w:rsidRPr="00FE73DE">
        <w:t xml:space="preserve">the overall types of assistance being provided across the country. It was also insufficient to enable any patterns of demand for </w:t>
      </w:r>
      <w:r w:rsidR="00CB1B58">
        <w:t xml:space="preserve">different </w:t>
      </w:r>
      <w:r>
        <w:t xml:space="preserve">types of </w:t>
      </w:r>
      <w:r w:rsidRPr="00FE73DE">
        <w:t xml:space="preserve">assistance to be identified. </w:t>
      </w:r>
    </w:p>
    <w:p w14:paraId="031AE168" w14:textId="531FCB7B" w:rsidR="007560B5" w:rsidRPr="00FE73DE" w:rsidRDefault="007560B5" w:rsidP="007560B5">
      <w:pPr>
        <w:pStyle w:val="ListBullet"/>
      </w:pPr>
      <w:r w:rsidRPr="00FE73DE">
        <w:rPr>
          <w:szCs w:val="24"/>
        </w:rPr>
        <w:t xml:space="preserve">Neither the </w:t>
      </w:r>
      <w:r>
        <w:rPr>
          <w:szCs w:val="24"/>
        </w:rPr>
        <w:t xml:space="preserve">BSP </w:t>
      </w:r>
      <w:r w:rsidRPr="00FE73DE">
        <w:rPr>
          <w:szCs w:val="24"/>
        </w:rPr>
        <w:t>grant agreement</w:t>
      </w:r>
      <w:r w:rsidR="00CB1B58">
        <w:rPr>
          <w:szCs w:val="24"/>
        </w:rPr>
        <w:t xml:space="preserve"> n</w:t>
      </w:r>
      <w:r w:rsidRPr="00FE73DE">
        <w:rPr>
          <w:szCs w:val="24"/>
        </w:rPr>
        <w:t xml:space="preserve">or the grant annual reconciliations require the reporting of </w:t>
      </w:r>
      <w:r>
        <w:rPr>
          <w:szCs w:val="24"/>
        </w:rPr>
        <w:t xml:space="preserve">BSP </w:t>
      </w:r>
      <w:r w:rsidRPr="00FE73DE">
        <w:rPr>
          <w:szCs w:val="24"/>
        </w:rPr>
        <w:t xml:space="preserve">expenses in further detail than operational expenses and capital expenses. As a result, the evaluation was not able to distinguish how much IBA spends </w:t>
      </w:r>
      <w:r>
        <w:rPr>
          <w:szCs w:val="24"/>
        </w:rPr>
        <w:t xml:space="preserve">across each of the </w:t>
      </w:r>
      <w:r w:rsidRPr="00FE73DE">
        <w:rPr>
          <w:szCs w:val="24"/>
        </w:rPr>
        <w:t>offerings.</w:t>
      </w:r>
    </w:p>
    <w:p w14:paraId="6C8FCB2C" w14:textId="627546F3" w:rsidR="002B32C2" w:rsidRDefault="002B32C2" w:rsidP="002B32C2">
      <w:pPr>
        <w:pStyle w:val="ListBullet"/>
      </w:pPr>
      <w:r>
        <w:t>T</w:t>
      </w:r>
      <w:r w:rsidRPr="00FE73DE">
        <w:t xml:space="preserve">he failure to capture data on </w:t>
      </w:r>
      <w:r w:rsidR="002C5EE6">
        <w:t xml:space="preserve">overall </w:t>
      </w:r>
      <w:r w:rsidRPr="00FE73DE">
        <w:t xml:space="preserve">demand for BSP </w:t>
      </w:r>
      <w:r w:rsidR="002C5EE6">
        <w:t xml:space="preserve">assistance </w:t>
      </w:r>
      <w:r w:rsidRPr="00FE73DE">
        <w:t>makes it impossible to assess whether the program’s products and services met the needs of the broader potential client base</w:t>
      </w:r>
      <w:r>
        <w:t>.</w:t>
      </w:r>
    </w:p>
    <w:p w14:paraId="3F6178DD" w14:textId="22F0CFC1" w:rsidR="00247021" w:rsidRPr="00FE73DE" w:rsidRDefault="00247021">
      <w:pPr>
        <w:pStyle w:val="ListBullet"/>
      </w:pPr>
      <w:r w:rsidRPr="00FE73DE">
        <w:rPr>
          <w:szCs w:val="24"/>
        </w:rPr>
        <w:t>Over the evaluation period</w:t>
      </w:r>
      <w:r>
        <w:rPr>
          <w:szCs w:val="24"/>
        </w:rPr>
        <w:t>,</w:t>
      </w:r>
      <w:r w:rsidRPr="00FE73DE">
        <w:rPr>
          <w:szCs w:val="24"/>
        </w:rPr>
        <w:t xml:space="preserve"> changes </w:t>
      </w:r>
      <w:r>
        <w:rPr>
          <w:szCs w:val="24"/>
        </w:rPr>
        <w:t>were</w:t>
      </w:r>
      <w:r w:rsidRPr="00FE73DE">
        <w:rPr>
          <w:szCs w:val="24"/>
        </w:rPr>
        <w:t xml:space="preserve"> made to the BSP KPIs by agreement between IBA and NIAA. Significant change occurred between the initial (interim) grant agreement in place for one year (2016</w:t>
      </w:r>
      <w:r>
        <w:rPr>
          <w:rFonts w:ascii="Franklin Gothic Book" w:hAnsi="Franklin Gothic Book"/>
          <w:szCs w:val="24"/>
        </w:rPr>
        <w:t>–</w:t>
      </w:r>
      <w:r w:rsidRPr="00FE73DE">
        <w:rPr>
          <w:szCs w:val="24"/>
        </w:rPr>
        <w:t xml:space="preserve">17), and the more comprehensive agreement covering 1 July 2017 to present. Minor adjustments to targets have occurred in subsequent years. These changes make time series analysis over the full evaluation </w:t>
      </w:r>
      <w:r w:rsidR="007560B5">
        <w:rPr>
          <w:szCs w:val="24"/>
        </w:rPr>
        <w:t xml:space="preserve">period </w:t>
      </w:r>
      <w:r w:rsidR="00CB1B58">
        <w:rPr>
          <w:szCs w:val="24"/>
        </w:rPr>
        <w:t>im</w:t>
      </w:r>
      <w:r w:rsidRPr="00FE73DE">
        <w:rPr>
          <w:szCs w:val="24"/>
        </w:rPr>
        <w:t>possible.</w:t>
      </w:r>
    </w:p>
    <w:p w14:paraId="001F23D3" w14:textId="17386B8B" w:rsidR="004B6121" w:rsidRPr="00FE73DE" w:rsidRDefault="00C36BE7">
      <w:pPr>
        <w:pStyle w:val="ListBullet"/>
      </w:pPr>
      <w:r>
        <w:t>L</w:t>
      </w:r>
      <w:r w:rsidR="004B6121" w:rsidRPr="00FE73DE">
        <w:t>ow response rate to</w:t>
      </w:r>
      <w:r>
        <w:t xml:space="preserve"> the</w:t>
      </w:r>
      <w:r w:rsidR="004B6121" w:rsidRPr="00FE73DE">
        <w:t xml:space="preserve"> Indigenous business survey </w:t>
      </w:r>
      <w:r w:rsidR="007560B5">
        <w:t xml:space="preserve">(n=71) </w:t>
      </w:r>
      <w:r w:rsidR="004B6121" w:rsidRPr="00FE73DE">
        <w:t xml:space="preserve">and subsequent follow-up discussions </w:t>
      </w:r>
      <w:r w:rsidR="007560B5">
        <w:t xml:space="preserve">(n=12) </w:t>
      </w:r>
      <w:r w:rsidR="004B6121" w:rsidRPr="00FE73DE">
        <w:t xml:space="preserve">mean findings are indicative rather than statistically representative across the Indigenous business sector. </w:t>
      </w:r>
    </w:p>
    <w:p w14:paraId="15F2DB30" w14:textId="407E0D7D" w:rsidR="00BC5B4A" w:rsidRDefault="00C36BE7" w:rsidP="00BC5B4A">
      <w:pPr>
        <w:pStyle w:val="ListBullet"/>
      </w:pPr>
      <w:r>
        <w:t>L</w:t>
      </w:r>
      <w:r w:rsidR="0001130F" w:rsidRPr="00FE73DE">
        <w:t xml:space="preserve">ow response rate to </w:t>
      </w:r>
      <w:r>
        <w:t xml:space="preserve">the </w:t>
      </w:r>
      <w:r w:rsidR="0001130F" w:rsidRPr="00FE73DE">
        <w:t>delivery partner survey</w:t>
      </w:r>
      <w:r w:rsidR="007560B5">
        <w:t xml:space="preserve"> (n=24)</w:t>
      </w:r>
      <w:r w:rsidR="0001130F" w:rsidRPr="00FE73DE">
        <w:t xml:space="preserve"> and subsequent follow-up discussions </w:t>
      </w:r>
      <w:r w:rsidR="007560B5">
        <w:t xml:space="preserve">(n=10) </w:t>
      </w:r>
      <w:r w:rsidR="0001130F" w:rsidRPr="00FE73DE">
        <w:t xml:space="preserve">mean findings are indicative rather than statistically representative across the BSP delivery partners. </w:t>
      </w:r>
    </w:p>
    <w:bookmarkEnd w:id="22"/>
    <w:p w14:paraId="1AD58E1A" w14:textId="05B28F3B" w:rsidR="002B0161" w:rsidRPr="00FE73DE" w:rsidRDefault="00CB1B58" w:rsidP="00014F2B">
      <w:r>
        <w:t xml:space="preserve">The cumulative effect of these limitations is that the evaluation findings are less detailed and nuanced </w:t>
      </w:r>
      <w:r w:rsidR="002C5EE6">
        <w:t xml:space="preserve">than </w:t>
      </w:r>
      <w:r>
        <w:t>ideal.</w:t>
      </w:r>
      <w:r w:rsidR="002C5EE6">
        <w:t xml:space="preserve"> The absence of specific support details as compared to financial expense information has meant that the cost effectiveness of BSP outputs could not be assessed. </w:t>
      </w:r>
    </w:p>
    <w:p w14:paraId="78934096" w14:textId="77777777" w:rsidR="00C92456" w:rsidRPr="00FE73DE" w:rsidRDefault="00C92456">
      <w:pPr>
        <w:spacing w:after="200" w:line="276" w:lineRule="auto"/>
        <w:jc w:val="left"/>
        <w:rPr>
          <w:rFonts w:asciiTheme="majorHAnsi" w:hAnsiTheme="majorHAnsi"/>
          <w:b/>
          <w:color w:val="51852F" w:themeColor="accent2" w:themeShade="BF"/>
          <w:kern w:val="10"/>
          <w:sz w:val="32"/>
          <w:szCs w:val="32"/>
        </w:rPr>
      </w:pPr>
      <w:r w:rsidRPr="00FE73DE">
        <w:br w:type="page"/>
      </w:r>
    </w:p>
    <w:p w14:paraId="58C0E357" w14:textId="708BE590" w:rsidR="0092539F" w:rsidRPr="00FE73DE" w:rsidRDefault="008B4C03">
      <w:pPr>
        <w:pStyle w:val="Heading1"/>
      </w:pPr>
      <w:bookmarkStart w:id="42" w:name="_Toc123734701"/>
      <w:r w:rsidRPr="00FE73DE">
        <w:t xml:space="preserve">Program </w:t>
      </w:r>
      <w:r w:rsidR="00B11880">
        <w:t>d</w:t>
      </w:r>
      <w:r w:rsidRPr="00FE73DE">
        <w:t>esign</w:t>
      </w:r>
      <w:bookmarkEnd w:id="42"/>
    </w:p>
    <w:p w14:paraId="086CB65E" w14:textId="272EDEA5" w:rsidR="00105D59" w:rsidRPr="00FE73DE" w:rsidRDefault="00DE0F37" w:rsidP="00914139">
      <w:r w:rsidRPr="00FE73DE">
        <w:t>This section</w:t>
      </w:r>
      <w:r w:rsidRPr="00FE73DE">
        <w:rPr>
          <w:b/>
          <w:bCs/>
        </w:rPr>
        <w:t xml:space="preserve"> </w:t>
      </w:r>
      <w:r w:rsidR="00C8781C" w:rsidRPr="00FE73DE">
        <w:rPr>
          <w:szCs w:val="24"/>
        </w:rPr>
        <w:t xml:space="preserve">focuses on examining the appropriateness of the policy design of the </w:t>
      </w:r>
      <w:r w:rsidR="009849BC">
        <w:rPr>
          <w:szCs w:val="24"/>
        </w:rPr>
        <w:t>BSP</w:t>
      </w:r>
      <w:r w:rsidRPr="00FE73DE">
        <w:rPr>
          <w:szCs w:val="24"/>
        </w:rPr>
        <w:t xml:space="preserve">, and answering the following </w:t>
      </w:r>
      <w:r w:rsidR="00914139" w:rsidRPr="00FE73DE">
        <w:t>overarching evaluation questions</w:t>
      </w:r>
      <w:r w:rsidR="00105D59" w:rsidRPr="00FE73DE">
        <w:t>:</w:t>
      </w:r>
    </w:p>
    <w:p w14:paraId="7E5223F3" w14:textId="2EAEB845" w:rsidR="00105D59" w:rsidRPr="007F34B0" w:rsidRDefault="00105D59">
      <w:pPr>
        <w:pStyle w:val="ListBullet"/>
        <w:rPr>
          <w:spacing w:val="2"/>
        </w:rPr>
      </w:pPr>
      <w:r w:rsidRPr="007F34B0">
        <w:rPr>
          <w:spacing w:val="2"/>
        </w:rPr>
        <w:t>Is the suite of products and services delivered under the BSP aligned with the policy intent?</w:t>
      </w:r>
    </w:p>
    <w:p w14:paraId="188E29DE" w14:textId="34B1A029" w:rsidR="00105D59" w:rsidRPr="00FE73DE" w:rsidRDefault="00105D59">
      <w:pPr>
        <w:pStyle w:val="ListBullet"/>
      </w:pPr>
      <w:r w:rsidRPr="00FE73DE">
        <w:t>Is the program design aligned with</w:t>
      </w:r>
      <w:r w:rsidR="009849BC">
        <w:t xml:space="preserve"> the</w:t>
      </w:r>
      <w:r w:rsidRPr="00FE73DE">
        <w:t xml:space="preserve"> IBSS suite of services</w:t>
      </w:r>
      <w:r w:rsidR="005C3630">
        <w:rPr>
          <w:rStyle w:val="FootnoteReference"/>
        </w:rPr>
        <w:footnoteReference w:id="12"/>
      </w:r>
      <w:r w:rsidRPr="00FE73DE">
        <w:t>?</w:t>
      </w:r>
    </w:p>
    <w:p w14:paraId="63C004AB" w14:textId="7CED4FF6" w:rsidR="009170C4" w:rsidRPr="00FE73DE" w:rsidRDefault="009170C4">
      <w:pPr>
        <w:pStyle w:val="ListBullet"/>
      </w:pPr>
      <w:r w:rsidRPr="00FE73DE">
        <w:t>Are there any learnings from the design and delivery of the COVID-19 support package that could be applied to the BSP?</w:t>
      </w:r>
    </w:p>
    <w:p w14:paraId="45713CCD" w14:textId="6E2E42EE" w:rsidR="00C8781C" w:rsidRPr="00FE73DE" w:rsidRDefault="00D47463" w:rsidP="00914139">
      <w:r w:rsidRPr="00FE73DE">
        <w:t xml:space="preserve">This section </w:t>
      </w:r>
      <w:r w:rsidR="00C8781C" w:rsidRPr="00FE73DE">
        <w:t xml:space="preserve">includes </w:t>
      </w:r>
      <w:r w:rsidR="005C3630">
        <w:t>two</w:t>
      </w:r>
      <w:r w:rsidR="00C8781C" w:rsidRPr="00FE73DE">
        <w:t xml:space="preserve"> key aspects:</w:t>
      </w:r>
    </w:p>
    <w:p w14:paraId="3EA72B05" w14:textId="1E74DA01" w:rsidR="00C8781C" w:rsidRPr="00FE73DE" w:rsidRDefault="00C8781C">
      <w:pPr>
        <w:pStyle w:val="ListBullet"/>
      </w:pPr>
      <w:r w:rsidRPr="00FE73DE">
        <w:t>The extent to which the current policy design meets the policy requirements of the BSP since 2016 when it became a grant program</w:t>
      </w:r>
    </w:p>
    <w:p w14:paraId="5B78973E" w14:textId="4696D900" w:rsidR="00C8781C" w:rsidRPr="00FE73DE" w:rsidRDefault="00C8781C">
      <w:pPr>
        <w:pStyle w:val="ListBullet"/>
      </w:pPr>
      <w:r w:rsidRPr="00FE73DE">
        <w:t>BSP being a component of a broader business ecosystem as reflected in key strateg</w:t>
      </w:r>
      <w:r w:rsidR="009849BC">
        <w:t>ies</w:t>
      </w:r>
      <w:r w:rsidRPr="00FE73DE">
        <w:t xml:space="preserve"> such as the IBSS</w:t>
      </w:r>
      <w:r w:rsidR="00DE0F37" w:rsidRPr="00FE73DE">
        <w:t>.</w:t>
      </w:r>
    </w:p>
    <w:tbl>
      <w:tblPr>
        <w:tblStyle w:val="Summaryboxtablestyle"/>
        <w:tblW w:w="5000" w:type="pct"/>
        <w:tblLook w:val="04A0" w:firstRow="1" w:lastRow="0" w:firstColumn="1" w:lastColumn="0" w:noHBand="0" w:noVBand="1"/>
      </w:tblPr>
      <w:tblGrid>
        <w:gridCol w:w="8890"/>
      </w:tblGrid>
      <w:tr w:rsidR="006776BC" w:rsidRPr="00FE73DE" w14:paraId="1694B727" w14:textId="77777777" w:rsidTr="009278D1">
        <w:trPr>
          <w:cnfStyle w:val="100000000000" w:firstRow="1" w:lastRow="0" w:firstColumn="0" w:lastColumn="0" w:oddVBand="0" w:evenVBand="0" w:oddHBand="0" w:evenHBand="0" w:firstRowFirstColumn="0" w:firstRowLastColumn="0" w:lastRowFirstColumn="0" w:lastRowLastColumn="0"/>
          <w:tblHeader/>
        </w:trPr>
        <w:tc>
          <w:tcPr>
            <w:tcW w:w="5000" w:type="pct"/>
          </w:tcPr>
          <w:p w14:paraId="51DFED05" w14:textId="61DF9704" w:rsidR="006776BC" w:rsidRPr="00FE73DE" w:rsidRDefault="00157296" w:rsidP="00102BEB">
            <w:pPr>
              <w:pStyle w:val="TableText"/>
              <w:rPr>
                <w:b w:val="0"/>
              </w:rPr>
            </w:pPr>
            <w:r>
              <w:t>Findings Summary –</w:t>
            </w:r>
            <w:r w:rsidR="006776BC" w:rsidRPr="00FE73DE">
              <w:t xml:space="preserve"> Program </w:t>
            </w:r>
            <w:r w:rsidR="00B11880">
              <w:t>d</w:t>
            </w:r>
            <w:r w:rsidR="006776BC" w:rsidRPr="00FE73DE">
              <w:t>esign</w:t>
            </w:r>
          </w:p>
        </w:tc>
      </w:tr>
      <w:tr w:rsidR="006776BC" w:rsidRPr="00FE73DE" w14:paraId="3BA603EB" w14:textId="77777777" w:rsidTr="009170C4">
        <w:trPr>
          <w:trHeight w:val="497"/>
        </w:trPr>
        <w:tc>
          <w:tcPr>
            <w:tcW w:w="5000" w:type="pct"/>
          </w:tcPr>
          <w:p w14:paraId="036998E6" w14:textId="77777777" w:rsidR="002732E6" w:rsidRPr="00EE7E76" w:rsidRDefault="002732E6" w:rsidP="00EE7E76">
            <w:pPr>
              <w:pStyle w:val="Findingssummarylist"/>
              <w:rPr>
                <w:sz w:val="22"/>
                <w:szCs w:val="22"/>
              </w:rPr>
            </w:pPr>
            <w:r w:rsidRPr="00EE7E76">
              <w:rPr>
                <w:sz w:val="22"/>
                <w:szCs w:val="22"/>
              </w:rPr>
              <w:t xml:space="preserve">The evaluation found that the suite of financial products and business support services delivered under the BSP was aligned with the overarching policy intent of supporting Indigenous businesses classified as early stage, pre-bank, and high risk, and those operating in regional and remote Australia. </w:t>
            </w:r>
          </w:p>
          <w:p w14:paraId="6EB4D0BF" w14:textId="2E5E737C" w:rsidR="002732E6" w:rsidRPr="00EE7E76" w:rsidRDefault="002732E6" w:rsidP="007E2F3A">
            <w:pPr>
              <w:pStyle w:val="Findingssummarylist"/>
              <w:rPr>
                <w:sz w:val="22"/>
                <w:szCs w:val="22"/>
              </w:rPr>
            </w:pPr>
            <w:r w:rsidRPr="00724A15">
              <w:rPr>
                <w:sz w:val="22"/>
                <w:szCs w:val="22"/>
              </w:rPr>
              <w:t xml:space="preserve">It is important to note that program design was also influenced by factors other than the overarching policy intent. </w:t>
            </w:r>
            <w:r w:rsidRPr="00EE7E76">
              <w:rPr>
                <w:sz w:val="22"/>
                <w:szCs w:val="22"/>
              </w:rPr>
              <w:t xml:space="preserve">Notably, </w:t>
            </w:r>
            <w:r w:rsidR="00BB7EEF">
              <w:rPr>
                <w:sz w:val="22"/>
                <w:szCs w:val="22"/>
              </w:rPr>
              <w:t xml:space="preserve">the </w:t>
            </w:r>
            <w:r w:rsidRPr="00EE7E76">
              <w:rPr>
                <w:sz w:val="22"/>
                <w:szCs w:val="22"/>
              </w:rPr>
              <w:t>BSP design was guided by the IBSS, the design of the previous program (BDAP), the IAS grant approaches, and the need to achieve program KPIs. However, these additional influences did not derail the BSP’s overall alignment with the policy intent; rather, they shaped the design of specific activities</w:t>
            </w:r>
            <w:r w:rsidR="00724A15">
              <w:rPr>
                <w:sz w:val="22"/>
                <w:szCs w:val="22"/>
              </w:rPr>
              <w:t>.</w:t>
            </w:r>
          </w:p>
          <w:p w14:paraId="3148F504" w14:textId="4A9E979C" w:rsidR="00730057" w:rsidRDefault="00707B68" w:rsidP="002B0F40">
            <w:pPr>
              <w:pStyle w:val="Findingssummarylist"/>
              <w:rPr>
                <w:sz w:val="22"/>
                <w:szCs w:val="22"/>
              </w:rPr>
            </w:pPr>
            <w:r w:rsidRPr="00FE73DE">
              <w:rPr>
                <w:sz w:val="22"/>
                <w:szCs w:val="22"/>
              </w:rPr>
              <w:t>The</w:t>
            </w:r>
            <w:r w:rsidR="005C3630">
              <w:rPr>
                <w:sz w:val="22"/>
                <w:szCs w:val="22"/>
              </w:rPr>
              <w:t xml:space="preserve"> design of </w:t>
            </w:r>
            <w:r w:rsidRPr="00FE73DE">
              <w:rPr>
                <w:sz w:val="22"/>
                <w:szCs w:val="22"/>
              </w:rPr>
              <w:t>the BSP places a high focus on meeting KPIs</w:t>
            </w:r>
            <w:r w:rsidR="00BD6580">
              <w:rPr>
                <w:sz w:val="22"/>
                <w:szCs w:val="22"/>
              </w:rPr>
              <w:t xml:space="preserve"> (linked to payment)</w:t>
            </w:r>
            <w:r w:rsidR="00157296">
              <w:rPr>
                <w:sz w:val="22"/>
                <w:szCs w:val="22"/>
              </w:rPr>
              <w:t xml:space="preserve">. This </w:t>
            </w:r>
            <w:r w:rsidR="00C04B85">
              <w:rPr>
                <w:sz w:val="22"/>
                <w:szCs w:val="22"/>
              </w:rPr>
              <w:t xml:space="preserve">has </w:t>
            </w:r>
            <w:r w:rsidR="00157296">
              <w:rPr>
                <w:sz w:val="22"/>
                <w:szCs w:val="22"/>
              </w:rPr>
              <w:t xml:space="preserve">led to a lack of </w:t>
            </w:r>
            <w:r w:rsidR="00C04B85">
              <w:rPr>
                <w:sz w:val="22"/>
                <w:szCs w:val="22"/>
              </w:rPr>
              <w:t xml:space="preserve">focus on achieving program components </w:t>
            </w:r>
            <w:r w:rsidR="005C3630">
              <w:rPr>
                <w:sz w:val="22"/>
                <w:szCs w:val="22"/>
              </w:rPr>
              <w:t>where no KPI was specified</w:t>
            </w:r>
            <w:r w:rsidR="00157296">
              <w:rPr>
                <w:sz w:val="22"/>
                <w:szCs w:val="22"/>
              </w:rPr>
              <w:t>,</w:t>
            </w:r>
            <w:r w:rsidR="005C3630">
              <w:rPr>
                <w:sz w:val="22"/>
                <w:szCs w:val="22"/>
              </w:rPr>
              <w:t xml:space="preserve"> </w:t>
            </w:r>
            <w:r w:rsidR="00C04B85">
              <w:rPr>
                <w:sz w:val="22"/>
                <w:szCs w:val="22"/>
              </w:rPr>
              <w:t xml:space="preserve">such as </w:t>
            </w:r>
            <w:r w:rsidR="005C3630">
              <w:rPr>
                <w:sz w:val="22"/>
                <w:szCs w:val="22"/>
              </w:rPr>
              <w:t xml:space="preserve">the development of </w:t>
            </w:r>
            <w:r w:rsidR="00BB7EEF">
              <w:rPr>
                <w:sz w:val="22"/>
                <w:szCs w:val="22"/>
              </w:rPr>
              <w:t xml:space="preserve">a </w:t>
            </w:r>
            <w:r w:rsidR="00C04B85">
              <w:rPr>
                <w:sz w:val="22"/>
                <w:szCs w:val="22"/>
              </w:rPr>
              <w:t xml:space="preserve">referral process </w:t>
            </w:r>
            <w:r w:rsidR="005C3630">
              <w:rPr>
                <w:sz w:val="22"/>
                <w:szCs w:val="22"/>
              </w:rPr>
              <w:t>to other Indigenous business support activities</w:t>
            </w:r>
            <w:r w:rsidR="00C04B85">
              <w:rPr>
                <w:sz w:val="22"/>
                <w:szCs w:val="22"/>
              </w:rPr>
              <w:t>.</w:t>
            </w:r>
          </w:p>
          <w:p w14:paraId="0E0F985E" w14:textId="2C36663C" w:rsidR="00BD6580" w:rsidRDefault="003F21E1" w:rsidP="001A5C39">
            <w:pPr>
              <w:pStyle w:val="Findingssummarylist"/>
              <w:rPr>
                <w:sz w:val="22"/>
                <w:szCs w:val="22"/>
              </w:rPr>
            </w:pPr>
            <w:r>
              <w:rPr>
                <w:sz w:val="22"/>
                <w:szCs w:val="22"/>
              </w:rPr>
              <w:t>Aligned to the policy intent, t</w:t>
            </w:r>
            <w:r w:rsidR="001A5C39" w:rsidRPr="00FE73DE">
              <w:rPr>
                <w:sz w:val="22"/>
                <w:szCs w:val="22"/>
              </w:rPr>
              <w:t xml:space="preserve">he suite of products and services available under the BSP are generic in nature, with </w:t>
            </w:r>
            <w:r w:rsidR="00F9267A">
              <w:rPr>
                <w:sz w:val="22"/>
                <w:szCs w:val="22"/>
              </w:rPr>
              <w:t xml:space="preserve">the </w:t>
            </w:r>
            <w:r w:rsidR="001A5C39" w:rsidRPr="00FE73DE">
              <w:rPr>
                <w:sz w:val="22"/>
                <w:szCs w:val="22"/>
              </w:rPr>
              <w:t xml:space="preserve">design enabling tailored, bespoke </w:t>
            </w:r>
            <w:r w:rsidR="00F9267A">
              <w:rPr>
                <w:sz w:val="22"/>
                <w:szCs w:val="22"/>
              </w:rPr>
              <w:t>service delivery</w:t>
            </w:r>
            <w:r w:rsidR="00BD6580">
              <w:rPr>
                <w:sz w:val="22"/>
                <w:szCs w:val="22"/>
              </w:rPr>
              <w:t xml:space="preserve"> for individual client circumstances (such as </w:t>
            </w:r>
            <w:r w:rsidR="00BD6580" w:rsidRPr="00FE73DE">
              <w:rPr>
                <w:sz w:val="22"/>
                <w:szCs w:val="22"/>
              </w:rPr>
              <w:t>varying business readiness, capability</w:t>
            </w:r>
            <w:r w:rsidR="00BD6580">
              <w:rPr>
                <w:sz w:val="22"/>
                <w:szCs w:val="22"/>
              </w:rPr>
              <w:t>,</w:t>
            </w:r>
            <w:r w:rsidR="00BD6580" w:rsidRPr="00FE73DE">
              <w:rPr>
                <w:sz w:val="22"/>
                <w:szCs w:val="22"/>
              </w:rPr>
              <w:t xml:space="preserve"> and needs</w:t>
            </w:r>
            <w:r w:rsidR="00BD6580">
              <w:rPr>
                <w:sz w:val="22"/>
                <w:szCs w:val="22"/>
              </w:rPr>
              <w:t>)</w:t>
            </w:r>
            <w:r w:rsidR="001A5C39" w:rsidRPr="00FE73DE">
              <w:rPr>
                <w:sz w:val="22"/>
                <w:szCs w:val="22"/>
              </w:rPr>
              <w:t xml:space="preserve">. </w:t>
            </w:r>
          </w:p>
          <w:p w14:paraId="3DFF6AD5" w14:textId="7E8DCBFA" w:rsidR="001A5C39" w:rsidRPr="00FE73DE" w:rsidRDefault="00707B68" w:rsidP="001A5C39">
            <w:pPr>
              <w:pStyle w:val="Findingssummarylist"/>
              <w:rPr>
                <w:sz w:val="22"/>
                <w:szCs w:val="22"/>
              </w:rPr>
            </w:pPr>
            <w:r w:rsidRPr="00FE73DE">
              <w:rPr>
                <w:sz w:val="22"/>
                <w:szCs w:val="22"/>
              </w:rPr>
              <w:t>The design of the program is aligned to the suite of services</w:t>
            </w:r>
            <w:r w:rsidR="00BD6580">
              <w:rPr>
                <w:sz w:val="22"/>
                <w:szCs w:val="22"/>
              </w:rPr>
              <w:t xml:space="preserve"> that were</w:t>
            </w:r>
            <w:r w:rsidRPr="00FE73DE">
              <w:rPr>
                <w:sz w:val="22"/>
                <w:szCs w:val="22"/>
              </w:rPr>
              <w:t xml:space="preserve"> </w:t>
            </w:r>
            <w:r w:rsidR="00BD6580">
              <w:rPr>
                <w:sz w:val="22"/>
                <w:szCs w:val="22"/>
              </w:rPr>
              <w:t xml:space="preserve">anticipated to be delivered </w:t>
            </w:r>
            <w:r w:rsidRPr="00FE73DE">
              <w:rPr>
                <w:sz w:val="22"/>
                <w:szCs w:val="22"/>
              </w:rPr>
              <w:t>under the IBSS</w:t>
            </w:r>
            <w:r w:rsidR="007D5829">
              <w:rPr>
                <w:sz w:val="22"/>
                <w:szCs w:val="22"/>
              </w:rPr>
              <w:t xml:space="preserve">, </w:t>
            </w:r>
            <w:r w:rsidR="00F1472D">
              <w:rPr>
                <w:sz w:val="22"/>
                <w:szCs w:val="22"/>
              </w:rPr>
              <w:t>including better access to business support, improved access to finance, and stronger connections and networks</w:t>
            </w:r>
            <w:r w:rsidRPr="00FE73DE">
              <w:rPr>
                <w:sz w:val="22"/>
                <w:szCs w:val="22"/>
              </w:rPr>
              <w:t>.</w:t>
            </w:r>
            <w:r w:rsidR="00724A15">
              <w:rPr>
                <w:sz w:val="22"/>
                <w:szCs w:val="22"/>
              </w:rPr>
              <w:t xml:space="preserve"> This </w:t>
            </w:r>
            <w:r w:rsidR="00157296">
              <w:rPr>
                <w:sz w:val="22"/>
                <w:szCs w:val="22"/>
              </w:rPr>
              <w:t xml:space="preserve">alignment </w:t>
            </w:r>
            <w:r w:rsidR="00724A15">
              <w:rPr>
                <w:sz w:val="22"/>
                <w:szCs w:val="22"/>
              </w:rPr>
              <w:t>could be strengthened by the inclusion of</w:t>
            </w:r>
            <w:r w:rsidR="00724A15" w:rsidRPr="00EE7E76">
              <w:rPr>
                <w:sz w:val="22"/>
                <w:szCs w:val="22"/>
              </w:rPr>
              <w:t xml:space="preserve"> an exit strategy for more mature business finance customers to </w:t>
            </w:r>
            <w:r w:rsidR="002F7353">
              <w:rPr>
                <w:sz w:val="22"/>
                <w:szCs w:val="22"/>
              </w:rPr>
              <w:t xml:space="preserve">help them </w:t>
            </w:r>
            <w:r w:rsidR="00724A15" w:rsidRPr="00EE7E76">
              <w:rPr>
                <w:sz w:val="22"/>
                <w:szCs w:val="22"/>
              </w:rPr>
              <w:t>seek finance from commercial service providers (and hence free up limited capital for those unable to access commercial finance).</w:t>
            </w:r>
          </w:p>
          <w:p w14:paraId="6BDB2313" w14:textId="549FE2E5" w:rsidR="00A266E3" w:rsidRPr="00724A15" w:rsidRDefault="00886F33" w:rsidP="004B0391">
            <w:pPr>
              <w:pStyle w:val="Findingssummarylist"/>
              <w:rPr>
                <w:spacing w:val="-2"/>
                <w:sz w:val="22"/>
                <w:szCs w:val="22"/>
              </w:rPr>
            </w:pPr>
            <w:bookmarkStart w:id="43" w:name="_Hlk110893560"/>
            <w:r w:rsidRPr="00724A15">
              <w:rPr>
                <w:spacing w:val="-2"/>
                <w:sz w:val="22"/>
                <w:szCs w:val="22"/>
              </w:rPr>
              <w:t xml:space="preserve">A key element of the IBSS was to increase the number, </w:t>
            </w:r>
            <w:r w:rsidR="007F34B0" w:rsidRPr="00724A15">
              <w:rPr>
                <w:spacing w:val="-2"/>
                <w:sz w:val="22"/>
                <w:szCs w:val="22"/>
              </w:rPr>
              <w:t>size,</w:t>
            </w:r>
            <w:r w:rsidRPr="00724A15">
              <w:rPr>
                <w:spacing w:val="-2"/>
                <w:sz w:val="22"/>
                <w:szCs w:val="22"/>
              </w:rPr>
              <w:t xml:space="preserve"> and diversity of Indigenous businesses</w:t>
            </w:r>
            <w:r w:rsidR="00F1472D" w:rsidRPr="00724A15">
              <w:rPr>
                <w:spacing w:val="-2"/>
                <w:sz w:val="22"/>
                <w:szCs w:val="22"/>
              </w:rPr>
              <w:t xml:space="preserve">, and </w:t>
            </w:r>
            <w:r w:rsidR="00651885" w:rsidRPr="00724A15">
              <w:rPr>
                <w:spacing w:val="-2"/>
                <w:sz w:val="22"/>
                <w:szCs w:val="22"/>
              </w:rPr>
              <w:t>to harness the power of knowledge by improving the collection and sharing of data about Indigenous business</w:t>
            </w:r>
            <w:r w:rsidR="001E35BB" w:rsidRPr="00724A15">
              <w:rPr>
                <w:spacing w:val="-2"/>
                <w:sz w:val="22"/>
                <w:szCs w:val="22"/>
              </w:rPr>
              <w:t>.</w:t>
            </w:r>
            <w:r w:rsidR="00730057" w:rsidRPr="00724A15">
              <w:rPr>
                <w:spacing w:val="-2"/>
                <w:sz w:val="22"/>
                <w:szCs w:val="22"/>
              </w:rPr>
              <w:t xml:space="preserve"> However, </w:t>
            </w:r>
            <w:r w:rsidR="00DB76D6" w:rsidRPr="00724A15">
              <w:rPr>
                <w:spacing w:val="-2"/>
                <w:sz w:val="22"/>
                <w:szCs w:val="22"/>
              </w:rPr>
              <w:t xml:space="preserve">the design of </w:t>
            </w:r>
            <w:r w:rsidR="00730057" w:rsidRPr="00724A15">
              <w:rPr>
                <w:spacing w:val="-2"/>
                <w:sz w:val="22"/>
                <w:szCs w:val="22"/>
              </w:rPr>
              <w:t>BSP reporting does not</w:t>
            </w:r>
            <w:r w:rsidR="00E9560D" w:rsidRPr="00724A15">
              <w:rPr>
                <w:spacing w:val="-2"/>
                <w:sz w:val="22"/>
                <w:szCs w:val="22"/>
              </w:rPr>
              <w:t xml:space="preserve"> require IBA to</w:t>
            </w:r>
            <w:r w:rsidR="00730057" w:rsidRPr="00724A15">
              <w:rPr>
                <w:spacing w:val="-2"/>
                <w:sz w:val="22"/>
                <w:szCs w:val="22"/>
              </w:rPr>
              <w:t xml:space="preserve"> capture the level of demand for BSP </w:t>
            </w:r>
            <w:r w:rsidR="00BD6580" w:rsidRPr="00724A15">
              <w:rPr>
                <w:spacing w:val="-2"/>
                <w:sz w:val="22"/>
                <w:szCs w:val="22"/>
              </w:rPr>
              <w:t>products and services</w:t>
            </w:r>
            <w:r w:rsidR="00157296">
              <w:rPr>
                <w:spacing w:val="-2"/>
                <w:sz w:val="22"/>
                <w:szCs w:val="22"/>
              </w:rPr>
              <w:t xml:space="preserve"> (</w:t>
            </w:r>
            <w:r w:rsidR="00730057" w:rsidRPr="00724A15">
              <w:rPr>
                <w:spacing w:val="-2"/>
                <w:sz w:val="22"/>
                <w:szCs w:val="22"/>
              </w:rPr>
              <w:t>including level of enquiries and uptake rates</w:t>
            </w:r>
            <w:r w:rsidR="00157296">
              <w:rPr>
                <w:spacing w:val="-2"/>
                <w:sz w:val="22"/>
                <w:szCs w:val="22"/>
              </w:rPr>
              <w:t>)</w:t>
            </w:r>
            <w:r w:rsidR="00730057" w:rsidRPr="00724A15">
              <w:rPr>
                <w:spacing w:val="-2"/>
                <w:sz w:val="22"/>
                <w:szCs w:val="22"/>
              </w:rPr>
              <w:t xml:space="preserve"> nor does it distinguish between new and existing customers or industry type.</w:t>
            </w:r>
            <w:r w:rsidR="00F1472D" w:rsidRPr="00724A15">
              <w:rPr>
                <w:spacing w:val="-2"/>
                <w:sz w:val="22"/>
                <w:szCs w:val="22"/>
              </w:rPr>
              <w:t xml:space="preserve"> As a result, BSP </w:t>
            </w:r>
            <w:r w:rsidR="00122589" w:rsidRPr="00724A15">
              <w:rPr>
                <w:spacing w:val="-2"/>
                <w:sz w:val="22"/>
                <w:szCs w:val="22"/>
              </w:rPr>
              <w:t xml:space="preserve">reporting </w:t>
            </w:r>
            <w:r w:rsidR="00F1472D" w:rsidRPr="00724A15">
              <w:rPr>
                <w:spacing w:val="-2"/>
                <w:sz w:val="22"/>
                <w:szCs w:val="22"/>
              </w:rPr>
              <w:t>does not help improve the scope and detail of data on Indigenous businesses</w:t>
            </w:r>
            <w:r w:rsidR="00DB76D6" w:rsidRPr="00724A15">
              <w:rPr>
                <w:spacing w:val="-2"/>
                <w:sz w:val="22"/>
                <w:szCs w:val="22"/>
              </w:rPr>
              <w:t>, or inform the measure of change over the evaluation period</w:t>
            </w:r>
            <w:r w:rsidR="00F1472D" w:rsidRPr="00724A15">
              <w:rPr>
                <w:spacing w:val="-2"/>
                <w:sz w:val="22"/>
                <w:szCs w:val="22"/>
              </w:rPr>
              <w:t xml:space="preserve">. </w:t>
            </w:r>
            <w:r w:rsidR="001E35BB" w:rsidRPr="00724A15">
              <w:rPr>
                <w:spacing w:val="-2"/>
                <w:sz w:val="22"/>
                <w:szCs w:val="22"/>
              </w:rPr>
              <w:t xml:space="preserve"> </w:t>
            </w:r>
            <w:bookmarkEnd w:id="43"/>
          </w:p>
          <w:p w14:paraId="34A9B468" w14:textId="1E3EF8B2" w:rsidR="001A5C39" w:rsidRPr="00FE73DE" w:rsidRDefault="00707B68" w:rsidP="001A5C39">
            <w:pPr>
              <w:pStyle w:val="Findingssummarylist"/>
              <w:rPr>
                <w:sz w:val="22"/>
                <w:szCs w:val="22"/>
              </w:rPr>
            </w:pPr>
            <w:r>
              <w:rPr>
                <w:sz w:val="22"/>
                <w:szCs w:val="22"/>
              </w:rPr>
              <w:t>T</w:t>
            </w:r>
            <w:r w:rsidR="001A5C39" w:rsidRPr="00FE73DE">
              <w:rPr>
                <w:sz w:val="22"/>
                <w:szCs w:val="22"/>
              </w:rPr>
              <w:t xml:space="preserve">he </w:t>
            </w:r>
            <w:r w:rsidR="00157296">
              <w:rPr>
                <w:sz w:val="22"/>
                <w:szCs w:val="22"/>
              </w:rPr>
              <w:t xml:space="preserve">BSP’s intended </w:t>
            </w:r>
            <w:r w:rsidR="001A5C39" w:rsidRPr="00FE73DE">
              <w:rPr>
                <w:sz w:val="22"/>
                <w:szCs w:val="22"/>
              </w:rPr>
              <w:t xml:space="preserve">coordination role across the suite of </w:t>
            </w:r>
            <w:r>
              <w:rPr>
                <w:sz w:val="22"/>
                <w:szCs w:val="22"/>
              </w:rPr>
              <w:t>business</w:t>
            </w:r>
            <w:r w:rsidR="005D6462">
              <w:rPr>
                <w:sz w:val="22"/>
                <w:szCs w:val="22"/>
              </w:rPr>
              <w:t xml:space="preserve"> support</w:t>
            </w:r>
            <w:r>
              <w:rPr>
                <w:sz w:val="22"/>
                <w:szCs w:val="22"/>
              </w:rPr>
              <w:t xml:space="preserve"> </w:t>
            </w:r>
            <w:r w:rsidR="001A5C39" w:rsidRPr="00FE73DE">
              <w:rPr>
                <w:sz w:val="22"/>
                <w:szCs w:val="22"/>
              </w:rPr>
              <w:t xml:space="preserve">services has not been embedded into the </w:t>
            </w:r>
            <w:r>
              <w:rPr>
                <w:sz w:val="22"/>
                <w:szCs w:val="22"/>
              </w:rPr>
              <w:t xml:space="preserve">BSP </w:t>
            </w:r>
            <w:r w:rsidR="001A5C39" w:rsidRPr="00FE73DE">
              <w:rPr>
                <w:sz w:val="22"/>
                <w:szCs w:val="22"/>
              </w:rPr>
              <w:t>design</w:t>
            </w:r>
            <w:r w:rsidR="00157296">
              <w:rPr>
                <w:sz w:val="22"/>
                <w:szCs w:val="22"/>
              </w:rPr>
              <w:t>. This has resulted in a</w:t>
            </w:r>
            <w:r w:rsidR="003B58DC" w:rsidRPr="00D54F1B">
              <w:rPr>
                <w:sz w:val="22"/>
                <w:lang w:eastAsia="en-AU"/>
              </w:rPr>
              <w:t xml:space="preserve"> confusing environment</w:t>
            </w:r>
            <w:r w:rsidR="00157296">
              <w:rPr>
                <w:sz w:val="22"/>
                <w:szCs w:val="22"/>
              </w:rPr>
              <w:t xml:space="preserve"> where it is</w:t>
            </w:r>
            <w:r w:rsidR="001A5C39" w:rsidRPr="00FE73DE">
              <w:rPr>
                <w:sz w:val="22"/>
                <w:szCs w:val="22"/>
              </w:rPr>
              <w:t xml:space="preserve"> </w:t>
            </w:r>
            <w:r w:rsidR="003B58DC" w:rsidRPr="00D54F1B">
              <w:rPr>
                <w:sz w:val="22"/>
              </w:rPr>
              <w:t xml:space="preserve">difficult for Indigenous </w:t>
            </w:r>
            <w:r w:rsidR="003B58DC">
              <w:rPr>
                <w:sz w:val="22"/>
              </w:rPr>
              <w:t>business</w:t>
            </w:r>
            <w:r w:rsidR="003B58DC" w:rsidRPr="00D54F1B">
              <w:rPr>
                <w:sz w:val="22"/>
              </w:rPr>
              <w:t>es to understand where they should go for different types of support, at different points in their lifecycle.</w:t>
            </w:r>
          </w:p>
          <w:p w14:paraId="066068ED" w14:textId="7E488F37" w:rsidR="006776BC" w:rsidRPr="00FE73DE" w:rsidRDefault="006776BC">
            <w:pPr>
              <w:pStyle w:val="Findingssummarylist"/>
              <w:rPr>
                <w:sz w:val="22"/>
                <w:szCs w:val="22"/>
              </w:rPr>
            </w:pPr>
            <w:r w:rsidRPr="00FE73DE">
              <w:rPr>
                <w:sz w:val="22"/>
                <w:szCs w:val="22"/>
              </w:rPr>
              <w:t xml:space="preserve">The </w:t>
            </w:r>
            <w:r w:rsidR="005707A5" w:rsidRPr="00FE73DE">
              <w:rPr>
                <w:sz w:val="22"/>
                <w:szCs w:val="22"/>
              </w:rPr>
              <w:t xml:space="preserve">design and </w:t>
            </w:r>
            <w:r w:rsidRPr="00FE73DE">
              <w:rPr>
                <w:sz w:val="22"/>
                <w:szCs w:val="22"/>
              </w:rPr>
              <w:t xml:space="preserve">implementation of the </w:t>
            </w:r>
            <w:r w:rsidR="0026004B" w:rsidRPr="00FE73DE">
              <w:rPr>
                <w:sz w:val="22"/>
                <w:szCs w:val="22"/>
              </w:rPr>
              <w:t>COVID-19 Indigenous Business Relief Program</w:t>
            </w:r>
            <w:r w:rsidR="005707A5" w:rsidRPr="00FE73DE">
              <w:rPr>
                <w:sz w:val="22"/>
                <w:szCs w:val="22"/>
              </w:rPr>
              <w:t xml:space="preserve"> (IBRP)</w:t>
            </w:r>
            <w:r w:rsidRPr="00FE73DE">
              <w:rPr>
                <w:sz w:val="22"/>
                <w:szCs w:val="22"/>
              </w:rPr>
              <w:t xml:space="preserve"> led to a more agile, flexible</w:t>
            </w:r>
            <w:r w:rsidR="007F34B0">
              <w:rPr>
                <w:sz w:val="22"/>
                <w:szCs w:val="22"/>
              </w:rPr>
              <w:t>,</w:t>
            </w:r>
            <w:r w:rsidRPr="00FE73DE">
              <w:rPr>
                <w:sz w:val="22"/>
                <w:szCs w:val="22"/>
              </w:rPr>
              <w:t xml:space="preserve"> and needs based program design</w:t>
            </w:r>
            <w:r w:rsidR="005707A5" w:rsidRPr="00FE73DE">
              <w:rPr>
                <w:sz w:val="22"/>
                <w:szCs w:val="22"/>
              </w:rPr>
              <w:t xml:space="preserve"> </w:t>
            </w:r>
            <w:r w:rsidR="00157296">
              <w:rPr>
                <w:sz w:val="22"/>
                <w:szCs w:val="22"/>
              </w:rPr>
              <w:t>being</w:t>
            </w:r>
            <w:r w:rsidR="005707A5" w:rsidRPr="00FE73DE">
              <w:rPr>
                <w:sz w:val="22"/>
                <w:szCs w:val="22"/>
              </w:rPr>
              <w:t xml:space="preserve"> offered</w:t>
            </w:r>
            <w:r w:rsidR="00157296">
              <w:rPr>
                <w:sz w:val="22"/>
                <w:szCs w:val="22"/>
              </w:rPr>
              <w:t>. K</w:t>
            </w:r>
            <w:r w:rsidRPr="00FE73DE">
              <w:rPr>
                <w:sz w:val="22"/>
                <w:szCs w:val="22"/>
              </w:rPr>
              <w:t xml:space="preserve">ey </w:t>
            </w:r>
            <w:r w:rsidR="005707A5" w:rsidRPr="00FE73DE">
              <w:rPr>
                <w:sz w:val="22"/>
                <w:szCs w:val="22"/>
              </w:rPr>
              <w:t>aspects</w:t>
            </w:r>
            <w:r w:rsidR="00157296">
              <w:rPr>
                <w:sz w:val="22"/>
                <w:szCs w:val="22"/>
              </w:rPr>
              <w:t xml:space="preserve"> of the IBRP – </w:t>
            </w:r>
            <w:r w:rsidR="00BD6580">
              <w:rPr>
                <w:sz w:val="22"/>
                <w:szCs w:val="22"/>
              </w:rPr>
              <w:t>such as reporting on demand levels and delivery timelines</w:t>
            </w:r>
            <w:r w:rsidR="00157296">
              <w:rPr>
                <w:sz w:val="22"/>
                <w:szCs w:val="22"/>
              </w:rPr>
              <w:t xml:space="preserve"> </w:t>
            </w:r>
            <w:r w:rsidR="00BD6580">
              <w:rPr>
                <w:sz w:val="22"/>
                <w:szCs w:val="22"/>
              </w:rPr>
              <w:t>and a streamlined loan application process for existing customers</w:t>
            </w:r>
            <w:r w:rsidR="00157296">
              <w:rPr>
                <w:sz w:val="22"/>
                <w:szCs w:val="22"/>
              </w:rPr>
              <w:t xml:space="preserve"> – would be</w:t>
            </w:r>
            <w:r w:rsidR="00BD6580">
              <w:rPr>
                <w:sz w:val="22"/>
                <w:szCs w:val="22"/>
              </w:rPr>
              <w:t xml:space="preserve"> </w:t>
            </w:r>
            <w:r w:rsidRPr="00FE73DE">
              <w:rPr>
                <w:sz w:val="22"/>
                <w:szCs w:val="22"/>
              </w:rPr>
              <w:t>worth considering for future delivery</w:t>
            </w:r>
            <w:r w:rsidR="005707A5" w:rsidRPr="00FE73DE">
              <w:rPr>
                <w:sz w:val="22"/>
                <w:szCs w:val="22"/>
              </w:rPr>
              <w:t xml:space="preserve"> </w:t>
            </w:r>
            <w:r w:rsidR="007F34B0">
              <w:rPr>
                <w:sz w:val="22"/>
                <w:szCs w:val="22"/>
              </w:rPr>
              <w:t>of</w:t>
            </w:r>
            <w:r w:rsidR="005707A5" w:rsidRPr="00FE73DE">
              <w:rPr>
                <w:sz w:val="22"/>
                <w:szCs w:val="22"/>
              </w:rPr>
              <w:t xml:space="preserve"> the BSP</w:t>
            </w:r>
            <w:r w:rsidRPr="00FE73DE">
              <w:rPr>
                <w:sz w:val="22"/>
                <w:szCs w:val="22"/>
              </w:rPr>
              <w:t>.</w:t>
            </w:r>
          </w:p>
        </w:tc>
      </w:tr>
    </w:tbl>
    <w:p w14:paraId="0EC4CEB4" w14:textId="77777777" w:rsidR="006776BC" w:rsidRPr="00FE73DE" w:rsidRDefault="006776BC" w:rsidP="00C8781C"/>
    <w:p w14:paraId="0C647895" w14:textId="53AB6F57" w:rsidR="00D3571D" w:rsidRPr="00FE73DE" w:rsidRDefault="00C8781C" w:rsidP="004F2771">
      <w:pPr>
        <w:pStyle w:val="Heading2"/>
        <w:ind w:hanging="792"/>
      </w:pPr>
      <w:bookmarkStart w:id="44" w:name="_Toc123734702"/>
      <w:r w:rsidRPr="00FE73DE">
        <w:t xml:space="preserve">Framing BSP </w:t>
      </w:r>
      <w:r w:rsidR="00F50502" w:rsidRPr="00FE73DE">
        <w:t>p</w:t>
      </w:r>
      <w:r w:rsidR="00AD2464" w:rsidRPr="00FE73DE">
        <w:t xml:space="preserve">olicy </w:t>
      </w:r>
      <w:r w:rsidR="00F50502" w:rsidRPr="00FE73DE">
        <w:t>i</w:t>
      </w:r>
      <w:r w:rsidR="00AD2464" w:rsidRPr="00FE73DE">
        <w:t>ntent</w:t>
      </w:r>
      <w:bookmarkEnd w:id="44"/>
    </w:p>
    <w:p w14:paraId="467500BF" w14:textId="2DFC419A" w:rsidR="00573860" w:rsidRPr="00FE73DE" w:rsidRDefault="00573860" w:rsidP="007E1041">
      <w:pPr>
        <w:spacing w:after="200" w:line="276" w:lineRule="auto"/>
      </w:pPr>
      <w:r w:rsidRPr="00FE73DE">
        <w:rPr>
          <w:szCs w:val="24"/>
        </w:rPr>
        <w:t xml:space="preserve">The IBSS framed the </w:t>
      </w:r>
      <w:r w:rsidR="00AD2464" w:rsidRPr="00FE73DE">
        <w:rPr>
          <w:szCs w:val="24"/>
        </w:rPr>
        <w:t xml:space="preserve">BSP </w:t>
      </w:r>
      <w:r w:rsidRPr="00FE73DE">
        <w:rPr>
          <w:szCs w:val="24"/>
        </w:rPr>
        <w:t xml:space="preserve">as </w:t>
      </w:r>
      <w:r w:rsidR="00AD2464" w:rsidRPr="00FE73DE">
        <w:rPr>
          <w:szCs w:val="24"/>
        </w:rPr>
        <w:t>a key program approach to help implement the</w:t>
      </w:r>
      <w:r w:rsidRPr="00FE73DE">
        <w:rPr>
          <w:szCs w:val="24"/>
        </w:rPr>
        <w:t xml:space="preserve"> policies of the</w:t>
      </w:r>
      <w:r w:rsidR="00AD2464" w:rsidRPr="00FE73DE">
        <w:rPr>
          <w:szCs w:val="24"/>
        </w:rPr>
        <w:t xml:space="preserve"> IBSS (initially announced during the 2016 Federal Election). </w:t>
      </w:r>
      <w:r w:rsidRPr="00FE73DE">
        <w:t xml:space="preserve">The IBSS was planned to be implemented over a 10-year period (2018 to 2028) and </w:t>
      </w:r>
      <w:r w:rsidR="00AD2464" w:rsidRPr="00FE73DE">
        <w:t>intended to increase the number, size</w:t>
      </w:r>
      <w:r w:rsidR="00CB0D5D">
        <w:t>,</w:t>
      </w:r>
      <w:r w:rsidR="00AD2464" w:rsidRPr="00FE73DE">
        <w:t xml:space="preserve"> and diversity of Indigenous businesses through policy direction against </w:t>
      </w:r>
      <w:r w:rsidR="00FE0F56">
        <w:t>four</w:t>
      </w:r>
      <w:r w:rsidR="00AD2464" w:rsidRPr="00FE73DE">
        <w:t xml:space="preserve"> pillars – better business support, improved access to finance, stronger connections and networks, and harnessing knowledge. </w:t>
      </w:r>
    </w:p>
    <w:p w14:paraId="2D59BFCA" w14:textId="4C12F60E" w:rsidR="00B00D48" w:rsidRPr="00FE73DE" w:rsidRDefault="00573860" w:rsidP="007E1041">
      <w:pPr>
        <w:spacing w:after="200" w:line="276" w:lineRule="auto"/>
      </w:pPr>
      <w:r w:rsidRPr="00FE73DE">
        <w:t xml:space="preserve">The </w:t>
      </w:r>
      <w:r w:rsidR="00B00D48" w:rsidRPr="00FE73DE">
        <w:rPr>
          <w:b/>
          <w:bCs/>
        </w:rPr>
        <w:t>V</w:t>
      </w:r>
      <w:r w:rsidRPr="00FE73DE">
        <w:rPr>
          <w:b/>
          <w:bCs/>
        </w:rPr>
        <w:t>ision</w:t>
      </w:r>
      <w:r w:rsidRPr="00FE73DE">
        <w:t xml:space="preserve"> of the </w:t>
      </w:r>
      <w:r w:rsidR="00B00D48" w:rsidRPr="00FE73DE">
        <w:t>IBSS was:</w:t>
      </w:r>
      <w:r w:rsidR="00B00D48" w:rsidRPr="00FE73DE">
        <w:rPr>
          <w:rStyle w:val="FootnoteReference"/>
        </w:rPr>
        <w:footnoteReference w:id="13"/>
      </w:r>
    </w:p>
    <w:p w14:paraId="78914C16" w14:textId="430E6E68" w:rsidR="00B00D48" w:rsidRPr="00FE73DE" w:rsidRDefault="00B00D48" w:rsidP="00B00D48">
      <w:pPr>
        <w:pStyle w:val="Boxbullett"/>
        <w:ind w:left="567"/>
      </w:pPr>
      <w:r w:rsidRPr="00FE73DE">
        <w:t xml:space="preserve">A larger and more diverse Indigenous Business sector that builds intergenerational wealth and economic independence. </w:t>
      </w:r>
    </w:p>
    <w:p w14:paraId="7617D91D" w14:textId="797D05F6" w:rsidR="00B4379F" w:rsidRPr="00FE73DE" w:rsidRDefault="00573860" w:rsidP="007E1041">
      <w:pPr>
        <w:spacing w:after="200" w:line="276" w:lineRule="auto"/>
      </w:pPr>
      <w:r w:rsidRPr="00FE73DE">
        <w:t>More than just meeting demand, the IBSS was designed to help Indigenous people build sustainable businesses that will support themselves, their families</w:t>
      </w:r>
      <w:r w:rsidR="00CB0D5D">
        <w:t>,</w:t>
      </w:r>
      <w:r w:rsidRPr="00FE73DE">
        <w:t xml:space="preserve"> and their communities through job creation and financial security and independence. Underpinning these initiatives was the understanding that a stronger Indigenous business sector can contribute to the growth of local economies and the broader Australian economy. </w:t>
      </w:r>
      <w:r w:rsidR="00AD2464" w:rsidRPr="00FE73DE">
        <w:t xml:space="preserve">Each of the </w:t>
      </w:r>
      <w:r w:rsidR="00FE0F56">
        <w:t>four</w:t>
      </w:r>
      <w:r w:rsidR="00AD2464" w:rsidRPr="00FE73DE">
        <w:t xml:space="preserve"> pillars </w:t>
      </w:r>
      <w:r w:rsidR="00B00D48" w:rsidRPr="00FE73DE">
        <w:t xml:space="preserve">of the IBSS </w:t>
      </w:r>
      <w:r w:rsidR="00AD2464" w:rsidRPr="00FE73DE">
        <w:t>were supported by a range of ‘actions’.</w:t>
      </w:r>
      <w:r w:rsidR="00AD2464" w:rsidRPr="00FE73DE">
        <w:rPr>
          <w:szCs w:val="24"/>
        </w:rPr>
        <w:t xml:space="preserve"> </w:t>
      </w:r>
      <w:r w:rsidR="00CB0D5D">
        <w:rPr>
          <w:szCs w:val="24"/>
        </w:rPr>
        <w:t>T</w:t>
      </w:r>
      <w:r w:rsidR="00AD2464" w:rsidRPr="00FE73DE">
        <w:rPr>
          <w:szCs w:val="24"/>
        </w:rPr>
        <w:t>he IBSS ‘</w:t>
      </w:r>
      <w:r w:rsidR="00AD2464" w:rsidRPr="00FE73DE">
        <w:rPr>
          <w:b/>
          <w:bCs/>
          <w:szCs w:val="24"/>
        </w:rPr>
        <w:t>Goal</w:t>
      </w:r>
      <w:r w:rsidR="00AD2464" w:rsidRPr="00FE73DE">
        <w:rPr>
          <w:szCs w:val="24"/>
        </w:rPr>
        <w:t>’ and ‘</w:t>
      </w:r>
      <w:r w:rsidR="00AD2464" w:rsidRPr="00FE73DE">
        <w:rPr>
          <w:b/>
          <w:bCs/>
          <w:szCs w:val="24"/>
        </w:rPr>
        <w:t>Actions’</w:t>
      </w:r>
      <w:r w:rsidR="00AD2464" w:rsidRPr="00FE73DE">
        <w:rPr>
          <w:szCs w:val="24"/>
        </w:rPr>
        <w:t xml:space="preserve"> for improving access to finance</w:t>
      </w:r>
      <w:r w:rsidR="002F1154" w:rsidRPr="00FE73DE">
        <w:rPr>
          <w:szCs w:val="24"/>
        </w:rPr>
        <w:t xml:space="preserve"> and business support</w:t>
      </w:r>
      <w:r w:rsidR="00AD2464" w:rsidRPr="00FE73DE">
        <w:rPr>
          <w:szCs w:val="24"/>
        </w:rPr>
        <w:t xml:space="preserve"> were</w:t>
      </w:r>
      <w:r w:rsidR="007E1041" w:rsidRPr="00FE73DE">
        <w:t>:</w:t>
      </w:r>
      <w:r w:rsidR="00E01D46" w:rsidRPr="00FE73DE">
        <w:rPr>
          <w:rStyle w:val="FootnoteReference"/>
        </w:rPr>
        <w:footnoteReference w:id="14"/>
      </w:r>
      <w:r w:rsidR="00B4379F" w:rsidRPr="00FE73DE">
        <w:t xml:space="preserve"> </w:t>
      </w:r>
    </w:p>
    <w:p w14:paraId="029D812C" w14:textId="75C63C8B" w:rsidR="00B00D48" w:rsidRPr="00FE73DE" w:rsidRDefault="00E01D46" w:rsidP="00232830">
      <w:pPr>
        <w:pStyle w:val="Boxbullett"/>
        <w:ind w:left="567"/>
      </w:pPr>
      <w:r w:rsidRPr="00FE73DE">
        <w:rPr>
          <w:b/>
          <w:bCs/>
        </w:rPr>
        <w:t>Goal:</w:t>
      </w:r>
      <w:r w:rsidRPr="00FE73DE">
        <w:t xml:space="preserve"> </w:t>
      </w:r>
      <w:r w:rsidR="00B4379F" w:rsidRPr="00FE73DE">
        <w:t xml:space="preserve">Indigenous businesses and entrepreneurs have access to a range of finance products that meets their business needs, regardless of location and stage of the business development. Through an appropriate government-supported capital scheme, Indigenous businesses are able to unlock a range of private sector finance and investment options to create new start-ups or to grow their business. </w:t>
      </w:r>
      <w:r w:rsidR="00B00D48" w:rsidRPr="00FE73DE">
        <w:t>Indigenous businesses have suitable business support to manage their financial and business obligations.</w:t>
      </w:r>
    </w:p>
    <w:p w14:paraId="7457F5FB" w14:textId="0AC00D0F" w:rsidR="007E1041" w:rsidRPr="00FE73DE" w:rsidRDefault="007E1041" w:rsidP="00E01D46">
      <w:pPr>
        <w:pStyle w:val="Normal-Close"/>
        <w:rPr>
          <w:sz w:val="10"/>
          <w:szCs w:val="10"/>
        </w:rPr>
      </w:pPr>
    </w:p>
    <w:p w14:paraId="0346E2B7" w14:textId="5F75AD96" w:rsidR="00E01D46" w:rsidRPr="00FE73DE" w:rsidRDefault="00E01D46" w:rsidP="00E01D46">
      <w:pPr>
        <w:pStyle w:val="Boxbullett"/>
        <w:ind w:left="527"/>
      </w:pPr>
      <w:r w:rsidRPr="00FE73DE">
        <w:rPr>
          <w:b/>
          <w:bCs/>
        </w:rPr>
        <w:t>Actions:</w:t>
      </w:r>
      <w:r w:rsidRPr="00FE73DE">
        <w:t xml:space="preserve"> The Indigenous business sector has told us they require a broader suite of financial services and products that will meet the needs at all stages of the business lifecycle. </w:t>
      </w:r>
      <w:r w:rsidR="00B00D48" w:rsidRPr="00FE73DE">
        <w:t>The products need to be streamlined and timely so Indigenous business can confidently compete for contracts, expand operations or obtain plant and equipment to get on with business. Indigenous businesses also want to access private bank finance and investment so they can transition into the mainstream financial system.</w:t>
      </w:r>
    </w:p>
    <w:p w14:paraId="30364314" w14:textId="7ADC6C4F" w:rsidR="00E01D46" w:rsidRPr="00FE73DE" w:rsidRDefault="00E01D46" w:rsidP="00E01D46">
      <w:pPr>
        <w:pStyle w:val="Boxbullett"/>
        <w:ind w:left="527"/>
      </w:pPr>
      <w:r w:rsidRPr="00FE73DE">
        <w:t>Working with the private financial and impact investment sector, the Commonwealth will now offer two forms of support to Indigenous businesses. Viable businesses at the early stage or high-risk stages of establishment will have access to capital through Indigenous Business Australia (IBA) and in remote Australia through microfinance providers and the Indigenous Entrepreneurs Fund. Businesses that are established and stabilised, but are undercapitalised and looking to transition to mainstream finance, will be supported through the newly established pilot, the Indigenous Entrepreneurs Capital Scheme.</w:t>
      </w:r>
    </w:p>
    <w:p w14:paraId="570E6C64" w14:textId="4F03E5E1" w:rsidR="00F633D6" w:rsidRPr="00CB0D5D" w:rsidRDefault="002F1154" w:rsidP="00742E8B">
      <w:pPr>
        <w:spacing w:after="200" w:line="276" w:lineRule="auto"/>
        <w:rPr>
          <w:spacing w:val="-2"/>
        </w:rPr>
      </w:pPr>
      <w:r w:rsidRPr="00CB0D5D">
        <w:rPr>
          <w:spacing w:val="-2"/>
        </w:rPr>
        <w:t>Of particular note, while the IBSS sought to increase the number, size</w:t>
      </w:r>
      <w:r w:rsidR="00CB0D5D" w:rsidRPr="00CB0D5D">
        <w:rPr>
          <w:spacing w:val="-2"/>
        </w:rPr>
        <w:t>,</w:t>
      </w:r>
      <w:r w:rsidRPr="00CB0D5D">
        <w:rPr>
          <w:spacing w:val="-2"/>
        </w:rPr>
        <w:t xml:space="preserve"> and diversity of businesses, an emphasis in the </w:t>
      </w:r>
      <w:r w:rsidR="00F433DE" w:rsidRPr="00CB0D5D">
        <w:rPr>
          <w:spacing w:val="-2"/>
        </w:rPr>
        <w:t>A</w:t>
      </w:r>
      <w:r w:rsidRPr="00CB0D5D">
        <w:rPr>
          <w:spacing w:val="-2"/>
        </w:rPr>
        <w:t xml:space="preserve">ctions was that support </w:t>
      </w:r>
      <w:r w:rsidR="00F633D6" w:rsidRPr="00CB0D5D">
        <w:rPr>
          <w:spacing w:val="-2"/>
        </w:rPr>
        <w:t xml:space="preserve">be </w:t>
      </w:r>
      <w:r w:rsidRPr="00CB0D5D">
        <w:rPr>
          <w:spacing w:val="-2"/>
        </w:rPr>
        <w:t xml:space="preserve">provided to viable businesses. </w:t>
      </w:r>
      <w:r w:rsidR="00FE0F56" w:rsidRPr="00D546FB">
        <w:rPr>
          <w:spacing w:val="-2"/>
        </w:rPr>
        <w:t xml:space="preserve">See Appendix </w:t>
      </w:r>
      <w:r w:rsidR="00724A15" w:rsidRPr="00D546FB">
        <w:rPr>
          <w:spacing w:val="-2"/>
        </w:rPr>
        <w:t>B</w:t>
      </w:r>
      <w:r w:rsidR="00FE0F56" w:rsidRPr="00D546FB">
        <w:rPr>
          <w:spacing w:val="-2"/>
        </w:rPr>
        <w:t xml:space="preserve"> for</w:t>
      </w:r>
      <w:r w:rsidR="00FE0F56">
        <w:rPr>
          <w:spacing w:val="-2"/>
        </w:rPr>
        <w:t xml:space="preserve"> further details on the IBSS.</w:t>
      </w:r>
    </w:p>
    <w:p w14:paraId="44563BDB" w14:textId="5249D6C2" w:rsidR="00E75F75" w:rsidRPr="00FE73DE" w:rsidRDefault="00723F4B" w:rsidP="00E75F75">
      <w:r w:rsidRPr="00FE73DE">
        <w:t xml:space="preserve">The BSP grant agreement articulated </w:t>
      </w:r>
      <w:r w:rsidR="00E75F75" w:rsidRPr="00FE73DE">
        <w:t>a suite of business development and assistance activities to support customers at all stages of business development under the following themes:</w:t>
      </w:r>
    </w:p>
    <w:p w14:paraId="3B430BDD" w14:textId="77777777" w:rsidR="00E75F75" w:rsidRPr="00FE73DE" w:rsidRDefault="00E75F75">
      <w:pPr>
        <w:pStyle w:val="ListBullet"/>
        <w:jc w:val="left"/>
      </w:pPr>
      <w:r w:rsidRPr="00FE73DE">
        <w:t>Building commercial capability and developing Indigenous entrepreneurs</w:t>
      </w:r>
    </w:p>
    <w:p w14:paraId="162AE5D2" w14:textId="77777777" w:rsidR="00E75F75" w:rsidRPr="00FE73DE" w:rsidRDefault="00E75F75">
      <w:pPr>
        <w:pStyle w:val="ListBullet"/>
        <w:jc w:val="left"/>
      </w:pPr>
      <w:r w:rsidRPr="00FE73DE">
        <w:t>Developing business ideas</w:t>
      </w:r>
    </w:p>
    <w:p w14:paraId="06BF562D" w14:textId="00A77AA9" w:rsidR="00E75F75" w:rsidRPr="00FE73DE" w:rsidRDefault="00E75F75">
      <w:pPr>
        <w:pStyle w:val="ListBullet"/>
        <w:jc w:val="left"/>
      </w:pPr>
      <w:r w:rsidRPr="00FE73DE">
        <w:t xml:space="preserve">Assisting customers with existing enterprises in distress to return to </w:t>
      </w:r>
      <w:r w:rsidR="009B58C7">
        <w:br/>
      </w:r>
      <w:r w:rsidRPr="00FE73DE">
        <w:t>profitability or exit</w:t>
      </w:r>
    </w:p>
    <w:p w14:paraId="7559A841" w14:textId="77777777" w:rsidR="00E75F75" w:rsidRPr="00FE73DE" w:rsidRDefault="00E75F75">
      <w:pPr>
        <w:pStyle w:val="ListBullet"/>
        <w:jc w:val="left"/>
      </w:pPr>
      <w:r w:rsidRPr="00FE73DE">
        <w:t>Supporting implementation of government and corporate procurement opportunities and assisting Indigenous businesses enter supply chains</w:t>
      </w:r>
    </w:p>
    <w:p w14:paraId="0B98B064" w14:textId="77777777" w:rsidR="00E75F75" w:rsidRPr="00FE73DE" w:rsidRDefault="00E75F75">
      <w:pPr>
        <w:pStyle w:val="ListBullet"/>
        <w:jc w:val="left"/>
      </w:pPr>
      <w:r w:rsidRPr="00FE73DE">
        <w:t>Development of products, including industry specific products</w:t>
      </w:r>
    </w:p>
    <w:p w14:paraId="7BB399A8" w14:textId="77777777" w:rsidR="00E75F75" w:rsidRPr="00FE73DE" w:rsidRDefault="00E75F75">
      <w:pPr>
        <w:pStyle w:val="ListBullet"/>
        <w:jc w:val="left"/>
      </w:pPr>
      <w:r w:rsidRPr="00FE73DE">
        <w:t>Initiating and managing Capital Products.</w:t>
      </w:r>
    </w:p>
    <w:p w14:paraId="7C96EA4F" w14:textId="63951814" w:rsidR="000E30A9" w:rsidRPr="00FE73DE" w:rsidRDefault="000C5EF1" w:rsidP="0063506F">
      <w:r w:rsidRPr="00FE73DE">
        <w:rPr>
          <w:szCs w:val="24"/>
        </w:rPr>
        <w:t xml:space="preserve">Through </w:t>
      </w:r>
      <w:r w:rsidR="002F1154" w:rsidRPr="00FE73DE">
        <w:rPr>
          <w:szCs w:val="24"/>
        </w:rPr>
        <w:t xml:space="preserve">specified </w:t>
      </w:r>
      <w:r w:rsidR="00C13473" w:rsidRPr="00FE73DE">
        <w:rPr>
          <w:szCs w:val="24"/>
        </w:rPr>
        <w:t>KPIs</w:t>
      </w:r>
      <w:r w:rsidRPr="00FE73DE">
        <w:rPr>
          <w:szCs w:val="24"/>
        </w:rPr>
        <w:t>, t</w:t>
      </w:r>
      <w:r w:rsidR="00E75F75" w:rsidRPr="00FE73DE">
        <w:rPr>
          <w:szCs w:val="24"/>
        </w:rPr>
        <w:t xml:space="preserve">he grant agreement </w:t>
      </w:r>
      <w:r w:rsidR="002F1154" w:rsidRPr="00FE73DE">
        <w:rPr>
          <w:szCs w:val="24"/>
        </w:rPr>
        <w:t xml:space="preserve">sought to </w:t>
      </w:r>
      <w:r w:rsidR="002F1154" w:rsidRPr="00FE73DE">
        <w:t xml:space="preserve">provide Indigenous business support and capability development services to Indigenous businesses and entrepreneurs, with a focus on early stage and pre-bank customers. The agreement also </w:t>
      </w:r>
      <w:r w:rsidR="002F1154" w:rsidRPr="00FE73DE">
        <w:rPr>
          <w:szCs w:val="24"/>
        </w:rPr>
        <w:t xml:space="preserve">provided </w:t>
      </w:r>
      <w:r w:rsidR="000E30A9" w:rsidRPr="00FE73DE">
        <w:rPr>
          <w:szCs w:val="24"/>
        </w:rPr>
        <w:t xml:space="preserve">additional </w:t>
      </w:r>
      <w:r w:rsidR="00B01CB2" w:rsidRPr="00FE73DE">
        <w:rPr>
          <w:szCs w:val="24"/>
        </w:rPr>
        <w:t xml:space="preserve">emphasis on </w:t>
      </w:r>
      <w:r w:rsidR="000E30A9" w:rsidRPr="00FE73DE">
        <w:rPr>
          <w:szCs w:val="24"/>
        </w:rPr>
        <w:t>women, youth</w:t>
      </w:r>
      <w:r w:rsidR="00B01CB2" w:rsidRPr="00FE73DE">
        <w:rPr>
          <w:szCs w:val="24"/>
        </w:rPr>
        <w:t>,</w:t>
      </w:r>
      <w:r w:rsidR="000E30A9" w:rsidRPr="00FE73DE">
        <w:rPr>
          <w:szCs w:val="24"/>
        </w:rPr>
        <w:t xml:space="preserve"> and </w:t>
      </w:r>
      <w:r w:rsidR="00B948B7" w:rsidRPr="00FE73DE">
        <w:rPr>
          <w:szCs w:val="24"/>
        </w:rPr>
        <w:t>referral frameworks</w:t>
      </w:r>
      <w:r w:rsidR="00B01CB2" w:rsidRPr="00FE73DE">
        <w:rPr>
          <w:szCs w:val="24"/>
        </w:rPr>
        <w:t xml:space="preserve"> and discussions on progress of BSP services and activities at the local level</w:t>
      </w:r>
      <w:r w:rsidR="009B5DCB" w:rsidRPr="00FE73DE">
        <w:rPr>
          <w:szCs w:val="24"/>
        </w:rPr>
        <w:t xml:space="preserve">. </w:t>
      </w:r>
    </w:p>
    <w:p w14:paraId="754492BB" w14:textId="7B9B35C7" w:rsidR="000E30A9" w:rsidRPr="00FE73DE" w:rsidRDefault="000E30A9" w:rsidP="000E30A9">
      <w:pPr>
        <w:rPr>
          <w:szCs w:val="24"/>
        </w:rPr>
      </w:pPr>
      <w:r w:rsidRPr="00FE73DE">
        <w:rPr>
          <w:szCs w:val="24"/>
        </w:rPr>
        <w:t xml:space="preserve">From a grants </w:t>
      </w:r>
      <w:r w:rsidR="00723F4B" w:rsidRPr="00FE73DE">
        <w:rPr>
          <w:szCs w:val="24"/>
        </w:rPr>
        <w:t xml:space="preserve">management </w:t>
      </w:r>
      <w:r w:rsidRPr="00FE73DE">
        <w:rPr>
          <w:szCs w:val="24"/>
        </w:rPr>
        <w:t>perspective, the BSP also fits under the IAS</w:t>
      </w:r>
      <w:r w:rsidR="009B58C7">
        <w:rPr>
          <w:szCs w:val="24"/>
        </w:rPr>
        <w:t>,</w:t>
      </w:r>
      <w:r w:rsidRPr="00FE73DE">
        <w:rPr>
          <w:szCs w:val="24"/>
        </w:rPr>
        <w:t xml:space="preserve"> </w:t>
      </w:r>
      <w:r w:rsidR="009B58C7">
        <w:rPr>
          <w:szCs w:val="24"/>
        </w:rPr>
        <w:t>with</w:t>
      </w:r>
      <w:r w:rsidR="009B58C7" w:rsidRPr="00FE73DE">
        <w:rPr>
          <w:szCs w:val="24"/>
        </w:rPr>
        <w:t xml:space="preserve"> </w:t>
      </w:r>
      <w:r w:rsidRPr="00FE73DE">
        <w:rPr>
          <w:szCs w:val="24"/>
        </w:rPr>
        <w:t xml:space="preserve">the need to more broadly: </w:t>
      </w:r>
    </w:p>
    <w:p w14:paraId="62BDFC47" w14:textId="3078B3B7" w:rsidR="000E30A9" w:rsidRPr="00FE73DE" w:rsidRDefault="009B58C7">
      <w:pPr>
        <w:pStyle w:val="ListBullet"/>
      </w:pPr>
      <w:r>
        <w:t>f</w:t>
      </w:r>
      <w:r w:rsidR="000E30A9" w:rsidRPr="00FE73DE">
        <w:t>oster Indigenous business</w:t>
      </w:r>
    </w:p>
    <w:p w14:paraId="2D8422CF" w14:textId="2F46150F" w:rsidR="000E30A9" w:rsidRPr="00FE73DE" w:rsidRDefault="009B58C7">
      <w:pPr>
        <w:pStyle w:val="ListBullet"/>
      </w:pPr>
      <w:r>
        <w:t>i</w:t>
      </w:r>
      <w:r w:rsidR="000E30A9" w:rsidRPr="00FE73DE">
        <w:t>ncrease the number and viability of Indigenous business.</w:t>
      </w:r>
    </w:p>
    <w:p w14:paraId="41383212" w14:textId="027F00F6" w:rsidR="000E30A9" w:rsidRPr="00FE73DE" w:rsidRDefault="000E30A9" w:rsidP="000E30A9">
      <w:pPr>
        <w:rPr>
          <w:szCs w:val="24"/>
        </w:rPr>
      </w:pPr>
      <w:r w:rsidRPr="00FE73DE">
        <w:rPr>
          <w:szCs w:val="24"/>
        </w:rPr>
        <w:t xml:space="preserve">The </w:t>
      </w:r>
      <w:r w:rsidR="00723F4B" w:rsidRPr="00FE73DE">
        <w:rPr>
          <w:szCs w:val="24"/>
        </w:rPr>
        <w:t xml:space="preserve">delivery of support aligned to the </w:t>
      </w:r>
      <w:r w:rsidRPr="00FE73DE">
        <w:rPr>
          <w:szCs w:val="24"/>
        </w:rPr>
        <w:t xml:space="preserve">policy intent </w:t>
      </w:r>
      <w:r w:rsidR="009B58C7">
        <w:rPr>
          <w:szCs w:val="24"/>
        </w:rPr>
        <w:t>is</w:t>
      </w:r>
      <w:r w:rsidRPr="00FE73DE">
        <w:rPr>
          <w:szCs w:val="24"/>
        </w:rPr>
        <w:t xml:space="preserve"> driven through </w:t>
      </w:r>
      <w:r w:rsidR="00C13473" w:rsidRPr="00FE73DE">
        <w:rPr>
          <w:szCs w:val="24"/>
        </w:rPr>
        <w:t>KPIs</w:t>
      </w:r>
      <w:r w:rsidR="00723F4B" w:rsidRPr="00FE73DE">
        <w:rPr>
          <w:szCs w:val="24"/>
        </w:rPr>
        <w:t xml:space="preserve"> in the grant agreement</w:t>
      </w:r>
      <w:r w:rsidRPr="00FE73DE">
        <w:rPr>
          <w:szCs w:val="24"/>
        </w:rPr>
        <w:t xml:space="preserve"> rather than guid</w:t>
      </w:r>
      <w:r w:rsidR="009B58C7">
        <w:rPr>
          <w:szCs w:val="24"/>
        </w:rPr>
        <w:t>ed</w:t>
      </w:r>
      <w:r w:rsidRPr="00FE73DE">
        <w:rPr>
          <w:szCs w:val="24"/>
        </w:rPr>
        <w:t xml:space="preserve"> by specific policy documentation. </w:t>
      </w:r>
      <w:r w:rsidR="00723F4B" w:rsidRPr="00FE73DE">
        <w:rPr>
          <w:szCs w:val="24"/>
        </w:rPr>
        <w:t xml:space="preserve">The grant agreement </w:t>
      </w:r>
      <w:r w:rsidRPr="00FE73DE">
        <w:rPr>
          <w:szCs w:val="24"/>
        </w:rPr>
        <w:t>provide</w:t>
      </w:r>
      <w:r w:rsidR="009B5DCB" w:rsidRPr="00FE73DE">
        <w:rPr>
          <w:szCs w:val="24"/>
        </w:rPr>
        <w:t>s</w:t>
      </w:r>
      <w:r w:rsidRPr="00FE73DE">
        <w:rPr>
          <w:szCs w:val="24"/>
        </w:rPr>
        <w:t xml:space="preserve"> general descriptions of services and activities </w:t>
      </w:r>
      <w:r w:rsidR="00723F4B" w:rsidRPr="00FE73DE">
        <w:rPr>
          <w:szCs w:val="24"/>
        </w:rPr>
        <w:t>to be delivered under the BSP</w:t>
      </w:r>
      <w:r w:rsidRPr="00FE73DE">
        <w:rPr>
          <w:szCs w:val="24"/>
        </w:rPr>
        <w:t xml:space="preserve">, with specific services and activities identified when linked to designated </w:t>
      </w:r>
      <w:r w:rsidR="00B348A4" w:rsidRPr="00FE73DE">
        <w:rPr>
          <w:szCs w:val="24"/>
        </w:rPr>
        <w:t>KPIs.</w:t>
      </w:r>
      <w:r w:rsidR="00B348A4" w:rsidRPr="00FE73DE">
        <w:t xml:space="preserve"> Many of these are constructed around the number of customers serviced, or number of customers gaining access to finance.</w:t>
      </w:r>
      <w:r w:rsidR="00B734B8" w:rsidRPr="00FE73DE">
        <w:t xml:space="preserve"> Detailed results and targets are presented in section 4.1.</w:t>
      </w:r>
    </w:p>
    <w:p w14:paraId="5A7FE289" w14:textId="4502EFAB" w:rsidR="00C92274" w:rsidRDefault="00EE294E" w:rsidP="00742E8B">
      <w:pPr>
        <w:spacing w:after="200" w:line="276" w:lineRule="auto"/>
      </w:pPr>
      <w:r w:rsidRPr="00FE73DE">
        <w:t xml:space="preserve">A key </w:t>
      </w:r>
      <w:r w:rsidR="00937913">
        <w:t>intent</w:t>
      </w:r>
      <w:r w:rsidR="00937913" w:rsidRPr="00FE73DE">
        <w:t xml:space="preserve"> </w:t>
      </w:r>
      <w:r w:rsidRPr="00FE73DE">
        <w:t xml:space="preserve">of the IBSS was to </w:t>
      </w:r>
      <w:r w:rsidR="001D1982" w:rsidRPr="00FE73DE">
        <w:t>increase the number, size</w:t>
      </w:r>
      <w:r w:rsidR="009B58C7">
        <w:t>,</w:t>
      </w:r>
      <w:r w:rsidR="001D1982" w:rsidRPr="00FE73DE">
        <w:t xml:space="preserve"> and diversity of Indigenous businesses</w:t>
      </w:r>
      <w:r w:rsidRPr="00FE73DE">
        <w:t xml:space="preserve">. </w:t>
      </w:r>
      <w:r w:rsidR="00C92274">
        <w:t xml:space="preserve">Key deficiencies in </w:t>
      </w:r>
      <w:r w:rsidR="00712FDA">
        <w:t xml:space="preserve">BSP </w:t>
      </w:r>
      <w:r w:rsidR="00C92274">
        <w:t>reporting include</w:t>
      </w:r>
      <w:r w:rsidR="00712FDA">
        <w:t xml:space="preserve"> the KPI’s do not include the requirement to measure or report on</w:t>
      </w:r>
      <w:r w:rsidR="00C92274">
        <w:t>:</w:t>
      </w:r>
    </w:p>
    <w:p w14:paraId="56ABD8EE" w14:textId="70474653" w:rsidR="00C92274" w:rsidRDefault="00F97756" w:rsidP="00C35DE1">
      <w:pPr>
        <w:pStyle w:val="ListBullet"/>
      </w:pPr>
      <w:r w:rsidRPr="00FE73DE">
        <w:t xml:space="preserve">the level of demand for BSP products and services </w:t>
      </w:r>
      <w:r w:rsidR="00937913">
        <w:t>(</w:t>
      </w:r>
      <w:r w:rsidRPr="00FE73DE">
        <w:t>for example</w:t>
      </w:r>
      <w:r w:rsidR="00937913">
        <w:t>, through</w:t>
      </w:r>
      <w:r w:rsidRPr="00FE73DE">
        <w:t xml:space="preserve"> the number </w:t>
      </w:r>
      <w:r w:rsidR="00937913">
        <w:t>and</w:t>
      </w:r>
      <w:r w:rsidR="00937913" w:rsidRPr="00FE73DE">
        <w:t xml:space="preserve"> </w:t>
      </w:r>
      <w:r w:rsidRPr="00FE73DE">
        <w:t>types of initial inquiries</w:t>
      </w:r>
      <w:r w:rsidR="00826FD6">
        <w:t>, or from a new or existing customer</w:t>
      </w:r>
      <w:r w:rsidR="00937913">
        <w:t>)</w:t>
      </w:r>
      <w:r w:rsidR="00826FD6">
        <w:rPr>
          <w:rStyle w:val="FootnoteReference"/>
        </w:rPr>
        <w:footnoteReference w:id="15"/>
      </w:r>
      <w:r w:rsidR="004F3944" w:rsidRPr="00FE73DE">
        <w:t xml:space="preserve"> </w:t>
      </w:r>
    </w:p>
    <w:p w14:paraId="6195294F" w14:textId="7F8697F7" w:rsidR="00D27D6D" w:rsidRDefault="004F3944" w:rsidP="00C35DE1">
      <w:pPr>
        <w:pStyle w:val="ListBullet"/>
      </w:pPr>
      <w:r w:rsidRPr="00FE73DE">
        <w:t xml:space="preserve">the changes in industry sectors seeking and obtaining access to business finance </w:t>
      </w:r>
    </w:p>
    <w:p w14:paraId="3B606940" w14:textId="77777777" w:rsidR="00826FD6" w:rsidRDefault="00826FD6" w:rsidP="00826FD6">
      <w:pPr>
        <w:pStyle w:val="ListBullet"/>
      </w:pPr>
      <w:r>
        <w:t xml:space="preserve">the </w:t>
      </w:r>
      <w:r w:rsidR="00C92274">
        <w:t>time to respond to an initial enquiry</w:t>
      </w:r>
      <w:r w:rsidR="00937913">
        <w:t>,</w:t>
      </w:r>
      <w:r w:rsidR="00937913" w:rsidRPr="00FE73DE">
        <w:t xml:space="preserve"> </w:t>
      </w:r>
      <w:r w:rsidR="00F97756" w:rsidRPr="00FE73DE">
        <w:t>or the number of enquiries which resulted in the enquirer becoming a BSP customer</w:t>
      </w:r>
    </w:p>
    <w:p w14:paraId="153AB8E9" w14:textId="1B155F5E" w:rsidR="00B348A4" w:rsidRPr="00FE73DE" w:rsidRDefault="00C82D52" w:rsidP="00077391">
      <w:pPr>
        <w:pStyle w:val="ListBullet"/>
      </w:pPr>
      <w:r w:rsidRPr="00FE73DE">
        <w:t>the specific change in size of the Indigenous business sector as a result of BSP or other IBA business support</w:t>
      </w:r>
      <w:r w:rsidR="00846083">
        <w:rPr>
          <w:rStyle w:val="FootnoteReference"/>
        </w:rPr>
        <w:footnoteReference w:id="16"/>
      </w:r>
    </w:p>
    <w:p w14:paraId="2DF2432C" w14:textId="1B00C7CF" w:rsidR="00B348A4" w:rsidRPr="00FE73DE" w:rsidRDefault="00E41360" w:rsidP="00742E8B">
      <w:pPr>
        <w:spacing w:after="200" w:line="276" w:lineRule="auto"/>
      </w:pPr>
      <w:r w:rsidRPr="00FE73DE">
        <w:t>While there was an emphasis on supporting Indigenous youth, no KPIs required a measurement on the extent of youth seeking or access</w:t>
      </w:r>
      <w:r w:rsidR="00C82D52" w:rsidRPr="00FE73DE">
        <w:t>ing</w:t>
      </w:r>
      <w:r w:rsidRPr="00FE73DE">
        <w:t xml:space="preserve"> BSP services. </w:t>
      </w:r>
    </w:p>
    <w:p w14:paraId="07296665" w14:textId="061820BD" w:rsidR="00EE294E" w:rsidRPr="00FE73DE" w:rsidRDefault="00B348A4" w:rsidP="00742E8B">
      <w:pPr>
        <w:spacing w:after="200" w:line="276" w:lineRule="auto"/>
      </w:pPr>
      <w:r w:rsidRPr="00FE73DE">
        <w:t>T</w:t>
      </w:r>
      <w:r w:rsidR="001D1982" w:rsidRPr="00FE73DE">
        <w:t>o complicate things</w:t>
      </w:r>
      <w:r w:rsidR="0067333D" w:rsidRPr="00FE73DE">
        <w:t xml:space="preserve"> further</w:t>
      </w:r>
      <w:r w:rsidR="001D1982" w:rsidRPr="00FE73DE">
        <w:t>, t</w:t>
      </w:r>
      <w:r w:rsidR="00E41360" w:rsidRPr="00FE73DE">
        <w:t xml:space="preserve">he definitions of sector cohorts </w:t>
      </w:r>
      <w:r w:rsidR="001D1982" w:rsidRPr="00FE73DE">
        <w:t>used in reporting (such as early</w:t>
      </w:r>
      <w:r w:rsidR="0035315C" w:rsidRPr="00FE73DE">
        <w:t xml:space="preserve"> </w:t>
      </w:r>
      <w:r w:rsidR="001D1982" w:rsidRPr="00FE73DE">
        <w:t xml:space="preserve">start customer, pre-bank customer or current business lifecycle phase) </w:t>
      </w:r>
      <w:r w:rsidR="00E41360" w:rsidRPr="00FE73DE">
        <w:t xml:space="preserve">did not </w:t>
      </w:r>
      <w:r w:rsidR="0063506F" w:rsidRPr="00FE73DE">
        <w:t xml:space="preserve">apply </w:t>
      </w:r>
      <w:r w:rsidR="00E41360" w:rsidRPr="00FE73DE">
        <w:t xml:space="preserve">across the different BSP service offerings. </w:t>
      </w:r>
      <w:r w:rsidR="0067333D" w:rsidRPr="00FE73DE">
        <w:t xml:space="preserve">This made comparisons across the customer base, as well as those under other NIAA-funded programs, difficult. </w:t>
      </w:r>
      <w:r w:rsidR="00A356E5">
        <w:t>C</w:t>
      </w:r>
      <w:r w:rsidR="00954EC4" w:rsidRPr="00FE73DE">
        <w:t xml:space="preserve">onsistent key business and target cohort </w:t>
      </w:r>
      <w:r w:rsidR="00A356E5" w:rsidRPr="00FE73DE">
        <w:t xml:space="preserve">definitions </w:t>
      </w:r>
      <w:r w:rsidR="00954EC4" w:rsidRPr="00FE73DE">
        <w:t xml:space="preserve">across Indigenous business support initiatives would assist with aligning support and minimising unintended duplication across the various programs. </w:t>
      </w:r>
      <w:r w:rsidR="000863BC" w:rsidRPr="00FE73DE">
        <w:t xml:space="preserve">This is explored further </w:t>
      </w:r>
      <w:r w:rsidR="00A356E5">
        <w:t>in</w:t>
      </w:r>
      <w:r w:rsidR="000863BC" w:rsidRPr="00FE73DE">
        <w:t xml:space="preserve"> section </w:t>
      </w:r>
      <w:r w:rsidR="003257FB">
        <w:t>8</w:t>
      </w:r>
      <w:r w:rsidR="000863BC" w:rsidRPr="00FE73DE">
        <w:t>.3.</w:t>
      </w:r>
      <w:r w:rsidR="00E41360" w:rsidRPr="00FE73DE">
        <w:t xml:space="preserve"> </w:t>
      </w:r>
    </w:p>
    <w:p w14:paraId="2D31F63B" w14:textId="4063D67E" w:rsidR="00B348A4" w:rsidRPr="00FE73DE" w:rsidRDefault="00C82D52" w:rsidP="00B348A4">
      <w:pPr>
        <w:rPr>
          <w:szCs w:val="24"/>
        </w:rPr>
      </w:pPr>
      <w:r w:rsidRPr="00FE73DE">
        <w:rPr>
          <w:szCs w:val="24"/>
        </w:rPr>
        <w:t>Discussions with IBA highlighted that q</w:t>
      </w:r>
      <w:r w:rsidR="00CA154D" w:rsidRPr="00FE73DE">
        <w:rPr>
          <w:szCs w:val="24"/>
        </w:rPr>
        <w:t>uarterly performance reporting and IBA</w:t>
      </w:r>
      <w:r w:rsidRPr="00FE73DE">
        <w:rPr>
          <w:szCs w:val="24"/>
        </w:rPr>
        <w:t>’s</w:t>
      </w:r>
      <w:r w:rsidR="00CA154D" w:rsidRPr="00FE73DE">
        <w:rPr>
          <w:szCs w:val="24"/>
        </w:rPr>
        <w:t xml:space="preserve"> delivery focus </w:t>
      </w:r>
      <w:r w:rsidRPr="00FE73DE">
        <w:rPr>
          <w:szCs w:val="24"/>
        </w:rPr>
        <w:t xml:space="preserve">was aligned to </w:t>
      </w:r>
      <w:r w:rsidR="00B348A4" w:rsidRPr="00FE73DE">
        <w:rPr>
          <w:szCs w:val="24"/>
        </w:rPr>
        <w:t xml:space="preserve">the KPI’s rather than </w:t>
      </w:r>
      <w:r w:rsidR="00A83AF5" w:rsidRPr="00FE73DE">
        <w:rPr>
          <w:szCs w:val="24"/>
        </w:rPr>
        <w:t xml:space="preserve">being able to </w:t>
      </w:r>
      <w:r w:rsidR="00B348A4" w:rsidRPr="00FE73DE">
        <w:rPr>
          <w:szCs w:val="24"/>
        </w:rPr>
        <w:t>tak</w:t>
      </w:r>
      <w:r w:rsidR="00A83AF5" w:rsidRPr="00FE73DE">
        <w:rPr>
          <w:szCs w:val="24"/>
        </w:rPr>
        <w:t>e</w:t>
      </w:r>
      <w:r w:rsidR="00B348A4" w:rsidRPr="00FE73DE">
        <w:rPr>
          <w:szCs w:val="24"/>
        </w:rPr>
        <w:t xml:space="preserve"> a more holistic approach to program implementation</w:t>
      </w:r>
      <w:r w:rsidR="00A83AF5" w:rsidRPr="00FE73DE">
        <w:rPr>
          <w:szCs w:val="24"/>
        </w:rPr>
        <w:t xml:space="preserve">. This, combined with the </w:t>
      </w:r>
      <w:r w:rsidR="000863BC" w:rsidRPr="00FE73DE">
        <w:rPr>
          <w:szCs w:val="24"/>
        </w:rPr>
        <w:t xml:space="preserve">extant </w:t>
      </w:r>
      <w:r w:rsidR="00A83AF5" w:rsidRPr="00FE73DE">
        <w:rPr>
          <w:szCs w:val="24"/>
        </w:rPr>
        <w:t>customer management system</w:t>
      </w:r>
      <w:r w:rsidR="000863BC" w:rsidRPr="00FE73DE">
        <w:rPr>
          <w:szCs w:val="24"/>
        </w:rPr>
        <w:t xml:space="preserve"> from BDAP</w:t>
      </w:r>
      <w:r w:rsidR="00A83AF5" w:rsidRPr="00FE73DE">
        <w:rPr>
          <w:szCs w:val="24"/>
        </w:rPr>
        <w:t xml:space="preserve">, reduced </w:t>
      </w:r>
      <w:r w:rsidR="000863BC" w:rsidRPr="00FE73DE">
        <w:rPr>
          <w:szCs w:val="24"/>
        </w:rPr>
        <w:t xml:space="preserve">IBA’s </w:t>
      </w:r>
      <w:r w:rsidR="00CA154D" w:rsidRPr="00FE73DE">
        <w:rPr>
          <w:szCs w:val="24"/>
        </w:rPr>
        <w:t xml:space="preserve">ability to </w:t>
      </w:r>
      <w:r w:rsidR="00771571" w:rsidRPr="00FE73DE">
        <w:rPr>
          <w:szCs w:val="24"/>
        </w:rPr>
        <w:t xml:space="preserve">track and </w:t>
      </w:r>
      <w:r w:rsidR="00CA154D" w:rsidRPr="00FE73DE">
        <w:rPr>
          <w:szCs w:val="24"/>
        </w:rPr>
        <w:t xml:space="preserve">readily respond to emerging </w:t>
      </w:r>
      <w:r w:rsidR="00771571" w:rsidRPr="00FE73DE">
        <w:rPr>
          <w:szCs w:val="24"/>
        </w:rPr>
        <w:t>demands</w:t>
      </w:r>
      <w:r w:rsidR="00B348A4" w:rsidRPr="00FE73DE">
        <w:rPr>
          <w:szCs w:val="24"/>
        </w:rPr>
        <w:t xml:space="preserve">. This </w:t>
      </w:r>
      <w:r w:rsidR="00A83AF5" w:rsidRPr="00FE73DE">
        <w:rPr>
          <w:szCs w:val="24"/>
        </w:rPr>
        <w:t xml:space="preserve">focus </w:t>
      </w:r>
      <w:r w:rsidR="000863BC" w:rsidRPr="00FE73DE">
        <w:rPr>
          <w:szCs w:val="24"/>
        </w:rPr>
        <w:t xml:space="preserve">on KPIs </w:t>
      </w:r>
      <w:r w:rsidR="00A83AF5" w:rsidRPr="00FE73DE">
        <w:rPr>
          <w:szCs w:val="24"/>
        </w:rPr>
        <w:t xml:space="preserve">was </w:t>
      </w:r>
      <w:r w:rsidR="00B348A4" w:rsidRPr="00FE73DE">
        <w:rPr>
          <w:szCs w:val="24"/>
        </w:rPr>
        <w:t>partly motivated by 40</w:t>
      </w:r>
      <w:r w:rsidR="00552536" w:rsidRPr="00FE73DE">
        <w:rPr>
          <w:szCs w:val="24"/>
        </w:rPr>
        <w:t>.5</w:t>
      </w:r>
      <w:r w:rsidR="00B348A4" w:rsidRPr="00FE73DE">
        <w:rPr>
          <w:szCs w:val="24"/>
        </w:rPr>
        <w:t xml:space="preserve">% of the </w:t>
      </w:r>
      <w:r w:rsidR="0095047B" w:rsidRPr="00FE73DE">
        <w:rPr>
          <w:szCs w:val="24"/>
        </w:rPr>
        <w:t xml:space="preserve">annual business support </w:t>
      </w:r>
      <w:r w:rsidR="00B348A4" w:rsidRPr="00FE73DE">
        <w:rPr>
          <w:szCs w:val="24"/>
        </w:rPr>
        <w:t>funding being tied to satisfactory performance</w:t>
      </w:r>
      <w:r w:rsidR="0095047B" w:rsidRPr="00FE73DE">
        <w:rPr>
          <w:szCs w:val="24"/>
        </w:rPr>
        <w:t xml:space="preserve"> against the </w:t>
      </w:r>
      <w:r w:rsidR="00A356E5" w:rsidRPr="00FE73DE">
        <w:rPr>
          <w:szCs w:val="24"/>
        </w:rPr>
        <w:t>KPIs</w:t>
      </w:r>
      <w:r w:rsidR="00A356E5">
        <w:rPr>
          <w:szCs w:val="24"/>
        </w:rPr>
        <w:t xml:space="preserve"> but</w:t>
      </w:r>
      <w:r w:rsidR="00A83AF5" w:rsidRPr="00FE73DE">
        <w:rPr>
          <w:szCs w:val="24"/>
        </w:rPr>
        <w:t xml:space="preserve"> applied retrospectively – i.e. as a </w:t>
      </w:r>
      <w:r w:rsidR="000863BC" w:rsidRPr="00FE73DE">
        <w:rPr>
          <w:szCs w:val="24"/>
        </w:rPr>
        <w:t xml:space="preserve">potential </w:t>
      </w:r>
      <w:r w:rsidR="00A83AF5" w:rsidRPr="00FE73DE">
        <w:rPr>
          <w:szCs w:val="24"/>
        </w:rPr>
        <w:t xml:space="preserve">penalty </w:t>
      </w:r>
      <w:r w:rsidR="0063506F" w:rsidRPr="00FE73DE">
        <w:rPr>
          <w:szCs w:val="24"/>
        </w:rPr>
        <w:t>if KPIs are not satisfactorily achieved</w:t>
      </w:r>
      <w:r w:rsidR="00A356E5">
        <w:rPr>
          <w:szCs w:val="24"/>
        </w:rPr>
        <w:t>,</w:t>
      </w:r>
      <w:r w:rsidR="0063506F" w:rsidRPr="00FE73DE">
        <w:rPr>
          <w:szCs w:val="24"/>
        </w:rPr>
        <w:t xml:space="preserve"> as </w:t>
      </w:r>
      <w:r w:rsidR="00A83AF5" w:rsidRPr="00FE73DE">
        <w:rPr>
          <w:szCs w:val="24"/>
        </w:rPr>
        <w:t>funds have already been expended on delivering the services.</w:t>
      </w:r>
    </w:p>
    <w:p w14:paraId="2A9AA87D" w14:textId="2C7CB0FB" w:rsidR="00E75F75" w:rsidRDefault="000C5EF1" w:rsidP="00632A7B">
      <w:pPr>
        <w:spacing w:after="200" w:line="276" w:lineRule="auto"/>
      </w:pPr>
      <w:r w:rsidRPr="00FE73DE">
        <w:t>In addition, c</w:t>
      </w:r>
      <w:r w:rsidR="00E75F75" w:rsidRPr="00FE73DE">
        <w:t xml:space="preserve">ertain thematic areas of the BSP grant agreement did not have KPIs linked to </w:t>
      </w:r>
      <w:r w:rsidRPr="00FE73DE">
        <w:t xml:space="preserve">the delivery of </w:t>
      </w:r>
      <w:r w:rsidR="00E75F75" w:rsidRPr="00FE73DE">
        <w:t xml:space="preserve">specific product and support services. As a result, the design lacked certain mechanisms to ensure all </w:t>
      </w:r>
      <w:r w:rsidRPr="00FE73DE">
        <w:t xml:space="preserve">elements were </w:t>
      </w:r>
      <w:r w:rsidR="00E75F75" w:rsidRPr="00FE73DE">
        <w:t xml:space="preserve">being </w:t>
      </w:r>
      <w:r w:rsidRPr="00FE73DE">
        <w:t>actioned</w:t>
      </w:r>
      <w:r w:rsidR="002F7353">
        <w:t xml:space="preserve"> </w:t>
      </w:r>
      <w:r w:rsidR="002F7353" w:rsidRPr="00826FD6">
        <w:t>such as the development of a referral process to other Indigenous business support activities</w:t>
      </w:r>
      <w:r w:rsidR="00E75F75" w:rsidRPr="00FE73DE">
        <w:t xml:space="preserve">. </w:t>
      </w:r>
      <w:r w:rsidR="002F7353">
        <w:t>Notwithstanding the IBSS aim of growing the Indigenous business sector, the BSP design made no mention of implementing</w:t>
      </w:r>
      <w:r w:rsidRPr="00FE73DE">
        <w:t xml:space="preserve"> an </w:t>
      </w:r>
      <w:r w:rsidR="00E75F75" w:rsidRPr="00FE73DE">
        <w:t xml:space="preserve">exit strategy for more mature business finance customers to </w:t>
      </w:r>
      <w:r w:rsidR="002F7353">
        <w:t xml:space="preserve">support them to </w:t>
      </w:r>
      <w:r w:rsidR="00E75F75" w:rsidRPr="00FE73DE">
        <w:t>seek finance from commercial service providers (and</w:t>
      </w:r>
      <w:r w:rsidR="00A356E5">
        <w:t xml:space="preserve"> hence</w:t>
      </w:r>
      <w:r w:rsidR="00E75F75" w:rsidRPr="00FE73DE">
        <w:t xml:space="preserve"> free up limited capital for those unable to access commercial finance</w:t>
      </w:r>
      <w:r w:rsidR="002F7353">
        <w:t>)</w:t>
      </w:r>
      <w:r w:rsidR="00E75F75" w:rsidRPr="00FE73DE">
        <w:t xml:space="preserve">. </w:t>
      </w:r>
    </w:p>
    <w:p w14:paraId="20D56B10" w14:textId="3333AF5C" w:rsidR="004D2179" w:rsidRPr="00FE73DE" w:rsidRDefault="004D2179" w:rsidP="004F2771">
      <w:pPr>
        <w:pStyle w:val="Heading2"/>
        <w:ind w:hanging="792"/>
      </w:pPr>
      <w:bookmarkStart w:id="45" w:name="_Toc109569489"/>
      <w:bookmarkStart w:id="46" w:name="_Toc123734703"/>
      <w:r w:rsidRPr="00FE73DE">
        <w:t xml:space="preserve">Key </w:t>
      </w:r>
      <w:r w:rsidR="00A356E5">
        <w:t>c</w:t>
      </w:r>
      <w:r w:rsidRPr="00FE73DE">
        <w:t xml:space="preserve">omponents of current BSP </w:t>
      </w:r>
      <w:r w:rsidR="00F50502" w:rsidRPr="00FE73DE">
        <w:t>d</w:t>
      </w:r>
      <w:r w:rsidRPr="00FE73DE">
        <w:t>esign</w:t>
      </w:r>
      <w:bookmarkEnd w:id="45"/>
      <w:bookmarkEnd w:id="46"/>
    </w:p>
    <w:p w14:paraId="5A4A018C" w14:textId="72279728" w:rsidR="002155D7" w:rsidRPr="00FE73DE" w:rsidRDefault="004D2179" w:rsidP="00104FE7">
      <w:pPr>
        <w:spacing w:after="200" w:line="276" w:lineRule="auto"/>
      </w:pPr>
      <w:r w:rsidRPr="00FE73DE">
        <w:rPr>
          <w:szCs w:val="24"/>
        </w:rPr>
        <w:t>The BSP contains a range of products and services that are aligned to the policy intent of the IBSS including internal and external business support and the provision a range of finance products.</w:t>
      </w:r>
      <w:r w:rsidR="00104FE7" w:rsidRPr="00FE73DE">
        <w:rPr>
          <w:szCs w:val="24"/>
        </w:rPr>
        <w:t xml:space="preserve"> </w:t>
      </w:r>
      <w:r w:rsidR="002155D7" w:rsidRPr="00FE73DE">
        <w:t xml:space="preserve">The </w:t>
      </w:r>
      <w:r w:rsidR="0063506F" w:rsidRPr="00FE73DE">
        <w:t xml:space="preserve">full </w:t>
      </w:r>
      <w:r w:rsidR="002155D7" w:rsidRPr="00FE73DE">
        <w:t xml:space="preserve">extent of </w:t>
      </w:r>
      <w:r w:rsidR="002E4F52" w:rsidRPr="00FE73DE">
        <w:t xml:space="preserve">IBA </w:t>
      </w:r>
      <w:r w:rsidR="002155D7" w:rsidRPr="00FE73DE">
        <w:t xml:space="preserve">support available to </w:t>
      </w:r>
      <w:r w:rsidR="007560B5">
        <w:t xml:space="preserve">eligible </w:t>
      </w:r>
      <w:r w:rsidR="002155D7" w:rsidRPr="00FE73DE">
        <w:t xml:space="preserve">Indigenous businesses is shown in </w:t>
      </w:r>
      <w:r w:rsidR="002155D7" w:rsidRPr="00FE73DE">
        <w:fldChar w:fldCharType="begin"/>
      </w:r>
      <w:r w:rsidR="002155D7" w:rsidRPr="00FE73DE">
        <w:instrText xml:space="preserve"> REF _Ref108368613 \h </w:instrText>
      </w:r>
      <w:r w:rsidR="002155D7" w:rsidRPr="00FE73DE">
        <w:fldChar w:fldCharType="separate"/>
      </w:r>
      <w:r w:rsidR="004718C9" w:rsidRPr="00FE73DE">
        <w:t xml:space="preserve">Figure </w:t>
      </w:r>
      <w:r w:rsidR="004718C9">
        <w:rPr>
          <w:noProof/>
        </w:rPr>
        <w:t>1</w:t>
      </w:r>
      <w:r w:rsidR="002155D7" w:rsidRPr="00FE73DE">
        <w:fldChar w:fldCharType="end"/>
      </w:r>
      <w:r w:rsidR="002155D7" w:rsidRPr="00FE73DE">
        <w:t xml:space="preserve">. </w:t>
      </w:r>
    </w:p>
    <w:p w14:paraId="642A2E53" w14:textId="77777777" w:rsidR="002155D7" w:rsidRPr="00FE73DE" w:rsidRDefault="002155D7" w:rsidP="002155D7">
      <w:r w:rsidRPr="00FE73DE">
        <w:rPr>
          <w:noProof/>
          <w:lang w:eastAsia="en-AU"/>
        </w:rPr>
        <w:drawing>
          <wp:inline distT="0" distB="0" distL="0" distR="0" wp14:anchorId="3269A919" wp14:editId="30EC64D2">
            <wp:extent cx="5616000" cy="3594376"/>
            <wp:effectExtent l="0" t="0" r="3810" b="635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stretch>
                      <a:fillRect/>
                    </a:stretch>
                  </pic:blipFill>
                  <pic:spPr>
                    <a:xfrm>
                      <a:off x="0" y="0"/>
                      <a:ext cx="5616000" cy="3594376"/>
                    </a:xfrm>
                    <a:prstGeom prst="rect">
                      <a:avLst/>
                    </a:prstGeom>
                  </pic:spPr>
                </pic:pic>
              </a:graphicData>
            </a:graphic>
          </wp:inline>
        </w:drawing>
      </w:r>
    </w:p>
    <w:p w14:paraId="41401785" w14:textId="4ABE126D" w:rsidR="002155D7" w:rsidRPr="00FE73DE" w:rsidRDefault="002155D7" w:rsidP="002155D7">
      <w:pPr>
        <w:pStyle w:val="Caption"/>
        <w:keepLines w:val="0"/>
      </w:pPr>
      <w:bookmarkStart w:id="47" w:name="_Ref108368613"/>
      <w:r w:rsidRPr="00FE73DE">
        <w:t xml:space="preserve">Figure </w:t>
      </w:r>
      <w:fldSimple w:instr=" SEQ Figure \* ARABIC ">
        <w:r w:rsidR="004718C9">
          <w:rPr>
            <w:noProof/>
          </w:rPr>
          <w:t>1</w:t>
        </w:r>
      </w:fldSimple>
      <w:bookmarkEnd w:id="47"/>
      <w:r w:rsidRPr="00FE73DE">
        <w:t>: IBA’s support summary to help grow a business</w:t>
      </w:r>
      <w:r w:rsidR="002E4F52" w:rsidRPr="00FE73DE">
        <w:t xml:space="preserve"> (as </w:t>
      </w:r>
      <w:r w:rsidR="00FF6BC2" w:rsidRPr="00FE73DE">
        <w:t>of</w:t>
      </w:r>
      <w:r w:rsidR="002E4F52" w:rsidRPr="00FE73DE">
        <w:t xml:space="preserve"> May 2022)</w:t>
      </w:r>
    </w:p>
    <w:p w14:paraId="1489A9E3" w14:textId="55626689" w:rsidR="00844DE3" w:rsidRDefault="00697594" w:rsidP="00697594">
      <w:pPr>
        <w:rPr>
          <w:szCs w:val="24"/>
        </w:rPr>
      </w:pPr>
      <w:r w:rsidRPr="00FE73DE">
        <w:rPr>
          <w:szCs w:val="24"/>
        </w:rPr>
        <w:t>While funds under the BSP grant agreement are separated between business support and a capital component, the</w:t>
      </w:r>
      <w:r w:rsidR="00355D91" w:rsidRPr="00FE73DE">
        <w:rPr>
          <w:szCs w:val="24"/>
        </w:rPr>
        <w:t>re is no further breakdown requiring emphasis on service delivery within the funding.</w:t>
      </w:r>
      <w:r w:rsidRPr="00FE73DE">
        <w:rPr>
          <w:szCs w:val="24"/>
        </w:rPr>
        <w:t xml:space="preserve"> Neither the grant agreement or the grant annual reconciliations require the reporting of expenses in further detail than operational expenses and capital expenses. As a result, the evaluation was not able to distinguish how much IBA spends by support offerings shown in </w:t>
      </w:r>
      <w:r w:rsidRPr="00FE73DE">
        <w:rPr>
          <w:szCs w:val="24"/>
        </w:rPr>
        <w:fldChar w:fldCharType="begin"/>
      </w:r>
      <w:r w:rsidRPr="00FE73DE">
        <w:rPr>
          <w:szCs w:val="24"/>
        </w:rPr>
        <w:instrText xml:space="preserve"> REF _Ref108368613 \h </w:instrText>
      </w:r>
      <w:r w:rsidRPr="00FE73DE">
        <w:rPr>
          <w:szCs w:val="24"/>
        </w:rPr>
      </w:r>
      <w:r w:rsidRPr="00FE73DE">
        <w:rPr>
          <w:szCs w:val="24"/>
        </w:rPr>
        <w:fldChar w:fldCharType="separate"/>
      </w:r>
      <w:r w:rsidR="004718C9" w:rsidRPr="00FE73DE">
        <w:t xml:space="preserve">Figure </w:t>
      </w:r>
      <w:r w:rsidR="004718C9">
        <w:rPr>
          <w:noProof/>
        </w:rPr>
        <w:t>1</w:t>
      </w:r>
      <w:r w:rsidRPr="00FE73DE">
        <w:rPr>
          <w:szCs w:val="24"/>
        </w:rPr>
        <w:fldChar w:fldCharType="end"/>
      </w:r>
      <w:r w:rsidRPr="00FE73DE">
        <w:rPr>
          <w:szCs w:val="24"/>
        </w:rPr>
        <w:t xml:space="preserve">. </w:t>
      </w:r>
    </w:p>
    <w:p w14:paraId="63D4833B" w14:textId="77777777" w:rsidR="004D321A" w:rsidRDefault="00697594" w:rsidP="004D321A">
      <w:pPr>
        <w:rPr>
          <w:szCs w:val="24"/>
        </w:rPr>
      </w:pPr>
      <w:r w:rsidRPr="00FE73DE">
        <w:rPr>
          <w:szCs w:val="24"/>
        </w:rPr>
        <w:t xml:space="preserve">Further, </w:t>
      </w:r>
      <w:r w:rsidR="00355D91" w:rsidRPr="00FE73DE">
        <w:rPr>
          <w:szCs w:val="24"/>
        </w:rPr>
        <w:t>examination of the</w:t>
      </w:r>
      <w:r w:rsidRPr="00FE73DE">
        <w:rPr>
          <w:szCs w:val="24"/>
        </w:rPr>
        <w:t xml:space="preserve"> aggregate </w:t>
      </w:r>
      <w:r w:rsidR="00355D91" w:rsidRPr="00FE73DE">
        <w:rPr>
          <w:szCs w:val="24"/>
        </w:rPr>
        <w:t xml:space="preserve">operational expense </w:t>
      </w:r>
      <w:r w:rsidRPr="00FE73DE">
        <w:rPr>
          <w:szCs w:val="24"/>
        </w:rPr>
        <w:t xml:space="preserve">categories of, for example, employee benefits or legal costs, </w:t>
      </w:r>
      <w:r w:rsidR="00355D91" w:rsidRPr="00FE73DE">
        <w:rPr>
          <w:szCs w:val="24"/>
        </w:rPr>
        <w:t xml:space="preserve">highlighted the absence of any </w:t>
      </w:r>
      <w:r w:rsidRPr="00FE73DE">
        <w:rPr>
          <w:szCs w:val="24"/>
        </w:rPr>
        <w:t>breakdown between business support activities or the provision of business finance.</w:t>
      </w:r>
      <w:r w:rsidR="00355D91" w:rsidRPr="00FE73DE">
        <w:rPr>
          <w:szCs w:val="24"/>
        </w:rPr>
        <w:t xml:space="preserve"> While the absence of this specificity in the design enables IBA to adjust the level of support across the suite of </w:t>
      </w:r>
      <w:r w:rsidR="00492A96" w:rsidRPr="00FE73DE">
        <w:rPr>
          <w:szCs w:val="24"/>
        </w:rPr>
        <w:t xml:space="preserve">products and services </w:t>
      </w:r>
      <w:r w:rsidR="00355D91" w:rsidRPr="00FE73DE">
        <w:rPr>
          <w:szCs w:val="24"/>
        </w:rPr>
        <w:t>to meet the individual needs to customers, the effectiveness and efficiency of support outputs is not able to be determined.</w:t>
      </w:r>
      <w:r w:rsidR="004D321A">
        <w:rPr>
          <w:szCs w:val="24"/>
        </w:rPr>
        <w:t xml:space="preserve"> </w:t>
      </w:r>
    </w:p>
    <w:p w14:paraId="42DD9383" w14:textId="35FE74A7" w:rsidR="004D321A" w:rsidRPr="00FE73DE" w:rsidRDefault="004D321A" w:rsidP="004D321A">
      <w:r>
        <w:t>T</w:t>
      </w:r>
      <w:r w:rsidRPr="00FE73DE">
        <w:t>he evaluation was able to diagrammatically map the variability of an IBA customer journey through the BSP and the opportunity for multiple instances of support to be provided over the life of the relationship (see</w:t>
      </w:r>
      <w:r w:rsidR="00B8100C">
        <w:t xml:space="preserve"> </w:t>
      </w:r>
      <w:r w:rsidR="00B8100C">
        <w:fldChar w:fldCharType="begin"/>
      </w:r>
      <w:r w:rsidR="00B8100C">
        <w:instrText xml:space="preserve"> REF _Ref123580809 \h </w:instrText>
      </w:r>
      <w:r w:rsidR="00B8100C">
        <w:fldChar w:fldCharType="separate"/>
      </w:r>
      <w:r w:rsidR="004718C9" w:rsidRPr="00FE73DE">
        <w:t xml:space="preserve">Figure </w:t>
      </w:r>
      <w:r w:rsidR="004718C9">
        <w:rPr>
          <w:noProof/>
        </w:rPr>
        <w:t>2</w:t>
      </w:r>
      <w:r w:rsidR="00B8100C">
        <w:fldChar w:fldCharType="end"/>
      </w:r>
      <w:r w:rsidRPr="00FE73DE">
        <w:t xml:space="preserve">). </w:t>
      </w:r>
    </w:p>
    <w:p w14:paraId="4970DFB2" w14:textId="77777777" w:rsidR="004D321A" w:rsidRPr="00FE73DE" w:rsidRDefault="004D321A" w:rsidP="004D321A">
      <w:pPr>
        <w:jc w:val="center"/>
      </w:pPr>
      <w:r w:rsidRPr="00FE73DE">
        <w:rPr>
          <w:noProof/>
          <w:lang w:eastAsia="en-AU"/>
        </w:rPr>
        <w:drawing>
          <wp:inline distT="0" distB="0" distL="0" distR="0" wp14:anchorId="46A63E71" wp14:editId="72B640CD">
            <wp:extent cx="4572009" cy="4962154"/>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4572009" cy="4962154"/>
                    </a:xfrm>
                    <a:prstGeom prst="rect">
                      <a:avLst/>
                    </a:prstGeom>
                  </pic:spPr>
                </pic:pic>
              </a:graphicData>
            </a:graphic>
          </wp:inline>
        </w:drawing>
      </w:r>
    </w:p>
    <w:p w14:paraId="0A427C65" w14:textId="4A57591D" w:rsidR="004D321A" w:rsidRPr="00FE73DE" w:rsidRDefault="004D321A" w:rsidP="004D321A">
      <w:pPr>
        <w:pStyle w:val="Caption"/>
        <w:keepNext/>
        <w:spacing w:after="0"/>
      </w:pPr>
      <w:bookmarkStart w:id="48" w:name="_Ref123580809"/>
      <w:r w:rsidRPr="00FE73DE">
        <w:t xml:space="preserve">Figure </w:t>
      </w:r>
      <w:fldSimple w:instr=" SEQ Figure \* ARABIC ">
        <w:r w:rsidR="004718C9">
          <w:rPr>
            <w:noProof/>
          </w:rPr>
          <w:t>2</w:t>
        </w:r>
      </w:fldSimple>
      <w:bookmarkEnd w:id="48"/>
      <w:r w:rsidRPr="00FE73DE">
        <w:t>: IBA customer journey under the BSP</w:t>
      </w:r>
    </w:p>
    <w:p w14:paraId="33AAE22B" w14:textId="77777777" w:rsidR="004D321A" w:rsidRPr="00FE73DE" w:rsidRDefault="004D321A" w:rsidP="004D321A">
      <w:pPr>
        <w:pStyle w:val="TableNote"/>
      </w:pPr>
      <w:r w:rsidRPr="00FE73DE">
        <w:t>Source: Sustineo based IBA data and stakeholder experiences</w:t>
      </w:r>
    </w:p>
    <w:p w14:paraId="0DE48B35" w14:textId="4C7C29B0" w:rsidR="001B352E" w:rsidRPr="00FE73DE" w:rsidRDefault="00104FE7">
      <w:pPr>
        <w:pStyle w:val="Heading3"/>
      </w:pPr>
      <w:r w:rsidRPr="00FE73DE">
        <w:t>B</w:t>
      </w:r>
      <w:r w:rsidR="001B352E" w:rsidRPr="00FE73DE">
        <w:t>usiness support</w:t>
      </w:r>
    </w:p>
    <w:p w14:paraId="664B55AA" w14:textId="3B6F889A" w:rsidR="00762684" w:rsidRPr="00FE73DE" w:rsidRDefault="00D16277" w:rsidP="00762684">
      <w:pPr>
        <w:rPr>
          <w:szCs w:val="24"/>
        </w:rPr>
      </w:pPr>
      <w:r w:rsidRPr="00FE73DE">
        <w:rPr>
          <w:szCs w:val="24"/>
        </w:rPr>
        <w:t>The challenges associated with gaining access to capital for Indigenous business owners is well documented.</w:t>
      </w:r>
      <w:r w:rsidR="00B35750" w:rsidRPr="00FE73DE">
        <w:rPr>
          <w:rStyle w:val="FootnoteReference"/>
          <w:szCs w:val="24"/>
        </w:rPr>
        <w:footnoteReference w:id="17"/>
      </w:r>
      <w:r w:rsidRPr="00FE73DE">
        <w:rPr>
          <w:szCs w:val="24"/>
        </w:rPr>
        <w:t xml:space="preserve"> </w:t>
      </w:r>
      <w:r w:rsidR="00932F81" w:rsidRPr="00FE73DE">
        <w:rPr>
          <w:szCs w:val="24"/>
        </w:rPr>
        <w:t xml:space="preserve">Further, a lack of financial and business advice can lead to business failure. </w:t>
      </w:r>
      <w:r w:rsidR="00104FE7" w:rsidRPr="00FE73DE">
        <w:rPr>
          <w:szCs w:val="24"/>
        </w:rPr>
        <w:t xml:space="preserve">Studies </w:t>
      </w:r>
      <w:r w:rsidR="00932F81" w:rsidRPr="00FE73DE">
        <w:rPr>
          <w:szCs w:val="24"/>
        </w:rPr>
        <w:t>such as the Australian Institute of Health and Welfare</w:t>
      </w:r>
      <w:r w:rsidR="005A6F22" w:rsidRPr="00FE73DE">
        <w:rPr>
          <w:szCs w:val="24"/>
        </w:rPr>
        <w:t>’</w:t>
      </w:r>
      <w:r w:rsidR="00932F81" w:rsidRPr="00FE73DE">
        <w:rPr>
          <w:szCs w:val="24"/>
        </w:rPr>
        <w:t>s</w:t>
      </w:r>
      <w:r w:rsidR="005A6F22" w:rsidRPr="00FE73DE">
        <w:rPr>
          <w:szCs w:val="24"/>
        </w:rPr>
        <w:t xml:space="preserve"> (AIHW)</w:t>
      </w:r>
      <w:r w:rsidR="00932F81" w:rsidRPr="00FE73DE">
        <w:rPr>
          <w:szCs w:val="24"/>
        </w:rPr>
        <w:t xml:space="preserve"> 2014 </w:t>
      </w:r>
      <w:r w:rsidR="00932F81" w:rsidRPr="00FE73DE">
        <w:rPr>
          <w:i/>
          <w:iCs/>
          <w:szCs w:val="24"/>
        </w:rPr>
        <w:t>Success factors for Indigenous entrepreneurs and community-based enterprises</w:t>
      </w:r>
      <w:r w:rsidR="00932F81" w:rsidRPr="00FE73DE">
        <w:rPr>
          <w:rStyle w:val="FootnoteReference"/>
          <w:szCs w:val="24"/>
        </w:rPr>
        <w:footnoteReference w:id="18"/>
      </w:r>
      <w:r w:rsidR="00932F81" w:rsidRPr="00FE73DE">
        <w:rPr>
          <w:szCs w:val="24"/>
        </w:rPr>
        <w:t xml:space="preserve"> highlight that gaining a</w:t>
      </w:r>
      <w:r w:rsidR="00104FE7" w:rsidRPr="00FE73DE">
        <w:rPr>
          <w:szCs w:val="24"/>
        </w:rPr>
        <w:t>ccess to business expertise and mentorship early in the business proposal</w:t>
      </w:r>
      <w:r w:rsidR="007050F0">
        <w:rPr>
          <w:szCs w:val="24"/>
        </w:rPr>
        <w:t xml:space="preserve"> stage</w:t>
      </w:r>
      <w:r w:rsidR="00104FE7" w:rsidRPr="00FE73DE">
        <w:rPr>
          <w:szCs w:val="24"/>
        </w:rPr>
        <w:t xml:space="preserve"> can be an enabler for Indigenous business. </w:t>
      </w:r>
      <w:r w:rsidR="00E61311" w:rsidRPr="00FE73DE">
        <w:rPr>
          <w:szCs w:val="24"/>
        </w:rPr>
        <w:t xml:space="preserve">Research </w:t>
      </w:r>
      <w:r w:rsidR="005A6F22" w:rsidRPr="00FE73DE">
        <w:rPr>
          <w:szCs w:val="24"/>
        </w:rPr>
        <w:t xml:space="preserve">published by </w:t>
      </w:r>
      <w:r w:rsidR="00932F81" w:rsidRPr="00FE73DE">
        <w:rPr>
          <w:szCs w:val="24"/>
        </w:rPr>
        <w:t>Supply Nation</w:t>
      </w:r>
      <w:r w:rsidR="00C00761" w:rsidRPr="00FE73DE">
        <w:rPr>
          <w:szCs w:val="24"/>
        </w:rPr>
        <w:t>/First Australians Capital</w:t>
      </w:r>
      <w:r w:rsidR="00932F81" w:rsidRPr="00FE73DE">
        <w:rPr>
          <w:szCs w:val="24"/>
        </w:rPr>
        <w:t xml:space="preserve"> ha</w:t>
      </w:r>
      <w:r w:rsidR="00C00761" w:rsidRPr="00FE73DE">
        <w:rPr>
          <w:szCs w:val="24"/>
        </w:rPr>
        <w:t>s</w:t>
      </w:r>
      <w:r w:rsidR="00932F81" w:rsidRPr="00FE73DE">
        <w:rPr>
          <w:szCs w:val="24"/>
        </w:rPr>
        <w:t xml:space="preserve"> also reiterated that the critical hurdles for</w:t>
      </w:r>
      <w:r w:rsidR="005A6F22" w:rsidRPr="00FE73DE">
        <w:rPr>
          <w:szCs w:val="24"/>
        </w:rPr>
        <w:t xml:space="preserve"> success include having the right skills and support systems, access to funding, and generating demand for services.</w:t>
      </w:r>
      <w:r w:rsidR="005A6F22" w:rsidRPr="00FE73DE">
        <w:rPr>
          <w:rStyle w:val="FootnoteReference"/>
          <w:szCs w:val="24"/>
        </w:rPr>
        <w:footnoteReference w:id="19"/>
      </w:r>
      <w:r w:rsidR="005A6F22" w:rsidRPr="00FE73DE">
        <w:rPr>
          <w:szCs w:val="24"/>
        </w:rPr>
        <w:t xml:space="preserve"> </w:t>
      </w:r>
    </w:p>
    <w:p w14:paraId="0E6E2E1E" w14:textId="70E07F05" w:rsidR="00762684" w:rsidRPr="00FE73DE" w:rsidRDefault="00762684" w:rsidP="00762684">
      <w:pPr>
        <w:rPr>
          <w:szCs w:val="24"/>
        </w:rPr>
      </w:pPr>
      <w:r w:rsidRPr="00FE73DE">
        <w:rPr>
          <w:szCs w:val="24"/>
        </w:rPr>
        <w:t>Developing business plans is a core requirement to ensure that business ideas are tested</w:t>
      </w:r>
      <w:r w:rsidR="007050F0">
        <w:rPr>
          <w:szCs w:val="24"/>
        </w:rPr>
        <w:t>,</w:t>
      </w:r>
      <w:r w:rsidRPr="00FE73DE">
        <w:rPr>
          <w:szCs w:val="24"/>
        </w:rPr>
        <w:t xml:space="preserve"> realistic</w:t>
      </w:r>
      <w:r w:rsidR="007050F0">
        <w:rPr>
          <w:szCs w:val="24"/>
        </w:rPr>
        <w:t>,</w:t>
      </w:r>
      <w:r w:rsidRPr="00FE73DE">
        <w:rPr>
          <w:szCs w:val="24"/>
        </w:rPr>
        <w:t xml:space="preserve"> and integrate with the wider community</w:t>
      </w:r>
      <w:r w:rsidR="005A6F22" w:rsidRPr="00FE73DE">
        <w:rPr>
          <w:rStyle w:val="FootnoteReference"/>
          <w:szCs w:val="24"/>
        </w:rPr>
        <w:footnoteReference w:id="20"/>
      </w:r>
      <w:r w:rsidR="005A6F22" w:rsidRPr="00FE73DE">
        <w:rPr>
          <w:szCs w:val="24"/>
        </w:rPr>
        <w:t>.</w:t>
      </w:r>
      <w:r w:rsidRPr="00FE73DE">
        <w:rPr>
          <w:szCs w:val="24"/>
        </w:rPr>
        <w:t xml:space="preserve"> Having business plans that are owned by key parties in the business </w:t>
      </w:r>
      <w:r w:rsidR="007050F0" w:rsidRPr="00FE73DE">
        <w:rPr>
          <w:szCs w:val="24"/>
        </w:rPr>
        <w:t>relationship and</w:t>
      </w:r>
      <w:r w:rsidRPr="00FE73DE">
        <w:rPr>
          <w:szCs w:val="24"/>
        </w:rPr>
        <w:t xml:space="preserve"> align</w:t>
      </w:r>
      <w:r w:rsidR="007050F0">
        <w:rPr>
          <w:szCs w:val="24"/>
        </w:rPr>
        <w:t>ed</w:t>
      </w:r>
      <w:r w:rsidRPr="00FE73DE">
        <w:rPr>
          <w:szCs w:val="24"/>
        </w:rPr>
        <w:t xml:space="preserve"> to the business owner’s goals and aspirations is also important.</w:t>
      </w:r>
      <w:r w:rsidR="005A6F22" w:rsidRPr="00FE73DE">
        <w:rPr>
          <w:szCs w:val="24"/>
        </w:rPr>
        <w:t xml:space="preserve"> Under the BSP, the early assessment of a business’s viability relates to the existence of a suitable and realistic business plan.</w:t>
      </w:r>
      <w:r w:rsidRPr="00FE73DE">
        <w:rPr>
          <w:szCs w:val="24"/>
        </w:rPr>
        <w:t xml:space="preserve"> </w:t>
      </w:r>
      <w:r w:rsidR="005A6F22" w:rsidRPr="00FE73DE">
        <w:rPr>
          <w:szCs w:val="24"/>
        </w:rPr>
        <w:t xml:space="preserve">While the BSP </w:t>
      </w:r>
      <w:r w:rsidR="007050F0">
        <w:rPr>
          <w:szCs w:val="24"/>
        </w:rPr>
        <w:t>assists</w:t>
      </w:r>
      <w:r w:rsidR="005A6F22" w:rsidRPr="00FE73DE">
        <w:rPr>
          <w:szCs w:val="24"/>
        </w:rPr>
        <w:t xml:space="preserve"> developing or refining a business plan, particular emphasis in more recent years has been to help the business articulate their own plan, rather than to create a business plan on the business’s behalf. </w:t>
      </w:r>
      <w:r w:rsidR="00826FD6">
        <w:rPr>
          <w:szCs w:val="24"/>
        </w:rPr>
        <w:t xml:space="preserve">This was highlighted by business and delivery partner survey </w:t>
      </w:r>
      <w:r w:rsidR="004D321A">
        <w:rPr>
          <w:szCs w:val="24"/>
        </w:rPr>
        <w:t>respondents and</w:t>
      </w:r>
      <w:r w:rsidR="00826FD6">
        <w:rPr>
          <w:szCs w:val="24"/>
        </w:rPr>
        <w:t xml:space="preserve"> touched on during follow-up discussions. </w:t>
      </w:r>
    </w:p>
    <w:p w14:paraId="19BA95D3" w14:textId="279A0FCA" w:rsidR="00A61D6A" w:rsidRDefault="00A61D6A" w:rsidP="00104FE7">
      <w:pPr>
        <w:rPr>
          <w:szCs w:val="24"/>
        </w:rPr>
      </w:pPr>
      <w:r>
        <w:t>T</w:t>
      </w:r>
      <w:r w:rsidR="00104FE7" w:rsidRPr="00FE73DE">
        <w:t xml:space="preserve">he BSP </w:t>
      </w:r>
      <w:r w:rsidR="004D321A">
        <w:t xml:space="preserve">expenditure of </w:t>
      </w:r>
      <w:r w:rsidR="00104FE7" w:rsidRPr="00FE73DE">
        <w:t>grant agreement funds</w:t>
      </w:r>
      <w:r>
        <w:t xml:space="preserve"> </w:t>
      </w:r>
      <w:r w:rsidR="00104FE7" w:rsidRPr="00FE73DE">
        <w:rPr>
          <w:szCs w:val="24"/>
        </w:rPr>
        <w:t xml:space="preserve">can be categorised under </w:t>
      </w:r>
      <w:r w:rsidR="004D321A">
        <w:rPr>
          <w:szCs w:val="24"/>
        </w:rPr>
        <w:t>two</w:t>
      </w:r>
      <w:r w:rsidR="00104FE7" w:rsidRPr="00FE73DE">
        <w:rPr>
          <w:szCs w:val="24"/>
        </w:rPr>
        <w:t xml:space="preserve"> </w:t>
      </w:r>
      <w:r w:rsidR="00E61311" w:rsidRPr="00FE73DE">
        <w:rPr>
          <w:szCs w:val="24"/>
        </w:rPr>
        <w:t>delivery approaches</w:t>
      </w:r>
      <w:r w:rsidR="007050F0">
        <w:rPr>
          <w:szCs w:val="24"/>
        </w:rPr>
        <w:t>:</w:t>
      </w:r>
      <w:r w:rsidR="00E61311" w:rsidRPr="00FE73DE">
        <w:rPr>
          <w:szCs w:val="24"/>
        </w:rPr>
        <w:t xml:space="preserve"> </w:t>
      </w:r>
    </w:p>
    <w:p w14:paraId="7743A25B" w14:textId="4F655083" w:rsidR="00A61D6A" w:rsidRDefault="00E61311" w:rsidP="00DA082C">
      <w:pPr>
        <w:pStyle w:val="ListBullet"/>
      </w:pPr>
      <w:r w:rsidRPr="00FE73DE">
        <w:t xml:space="preserve">the provision of internal support from IBA staff </w:t>
      </w:r>
    </w:p>
    <w:p w14:paraId="223E295F" w14:textId="77777777" w:rsidR="00A61D6A" w:rsidRDefault="00E61311" w:rsidP="00DA082C">
      <w:pPr>
        <w:pStyle w:val="ListBullet"/>
      </w:pPr>
      <w:r w:rsidRPr="00FE73DE">
        <w:t>and the engagement of external delivery support partners by IBA.</w:t>
      </w:r>
      <w:r w:rsidR="00762684" w:rsidRPr="00FE73DE">
        <w:t xml:space="preserve"> </w:t>
      </w:r>
    </w:p>
    <w:p w14:paraId="2493BD8C" w14:textId="1EDC7B47" w:rsidR="00104FE7" w:rsidRDefault="00B8100C" w:rsidP="00104FE7">
      <w:pPr>
        <w:rPr>
          <w:szCs w:val="24"/>
        </w:rPr>
      </w:pPr>
      <w:r>
        <w:rPr>
          <w:szCs w:val="24"/>
        </w:rPr>
        <w:t xml:space="preserve">As shown in </w:t>
      </w:r>
      <w:r>
        <w:rPr>
          <w:szCs w:val="24"/>
        </w:rPr>
        <w:fldChar w:fldCharType="begin"/>
      </w:r>
      <w:r>
        <w:rPr>
          <w:szCs w:val="24"/>
        </w:rPr>
        <w:instrText xml:space="preserve"> REF _Ref123580809 \h </w:instrText>
      </w:r>
      <w:r>
        <w:rPr>
          <w:szCs w:val="24"/>
        </w:rPr>
      </w:r>
      <w:r>
        <w:rPr>
          <w:szCs w:val="24"/>
        </w:rPr>
        <w:fldChar w:fldCharType="separate"/>
      </w:r>
      <w:r w:rsidR="004718C9" w:rsidRPr="00FE73DE">
        <w:t xml:space="preserve">Figure </w:t>
      </w:r>
      <w:r w:rsidR="004718C9">
        <w:rPr>
          <w:noProof/>
        </w:rPr>
        <w:t>2</w:t>
      </w:r>
      <w:r>
        <w:rPr>
          <w:szCs w:val="24"/>
        </w:rPr>
        <w:fldChar w:fldCharType="end"/>
      </w:r>
      <w:r>
        <w:rPr>
          <w:szCs w:val="24"/>
        </w:rPr>
        <w:t>, a</w:t>
      </w:r>
      <w:r w:rsidR="00197D86" w:rsidRPr="00FE73DE">
        <w:rPr>
          <w:szCs w:val="24"/>
        </w:rPr>
        <w:t>n allocated IBA Business Development Officer (BD</w:t>
      </w:r>
      <w:r w:rsidR="007050F0">
        <w:rPr>
          <w:szCs w:val="24"/>
        </w:rPr>
        <w:t>O</w:t>
      </w:r>
      <w:r w:rsidR="00197D86" w:rsidRPr="00FE73DE">
        <w:rPr>
          <w:szCs w:val="24"/>
        </w:rPr>
        <w:t>) is the key point of contact for a customer for the provision of business support.</w:t>
      </w:r>
      <w:r w:rsidR="000648D0" w:rsidRPr="00FE73DE">
        <w:rPr>
          <w:szCs w:val="24"/>
        </w:rPr>
        <w:t xml:space="preserve"> </w:t>
      </w:r>
    </w:p>
    <w:p w14:paraId="7CE36D4C" w14:textId="1D32FB67" w:rsidR="001B352E" w:rsidRPr="00FE73DE" w:rsidRDefault="00064E07">
      <w:pPr>
        <w:pStyle w:val="Heading3"/>
      </w:pPr>
      <w:r w:rsidRPr="00FE73DE">
        <w:t>Access to f</w:t>
      </w:r>
      <w:r w:rsidR="001B352E" w:rsidRPr="00FE73DE">
        <w:t>inance</w:t>
      </w:r>
    </w:p>
    <w:p w14:paraId="67EA44D0" w14:textId="0200A03D" w:rsidR="00F46633" w:rsidRDefault="00F46633" w:rsidP="00064E07">
      <w:r w:rsidRPr="00FE73DE">
        <w:t xml:space="preserve">The mix of business finance products provided by IBA </w:t>
      </w:r>
      <w:r>
        <w:t>is</w:t>
      </w:r>
      <w:r w:rsidRPr="00FE73DE">
        <w:t xml:space="preserve"> consistent with the support envisaged by the IBSS</w:t>
      </w:r>
      <w:r w:rsidR="00B8100C">
        <w:t xml:space="preserve"> and is also </w:t>
      </w:r>
      <w:r w:rsidR="00104FE7" w:rsidRPr="00FE73DE">
        <w:t xml:space="preserve">shown in </w:t>
      </w:r>
      <w:r w:rsidR="00104FE7" w:rsidRPr="00FE73DE">
        <w:fldChar w:fldCharType="begin"/>
      </w:r>
      <w:r w:rsidR="00104FE7" w:rsidRPr="00FE73DE">
        <w:instrText xml:space="preserve"> REF _Ref108368613 \h </w:instrText>
      </w:r>
      <w:r w:rsidR="00104FE7" w:rsidRPr="00FE73DE">
        <w:fldChar w:fldCharType="separate"/>
      </w:r>
      <w:r w:rsidR="004718C9" w:rsidRPr="00FE73DE">
        <w:t xml:space="preserve">Figure </w:t>
      </w:r>
      <w:r w:rsidR="004718C9">
        <w:rPr>
          <w:noProof/>
        </w:rPr>
        <w:t>1</w:t>
      </w:r>
      <w:r w:rsidR="00104FE7" w:rsidRPr="00FE73DE">
        <w:fldChar w:fldCharType="end"/>
      </w:r>
      <w:r w:rsidR="00B8100C">
        <w:t>.</w:t>
      </w:r>
      <w:r w:rsidR="00E61311" w:rsidRPr="00FE73DE">
        <w:t xml:space="preserve"> </w:t>
      </w:r>
      <w:r w:rsidR="00E17946" w:rsidRPr="00FE73DE">
        <w:t>T</w:t>
      </w:r>
      <w:r w:rsidR="00104FE7" w:rsidRPr="00FE73DE">
        <w:t>he BSP grant agreement funds</w:t>
      </w:r>
      <w:r w:rsidR="00E17946" w:rsidRPr="00FE73DE">
        <w:t xml:space="preserve"> only </w:t>
      </w:r>
      <w:r w:rsidR="00104FE7" w:rsidRPr="00FE73DE">
        <w:t>some of the business finance products (light brown)</w:t>
      </w:r>
      <w:r w:rsidR="007050F0">
        <w:t xml:space="preserve">, particularly </w:t>
      </w:r>
      <w:r w:rsidR="00E17946" w:rsidRPr="00FE73DE">
        <w:t>the business start-up package and working capital loans (also known as standard business loans)</w:t>
      </w:r>
      <w:r w:rsidR="00104FE7" w:rsidRPr="00FE73DE">
        <w:t>.</w:t>
      </w:r>
      <w:r w:rsidR="00CA7BE9" w:rsidRPr="00FE73DE">
        <w:t xml:space="preserve"> </w:t>
      </w:r>
    </w:p>
    <w:p w14:paraId="71562808" w14:textId="4C360EF8" w:rsidR="00197D86" w:rsidRPr="00FE73DE" w:rsidRDefault="00CA7BE9" w:rsidP="00064E07">
      <w:r w:rsidRPr="00FE73DE">
        <w:t>These products involve the payment of interest on the loan amount, with flexible repayment structures available (such as interest only, principal and interest reducing, seasonal repayments</w:t>
      </w:r>
      <w:r w:rsidR="007050F0">
        <w:t xml:space="preserve">, </w:t>
      </w:r>
      <w:r w:rsidRPr="00FE73DE">
        <w:t xml:space="preserve">or balloon payments) to suit the cash flow </w:t>
      </w:r>
      <w:r w:rsidR="007050F0">
        <w:t>o</w:t>
      </w:r>
      <w:r w:rsidRPr="00FE73DE">
        <w:t>f the business.</w:t>
      </w:r>
      <w:r w:rsidR="00E17946" w:rsidRPr="00FE73DE">
        <w:t xml:space="preserve"> Other finance products (such as invoice discounting, equipment finance, and performance bonds) are funded through IBA’s own funds or through different Australian Government grant agreements. </w:t>
      </w:r>
      <w:r w:rsidR="00197D86" w:rsidRPr="00FE73DE">
        <w:t>A</w:t>
      </w:r>
      <w:r w:rsidR="00197D86" w:rsidRPr="00FE73DE">
        <w:rPr>
          <w:szCs w:val="24"/>
        </w:rPr>
        <w:t xml:space="preserve"> key part of loan support is the IBA </w:t>
      </w:r>
      <w:r w:rsidR="000648D0" w:rsidRPr="00FE73DE">
        <w:rPr>
          <w:szCs w:val="24"/>
        </w:rPr>
        <w:t>R</w:t>
      </w:r>
      <w:r w:rsidR="00197D86" w:rsidRPr="00FE73DE">
        <w:rPr>
          <w:szCs w:val="24"/>
        </w:rPr>
        <w:t xml:space="preserve">elationship </w:t>
      </w:r>
      <w:r w:rsidR="000648D0" w:rsidRPr="00FE73DE">
        <w:rPr>
          <w:szCs w:val="24"/>
        </w:rPr>
        <w:t>M</w:t>
      </w:r>
      <w:r w:rsidR="00197D86" w:rsidRPr="00FE73DE">
        <w:rPr>
          <w:szCs w:val="24"/>
        </w:rPr>
        <w:t>anagers who are the main contact points for business loans.</w:t>
      </w:r>
      <w:r w:rsidR="000648D0" w:rsidRPr="00FE73DE">
        <w:rPr>
          <w:szCs w:val="24"/>
        </w:rPr>
        <w:t xml:space="preserve"> </w:t>
      </w:r>
    </w:p>
    <w:p w14:paraId="54BB329F" w14:textId="16B4502F" w:rsidR="00A97F9E" w:rsidRDefault="00E17946" w:rsidP="00064E07">
      <w:pPr>
        <w:rPr>
          <w:szCs w:val="24"/>
        </w:rPr>
      </w:pPr>
      <w:r w:rsidRPr="00FE73DE">
        <w:t>The level of capital available for allocation under the BSP grant includes some $10.2 million</w:t>
      </w:r>
      <w:r w:rsidR="000648D0" w:rsidRPr="00FE73DE">
        <w:t xml:space="preserve"> </w:t>
      </w:r>
      <w:r w:rsidR="003635E7">
        <w:t xml:space="preserve">annually </w:t>
      </w:r>
      <w:r w:rsidR="000648D0" w:rsidRPr="00FE73DE">
        <w:t>less an agreed amount</w:t>
      </w:r>
      <w:r w:rsidR="00251E18" w:rsidRPr="00FE73DE">
        <w:t xml:space="preserve"> </w:t>
      </w:r>
      <w:r w:rsidR="000648D0" w:rsidRPr="00FE73DE">
        <w:t xml:space="preserve">set aside </w:t>
      </w:r>
      <w:r w:rsidR="000648D0" w:rsidRPr="00FE73DE">
        <w:rPr>
          <w:szCs w:val="24"/>
        </w:rPr>
        <w:t>for the provision of loan losses</w:t>
      </w:r>
      <w:r w:rsidR="000648D0" w:rsidRPr="00FE73DE">
        <w:t xml:space="preserve">. </w:t>
      </w:r>
      <w:r w:rsidR="00251E18" w:rsidRPr="00FE73DE">
        <w:t xml:space="preserve">Should the annual provision for loan losses not </w:t>
      </w:r>
      <w:r w:rsidR="005C212B" w:rsidRPr="00FE73DE">
        <w:t>b</w:t>
      </w:r>
      <w:r w:rsidR="00251E18" w:rsidRPr="00FE73DE">
        <w:t>e necessary in that year, it is cumulative and carries forward into future years.</w:t>
      </w:r>
      <w:r w:rsidR="00251E18" w:rsidRPr="00FE73DE">
        <w:rPr>
          <w:rFonts w:ascii="Calibri" w:hAnsi="Calibri" w:cs="Calibri"/>
          <w:sz w:val="20"/>
          <w:szCs w:val="20"/>
        </w:rPr>
        <w:t xml:space="preserve"> </w:t>
      </w:r>
      <w:r w:rsidR="000648D0" w:rsidRPr="00FE73DE">
        <w:t xml:space="preserve">This provision </w:t>
      </w:r>
      <w:r w:rsidR="00251E18" w:rsidRPr="00FE73DE">
        <w:t xml:space="preserve">for loan losses </w:t>
      </w:r>
      <w:r w:rsidR="000648D0" w:rsidRPr="00FE73DE">
        <w:t>is i</w:t>
      </w:r>
      <w:r w:rsidR="000648D0" w:rsidRPr="00FE73DE">
        <w:rPr>
          <w:szCs w:val="24"/>
        </w:rPr>
        <w:t xml:space="preserve">n recognition of the higher risks expected to be borne within IBA’s business loan portfolio as a result of the policy direction to support higher-risk businesses. </w:t>
      </w:r>
    </w:p>
    <w:p w14:paraId="1A12F4BF" w14:textId="184D4635" w:rsidR="00F16CA5" w:rsidRDefault="00F16CA5" w:rsidP="00064E07">
      <w:pPr>
        <w:rPr>
          <w:szCs w:val="24"/>
        </w:rPr>
      </w:pPr>
      <w:r>
        <w:rPr>
          <w:szCs w:val="24"/>
        </w:rPr>
        <w:t>A</w:t>
      </w:r>
      <w:r w:rsidR="000648D0" w:rsidRPr="00FE73DE">
        <w:rPr>
          <w:szCs w:val="24"/>
        </w:rPr>
        <w:t xml:space="preserve">ny principal amount </w:t>
      </w:r>
      <w:r w:rsidR="003635E7" w:rsidRPr="00FE73DE">
        <w:rPr>
          <w:szCs w:val="24"/>
        </w:rPr>
        <w:t>repaid,</w:t>
      </w:r>
      <w:r w:rsidR="000648D0" w:rsidRPr="00FE73DE">
        <w:rPr>
          <w:szCs w:val="24"/>
        </w:rPr>
        <w:t xml:space="preserve"> or any interest earned on any loans or other capital products funded by the </w:t>
      </w:r>
      <w:r w:rsidR="00A97F9E" w:rsidRPr="00FE73DE">
        <w:rPr>
          <w:szCs w:val="24"/>
        </w:rPr>
        <w:t xml:space="preserve">BSP </w:t>
      </w:r>
      <w:r w:rsidR="000648D0" w:rsidRPr="00FE73DE">
        <w:rPr>
          <w:szCs w:val="24"/>
        </w:rPr>
        <w:t xml:space="preserve">capital component is </w:t>
      </w:r>
      <w:r>
        <w:rPr>
          <w:szCs w:val="24"/>
        </w:rPr>
        <w:t xml:space="preserve">recycled capital and is </w:t>
      </w:r>
      <w:r w:rsidR="000648D0" w:rsidRPr="00FE73DE">
        <w:rPr>
          <w:szCs w:val="24"/>
        </w:rPr>
        <w:t xml:space="preserve">available for reallocation. </w:t>
      </w:r>
      <w:r>
        <w:rPr>
          <w:szCs w:val="24"/>
        </w:rPr>
        <w:t xml:space="preserve">This </w:t>
      </w:r>
      <w:r w:rsidR="008D5C26" w:rsidRPr="00FE73DE">
        <w:rPr>
          <w:szCs w:val="24"/>
        </w:rPr>
        <w:t xml:space="preserve">is only to be used for the purpose of BSP products and not used to fund operating costs for the BSP or any other part of IBA’s operations. </w:t>
      </w:r>
    </w:p>
    <w:p w14:paraId="2EA6C03B" w14:textId="09701957" w:rsidR="00762684" w:rsidRPr="00FE73DE" w:rsidRDefault="000648D0" w:rsidP="00064E07">
      <w:pPr>
        <w:rPr>
          <w:szCs w:val="24"/>
        </w:rPr>
      </w:pPr>
      <w:r w:rsidRPr="00FE73DE">
        <w:rPr>
          <w:szCs w:val="24"/>
        </w:rPr>
        <w:t>The</w:t>
      </w:r>
      <w:r w:rsidR="00E17946" w:rsidRPr="00FE73DE">
        <w:t xml:space="preserve"> amount of available capital</w:t>
      </w:r>
      <w:r w:rsidR="008D5C26" w:rsidRPr="00FE73DE">
        <w:t xml:space="preserve"> for commitment</w:t>
      </w:r>
      <w:r w:rsidR="00E17946" w:rsidRPr="00FE73DE">
        <w:t xml:space="preserve"> (original and recycled funds) is tracked on an annual basis as part of the grant acquittal process.</w:t>
      </w:r>
      <w:r w:rsidR="00252F0A" w:rsidRPr="00FE73DE">
        <w:t xml:space="preserve"> </w:t>
      </w:r>
      <w:r w:rsidR="00F16CA5">
        <w:t>T</w:t>
      </w:r>
      <w:r w:rsidR="00252F0A" w:rsidRPr="00FE73DE">
        <w:rPr>
          <w:szCs w:val="24"/>
        </w:rPr>
        <w:t>he running balance of recycled capital is increasing exponentially</w:t>
      </w:r>
      <w:r w:rsidR="00F16CA5">
        <w:rPr>
          <w:szCs w:val="24"/>
        </w:rPr>
        <w:t xml:space="preserve"> (Figure 3)</w:t>
      </w:r>
      <w:r w:rsidR="009D151E">
        <w:rPr>
          <w:szCs w:val="24"/>
        </w:rPr>
        <w:t>.</w:t>
      </w:r>
    </w:p>
    <w:p w14:paraId="6C9F3C6A" w14:textId="5B1C5E6C" w:rsidR="00252F0A" w:rsidRPr="00FE73DE" w:rsidRDefault="00252F0A" w:rsidP="00064E07">
      <w:r w:rsidRPr="00FE73DE">
        <w:rPr>
          <w:noProof/>
          <w:lang w:eastAsia="en-AU"/>
        </w:rPr>
        <w:drawing>
          <wp:inline distT="0" distB="0" distL="0" distR="0" wp14:anchorId="4A0104F6" wp14:editId="21341A97">
            <wp:extent cx="5616000" cy="3028950"/>
            <wp:effectExtent l="0" t="0" r="3810" b="0"/>
            <wp:docPr id="3" name="Chart 3">
              <a:extLst xmlns:a="http://schemas.openxmlformats.org/drawingml/2006/main">
                <a:ext uri="{FF2B5EF4-FFF2-40B4-BE49-F238E27FC236}">
                  <a16:creationId xmlns:a16="http://schemas.microsoft.com/office/drawing/2014/main" id="{A2278596-FE60-FBF5-367D-39C1A78E3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DA63D6" w14:textId="4829FB34" w:rsidR="00252F0A" w:rsidRPr="00FE73DE" w:rsidRDefault="00252F0A" w:rsidP="00252F0A">
      <w:pPr>
        <w:pStyle w:val="Caption"/>
        <w:keepNext/>
        <w:spacing w:after="0"/>
      </w:pPr>
      <w:bookmarkStart w:id="49" w:name="_Ref116565664"/>
      <w:r w:rsidRPr="00FE73DE">
        <w:t xml:space="preserve">Figure </w:t>
      </w:r>
      <w:fldSimple w:instr=" SEQ Figure \* ARABIC ">
        <w:r w:rsidR="004718C9">
          <w:rPr>
            <w:noProof/>
          </w:rPr>
          <w:t>3</w:t>
        </w:r>
      </w:fldSimple>
      <w:bookmarkEnd w:id="49"/>
      <w:r w:rsidRPr="00FE73DE">
        <w:t xml:space="preserve">: </w:t>
      </w:r>
      <w:r w:rsidR="001C63BC" w:rsidRPr="00FE73DE">
        <w:t xml:space="preserve">Balance of total </w:t>
      </w:r>
      <w:r w:rsidR="00A97F9E" w:rsidRPr="00FE73DE">
        <w:t xml:space="preserve">BSP </w:t>
      </w:r>
      <w:r w:rsidR="001C63BC" w:rsidRPr="00FE73DE">
        <w:t>recycled income held by IBA</w:t>
      </w:r>
    </w:p>
    <w:p w14:paraId="5834FC6E" w14:textId="06F2D238" w:rsidR="00252F0A" w:rsidRPr="00FE73DE" w:rsidRDefault="00252F0A" w:rsidP="00252F0A">
      <w:pPr>
        <w:pStyle w:val="TableNote"/>
        <w:rPr>
          <w:szCs w:val="20"/>
        </w:rPr>
      </w:pPr>
      <w:r w:rsidRPr="00FE73DE">
        <w:rPr>
          <w:szCs w:val="20"/>
        </w:rPr>
        <w:t xml:space="preserve">Source: </w:t>
      </w:r>
      <w:r w:rsidR="001C63BC" w:rsidRPr="00FE73DE">
        <w:rPr>
          <w:i w:val="0"/>
          <w:iCs w:val="0"/>
          <w:szCs w:val="20"/>
        </w:rPr>
        <w:t>Created from NIAA</w:t>
      </w:r>
      <w:r w:rsidR="003635E7">
        <w:rPr>
          <w:i w:val="0"/>
          <w:iCs w:val="0"/>
          <w:szCs w:val="20"/>
        </w:rPr>
        <w:t xml:space="preserve"> </w:t>
      </w:r>
      <w:r w:rsidR="001C63BC" w:rsidRPr="00FE73DE">
        <w:rPr>
          <w:i w:val="0"/>
          <w:iCs w:val="0"/>
          <w:szCs w:val="20"/>
        </w:rPr>
        <w:t xml:space="preserve">provided documentation </w:t>
      </w:r>
    </w:p>
    <w:p w14:paraId="107FBCD2" w14:textId="117F5603" w:rsidR="00AF147B" w:rsidRDefault="00CA7BE9" w:rsidP="00064E07">
      <w:r w:rsidRPr="00FE73DE">
        <w:t xml:space="preserve">The provision of capital through the BSP has enabled the pool of available funds held by IBA to support Indigenous businesses to increase. The requirement for recycled capital to continue to be used for the purposes of the grant ensures </w:t>
      </w:r>
      <w:r w:rsidR="001B25C0" w:rsidRPr="00FE73DE">
        <w:t>the exponential growth of available capital each year</w:t>
      </w:r>
      <w:r w:rsidRPr="00FE73DE">
        <w:t xml:space="preserve">. </w:t>
      </w:r>
      <w:r w:rsidR="001B25C0" w:rsidRPr="00FE73DE">
        <w:t xml:space="preserve">However, KPIs </w:t>
      </w:r>
      <w:r w:rsidRPr="00FE73DE">
        <w:t xml:space="preserve">for the number of businesses to </w:t>
      </w:r>
      <w:r w:rsidR="001B25C0" w:rsidRPr="00FE73DE">
        <w:t>access finance</w:t>
      </w:r>
      <w:r w:rsidRPr="00FE73DE">
        <w:t xml:space="preserve">, </w:t>
      </w:r>
      <w:r w:rsidR="001B25C0" w:rsidRPr="00FE73DE">
        <w:t xml:space="preserve">and </w:t>
      </w:r>
      <w:r w:rsidRPr="00FE73DE">
        <w:t xml:space="preserve">the target level of </w:t>
      </w:r>
      <w:r w:rsidR="001B25C0" w:rsidRPr="00FE73DE">
        <w:t>capital</w:t>
      </w:r>
      <w:r w:rsidRPr="00FE73DE">
        <w:t xml:space="preserve"> to </w:t>
      </w:r>
      <w:r w:rsidR="001B25C0" w:rsidRPr="00FE73DE">
        <w:t xml:space="preserve">be allocated under the BSP </w:t>
      </w:r>
      <w:r w:rsidR="00AF147B">
        <w:t xml:space="preserve">has not been increased in line with increased </w:t>
      </w:r>
      <w:r w:rsidR="00BE28C7">
        <w:t>level of recycled funds</w:t>
      </w:r>
      <w:r w:rsidR="00DC0679">
        <w:t xml:space="preserve">. </w:t>
      </w:r>
      <w:r w:rsidR="006143BE">
        <w:t xml:space="preserve">The implication of this is that </w:t>
      </w:r>
      <w:r w:rsidR="008646CE">
        <w:t xml:space="preserve">while </w:t>
      </w:r>
      <w:r w:rsidR="006143BE">
        <w:t xml:space="preserve">additional capital funds are is available for allocation, </w:t>
      </w:r>
      <w:r w:rsidR="008646CE">
        <w:t xml:space="preserve">and </w:t>
      </w:r>
      <w:r w:rsidR="006143BE">
        <w:t xml:space="preserve">KPIs are being exceeded the extent of available grant funding is not visible in quarterly performance reports or broader IBA reporting. </w:t>
      </w:r>
    </w:p>
    <w:p w14:paraId="5DCC229B" w14:textId="2C8E91E0" w:rsidR="00F92C7C" w:rsidRPr="00FE73DE" w:rsidRDefault="00F92C7C">
      <w:pPr>
        <w:pStyle w:val="Heading3"/>
      </w:pPr>
      <w:bookmarkStart w:id="50" w:name="_Toc108535848"/>
      <w:bookmarkStart w:id="51" w:name="_Toc109569494"/>
      <w:r w:rsidRPr="00FE73DE">
        <w:t xml:space="preserve">Networking and </w:t>
      </w:r>
      <w:r w:rsidR="00657C2E" w:rsidRPr="00FE73DE">
        <w:t>c</w:t>
      </w:r>
      <w:r w:rsidRPr="00FE73DE">
        <w:t>ollaboration</w:t>
      </w:r>
      <w:bookmarkEnd w:id="50"/>
      <w:bookmarkEnd w:id="51"/>
    </w:p>
    <w:p w14:paraId="7B588333" w14:textId="610A67A8" w:rsidR="00F92C7C" w:rsidRPr="00FE73DE" w:rsidRDefault="00F92C7C" w:rsidP="00F92C7C">
      <w:pPr>
        <w:spacing w:after="200" w:line="276" w:lineRule="auto"/>
        <w:rPr>
          <w:szCs w:val="24"/>
        </w:rPr>
      </w:pPr>
      <w:r w:rsidRPr="00FE73DE">
        <w:rPr>
          <w:szCs w:val="24"/>
        </w:rPr>
        <w:t>Developing partnerships and having access to business networks is seen as critical to success. Networks provide access to business advice and increased access to suppliers and customers. Lack of networks in remote and regional areas can prevent the development of businesses.</w:t>
      </w:r>
    </w:p>
    <w:p w14:paraId="0DAE3524" w14:textId="14A8B64D" w:rsidR="00F92C7C" w:rsidRPr="00FE73DE" w:rsidRDefault="00F92C7C" w:rsidP="00F92C7C">
      <w:pPr>
        <w:spacing w:after="200" w:line="276" w:lineRule="auto"/>
      </w:pPr>
      <w:r w:rsidRPr="00FE73DE">
        <w:rPr>
          <w:szCs w:val="24"/>
        </w:rPr>
        <w:t xml:space="preserve">There are multiple opportunities to form a range of collaborations to support Indigenous businesses. In the case of the BSP, the networking and partnerships included </w:t>
      </w:r>
      <w:r w:rsidRPr="00FE73DE">
        <w:t xml:space="preserve">IBA entering into and maintaining a set number of collaborative partnerships with third parties (including customers, Indigenous and non-Indigenous businesses, relevant networks, </w:t>
      </w:r>
      <w:r w:rsidR="003635E7" w:rsidRPr="00FE73DE">
        <w:t>services,</w:t>
      </w:r>
      <w:r w:rsidRPr="00FE73DE">
        <w:t xml:space="preserve"> and business ecosystem partners</w:t>
      </w:r>
      <w:r w:rsidR="00B35750" w:rsidRPr="00FE73DE">
        <w:t>)</w:t>
      </w:r>
      <w:r w:rsidRPr="00FE73DE">
        <w:t xml:space="preserve">. </w:t>
      </w:r>
    </w:p>
    <w:p w14:paraId="6F39520F" w14:textId="05A78151" w:rsidR="00F92C7C" w:rsidRPr="00FE73DE" w:rsidRDefault="00F92C7C" w:rsidP="00F92C7C">
      <w:pPr>
        <w:spacing w:after="200" w:line="276" w:lineRule="auto"/>
        <w:rPr>
          <w:szCs w:val="24"/>
        </w:rPr>
      </w:pPr>
      <w:r w:rsidRPr="00FE73DE">
        <w:rPr>
          <w:szCs w:val="24"/>
        </w:rPr>
        <w:t xml:space="preserve">The policy intent was that collaborative partnerships should complement the work of IBA in supporting business development and incubation outcomes. Partnerships could also provide wrap-around services to customers </w:t>
      </w:r>
      <w:r w:rsidR="00B35750" w:rsidRPr="00FE73DE">
        <w:rPr>
          <w:szCs w:val="24"/>
        </w:rPr>
        <w:t>t</w:t>
      </w:r>
      <w:r w:rsidRPr="00FE73DE">
        <w:rPr>
          <w:szCs w:val="24"/>
        </w:rPr>
        <w:t>hat fall within the remit of IBA and bolster the service offer</w:t>
      </w:r>
      <w:r w:rsidR="00B35750" w:rsidRPr="00FE73DE">
        <w:rPr>
          <w:szCs w:val="24"/>
        </w:rPr>
        <w:t>ing</w:t>
      </w:r>
      <w:r w:rsidRPr="00FE73DE">
        <w:rPr>
          <w:szCs w:val="24"/>
        </w:rPr>
        <w:t xml:space="preserve"> where IBA does not have the internal capability. Partnerships could also provide links into communities where services are needed.</w:t>
      </w:r>
    </w:p>
    <w:p w14:paraId="0618AB24" w14:textId="75C633AE" w:rsidR="007818B7" w:rsidRPr="00FE73DE" w:rsidRDefault="007818B7" w:rsidP="00F92C7C">
      <w:pPr>
        <w:spacing w:after="200" w:line="276" w:lineRule="auto"/>
        <w:rPr>
          <w:szCs w:val="24"/>
        </w:rPr>
      </w:pPr>
      <w:r w:rsidRPr="00FE73DE">
        <w:rPr>
          <w:szCs w:val="24"/>
        </w:rPr>
        <w:t xml:space="preserve">Including such targets in the BSP </w:t>
      </w:r>
      <w:r w:rsidR="009C5F19" w:rsidRPr="00FE73DE">
        <w:rPr>
          <w:szCs w:val="24"/>
        </w:rPr>
        <w:t xml:space="preserve">has </w:t>
      </w:r>
      <w:r w:rsidR="00090857">
        <w:rPr>
          <w:szCs w:val="24"/>
        </w:rPr>
        <w:t xml:space="preserve">gone some way to </w:t>
      </w:r>
      <w:r w:rsidRPr="00FE73DE">
        <w:rPr>
          <w:szCs w:val="24"/>
        </w:rPr>
        <w:t xml:space="preserve">support networking and collaboration </w:t>
      </w:r>
      <w:r w:rsidR="00090857">
        <w:rPr>
          <w:szCs w:val="24"/>
        </w:rPr>
        <w:t xml:space="preserve">being </w:t>
      </w:r>
      <w:r w:rsidRPr="00FE73DE">
        <w:rPr>
          <w:szCs w:val="24"/>
        </w:rPr>
        <w:t>embedded in the service delivery model</w:t>
      </w:r>
      <w:r w:rsidR="00090857">
        <w:rPr>
          <w:szCs w:val="24"/>
        </w:rPr>
        <w:t xml:space="preserve"> through the use of external business support</w:t>
      </w:r>
      <w:r w:rsidRPr="00FE73DE">
        <w:rPr>
          <w:szCs w:val="24"/>
        </w:rPr>
        <w:t xml:space="preserve">. </w:t>
      </w:r>
    </w:p>
    <w:p w14:paraId="0684FEF1" w14:textId="3794A568" w:rsidR="00384F9A" w:rsidRPr="00FE73DE" w:rsidRDefault="00384F9A">
      <w:pPr>
        <w:pStyle w:val="Heading3"/>
      </w:pPr>
      <w:bookmarkStart w:id="52" w:name="_Toc109569492"/>
      <w:bookmarkStart w:id="53" w:name="_Toc108535847"/>
      <w:r w:rsidRPr="00FE73DE">
        <w:t>Encouraging business development in regional and remote areas</w:t>
      </w:r>
      <w:bookmarkEnd w:id="52"/>
      <w:r w:rsidRPr="00FE73DE">
        <w:t xml:space="preserve"> </w:t>
      </w:r>
      <w:bookmarkEnd w:id="53"/>
    </w:p>
    <w:p w14:paraId="3F1A948A" w14:textId="34C23DE3" w:rsidR="00FD766A" w:rsidRPr="00FE73DE" w:rsidRDefault="00384F9A" w:rsidP="00384F9A">
      <w:pPr>
        <w:spacing w:after="200" w:line="276" w:lineRule="auto"/>
      </w:pPr>
      <w:r w:rsidRPr="00FE73DE">
        <w:rPr>
          <w:szCs w:val="24"/>
        </w:rPr>
        <w:t xml:space="preserve">The policy intent included seeking an increase in the number of customers </w:t>
      </w:r>
      <w:r w:rsidRPr="00FE73DE">
        <w:t xml:space="preserve">receiving business support and/or loan services from regional and remote Australia. For example, in 2016, the initial BSP grant agreement contained a KPI requiring a 30% increase in the number of customers from regional and remote Australia compared to the previous year. </w:t>
      </w:r>
      <w:r w:rsidR="00FD766A" w:rsidRPr="00FE73DE">
        <w:t xml:space="preserve">The </w:t>
      </w:r>
      <w:r w:rsidR="00005F09" w:rsidRPr="00FE73DE">
        <w:t>subsequent grant agreement adjusted this KPI to require at least 30% of supported businesses and organisations to be based in regional or remote Australia</w:t>
      </w:r>
      <w:r w:rsidR="00FD766A" w:rsidRPr="00FE73DE">
        <w:t>.</w:t>
      </w:r>
      <w:r w:rsidR="007818B7" w:rsidRPr="00FE73DE">
        <w:t xml:space="preserve"> </w:t>
      </w:r>
    </w:p>
    <w:p w14:paraId="2307DB0C" w14:textId="248FABDB" w:rsidR="00384F9A" w:rsidRPr="00FE73DE" w:rsidRDefault="00FD766A" w:rsidP="00384F9A">
      <w:pPr>
        <w:spacing w:after="200" w:line="276" w:lineRule="auto"/>
        <w:rPr>
          <w:szCs w:val="24"/>
        </w:rPr>
      </w:pPr>
      <w:r w:rsidRPr="00FE73DE" w:rsidDel="004B0C34">
        <w:t xml:space="preserve">As part of the requirement to develop a formal referral framework, </w:t>
      </w:r>
      <w:r w:rsidR="00005F09" w:rsidRPr="00FE73DE" w:rsidDel="004B0C34">
        <w:t>a new</w:t>
      </w:r>
      <w:r w:rsidR="007818B7" w:rsidRPr="00FE73DE" w:rsidDel="004B0C34">
        <w:t xml:space="preserve"> contractual</w:t>
      </w:r>
      <w:r w:rsidR="00005F09" w:rsidRPr="00FE73DE" w:rsidDel="004B0C34">
        <w:t xml:space="preserve"> requirement was introduced </w:t>
      </w:r>
      <w:r w:rsidRPr="00FE73DE" w:rsidDel="004B0C34">
        <w:t xml:space="preserve">in 2019 </w:t>
      </w:r>
      <w:r w:rsidR="00384F9A" w:rsidRPr="00FE73DE" w:rsidDel="004B0C34">
        <w:rPr>
          <w:szCs w:val="24"/>
        </w:rPr>
        <w:t>requir</w:t>
      </w:r>
      <w:r w:rsidRPr="00FE73DE" w:rsidDel="004B0C34">
        <w:rPr>
          <w:szCs w:val="24"/>
        </w:rPr>
        <w:t>ing</w:t>
      </w:r>
      <w:r w:rsidR="00384F9A" w:rsidRPr="00FE73DE" w:rsidDel="004B0C34">
        <w:rPr>
          <w:szCs w:val="24"/>
        </w:rPr>
        <w:t xml:space="preserve"> </w:t>
      </w:r>
      <w:r w:rsidR="00B77671" w:rsidRPr="00FE73DE" w:rsidDel="004B0C34">
        <w:rPr>
          <w:szCs w:val="24"/>
        </w:rPr>
        <w:t xml:space="preserve">IBA and </w:t>
      </w:r>
      <w:r w:rsidR="00384F9A" w:rsidRPr="00FE73DE" w:rsidDel="004B0C34">
        <w:rPr>
          <w:szCs w:val="24"/>
        </w:rPr>
        <w:t>regional representatives</w:t>
      </w:r>
      <w:r w:rsidR="00610A37">
        <w:rPr>
          <w:rStyle w:val="FootnoteReference"/>
          <w:szCs w:val="24"/>
        </w:rPr>
        <w:footnoteReference w:id="21"/>
      </w:r>
      <w:r w:rsidR="00384F9A" w:rsidRPr="00FE73DE" w:rsidDel="004B0C34">
        <w:rPr>
          <w:szCs w:val="24"/>
        </w:rPr>
        <w:t xml:space="preserve"> to meet regularly (not less than half yearly) to discuss progress of the BSP services and activities at the local level, including the effectiveness of the Commonwealth’s and IBA’s referrals and mutual customer management.</w:t>
      </w:r>
      <w:r w:rsidR="004C09B2" w:rsidRPr="00FE73DE">
        <w:rPr>
          <w:szCs w:val="24"/>
        </w:rPr>
        <w:t xml:space="preserve"> </w:t>
      </w:r>
      <w:r w:rsidR="000D525B">
        <w:rPr>
          <w:szCs w:val="24"/>
        </w:rPr>
        <w:t>A</w:t>
      </w:r>
      <w:r w:rsidR="004C09B2" w:rsidRPr="00FE73DE">
        <w:t>dvice from NIAA and IBA</w:t>
      </w:r>
      <w:r w:rsidR="003635E7">
        <w:t xml:space="preserve"> indicate</w:t>
      </w:r>
      <w:r w:rsidR="004C09B2" w:rsidRPr="00FE73DE">
        <w:t xml:space="preserve"> the framework has </w:t>
      </w:r>
      <w:r w:rsidR="003635E7">
        <w:t xml:space="preserve">not </w:t>
      </w:r>
      <w:r w:rsidR="004C09B2" w:rsidRPr="00FE73DE">
        <w:t>been developed</w:t>
      </w:r>
      <w:r w:rsidR="003635E7">
        <w:t xml:space="preserve"> and</w:t>
      </w:r>
      <w:r w:rsidR="004C09B2" w:rsidRPr="00FE73DE">
        <w:t xml:space="preserve"> the associated six-monthly regional meetings to discuss the effectiveness of the framework</w:t>
      </w:r>
      <w:r w:rsidR="003635E7">
        <w:t xml:space="preserve"> have not been held</w:t>
      </w:r>
      <w:r w:rsidR="004C09B2" w:rsidRPr="00FE73DE">
        <w:t xml:space="preserve">, noting this is </w:t>
      </w:r>
      <w:r w:rsidR="0060599B" w:rsidRPr="00FE73DE">
        <w:t xml:space="preserve">the </w:t>
      </w:r>
      <w:r w:rsidR="004C09B2" w:rsidRPr="00FE73DE">
        <w:t>responsibility of both parties to have progressed.</w:t>
      </w:r>
    </w:p>
    <w:p w14:paraId="345A4EEB" w14:textId="53B35A04" w:rsidR="006E404C" w:rsidRPr="00FE73DE" w:rsidRDefault="00527F5D" w:rsidP="00B77671">
      <w:pPr>
        <w:rPr>
          <w:szCs w:val="24"/>
        </w:rPr>
      </w:pPr>
      <w:r w:rsidRPr="00FE73DE">
        <w:rPr>
          <w:szCs w:val="24"/>
        </w:rPr>
        <w:t xml:space="preserve">The importance of supporting businesses in regional and remote areas </w:t>
      </w:r>
      <w:r w:rsidR="00DE4589" w:rsidRPr="00FE73DE">
        <w:rPr>
          <w:szCs w:val="24"/>
        </w:rPr>
        <w:t xml:space="preserve">was included in the IBSS and was also </w:t>
      </w:r>
      <w:r w:rsidRPr="00FE73DE">
        <w:rPr>
          <w:szCs w:val="24"/>
        </w:rPr>
        <w:t>reiterated in</w:t>
      </w:r>
      <w:r w:rsidR="0086282D" w:rsidRPr="00FE73DE">
        <w:rPr>
          <w:szCs w:val="24"/>
        </w:rPr>
        <w:t xml:space="preserve"> the 2018</w:t>
      </w:r>
      <w:r w:rsidRPr="00FE73DE">
        <w:rPr>
          <w:szCs w:val="24"/>
        </w:rPr>
        <w:t xml:space="preserve"> </w:t>
      </w:r>
      <w:r w:rsidR="006E404C" w:rsidRPr="00FE73DE">
        <w:rPr>
          <w:szCs w:val="24"/>
        </w:rPr>
        <w:t xml:space="preserve">Supply Nation/First Australians Capital </w:t>
      </w:r>
      <w:r w:rsidRPr="00FE73DE">
        <w:rPr>
          <w:szCs w:val="24"/>
        </w:rPr>
        <w:t>publication on Indigenous</w:t>
      </w:r>
      <w:r w:rsidR="006E404C" w:rsidRPr="00FE73DE">
        <w:rPr>
          <w:szCs w:val="24"/>
        </w:rPr>
        <w:t xml:space="preserve"> Business Growth</w:t>
      </w:r>
      <w:r w:rsidR="006E404C" w:rsidRPr="00FE73DE">
        <w:rPr>
          <w:rStyle w:val="FootnoteReference"/>
          <w:szCs w:val="24"/>
        </w:rPr>
        <w:footnoteReference w:id="22"/>
      </w:r>
      <w:r w:rsidRPr="00FE73DE">
        <w:rPr>
          <w:szCs w:val="24"/>
        </w:rPr>
        <w:t xml:space="preserve">. </w:t>
      </w:r>
      <w:r w:rsidR="006D1C31">
        <w:t xml:space="preserve">Research highlights that remote and outer regional areas are under-represented in terms of the number of Indigenous business owners </w:t>
      </w:r>
      <w:r w:rsidR="0080634F">
        <w:t>per</w:t>
      </w:r>
      <w:r w:rsidR="00F33154">
        <w:t xml:space="preserve"> </w:t>
      </w:r>
      <w:r w:rsidR="006D1C31">
        <w:t xml:space="preserve">Indigenous population. For example, Figure 4 (below) compares the Indigenous population in a geographic region with the number of </w:t>
      </w:r>
      <w:r w:rsidR="0080634F">
        <w:t xml:space="preserve">Indigenous </w:t>
      </w:r>
      <w:r w:rsidR="006D1C31">
        <w:t>business owners in that location as reported by the Australian Bureau of Statistics (ABS) 2016 Census.</w:t>
      </w:r>
      <w:r w:rsidR="00A97F9E" w:rsidRPr="00FE73DE">
        <w:rPr>
          <w:szCs w:val="24"/>
        </w:rPr>
        <w:t xml:space="preserve"> </w:t>
      </w:r>
      <w:r w:rsidR="005D405C">
        <w:rPr>
          <w:szCs w:val="24"/>
        </w:rPr>
        <w:t>T</w:t>
      </w:r>
      <w:r w:rsidR="00A97F9E" w:rsidRPr="00FE73DE">
        <w:rPr>
          <w:szCs w:val="24"/>
        </w:rPr>
        <w:t xml:space="preserve">he </w:t>
      </w:r>
      <w:r w:rsidR="00DE4589" w:rsidRPr="00FE73DE">
        <w:rPr>
          <w:szCs w:val="24"/>
        </w:rPr>
        <w:t>research</w:t>
      </w:r>
      <w:r w:rsidR="00A97F9E" w:rsidRPr="00FE73DE">
        <w:rPr>
          <w:szCs w:val="24"/>
        </w:rPr>
        <w:t xml:space="preserve"> highlighted </w:t>
      </w:r>
      <w:r w:rsidR="00DE4589" w:rsidRPr="00FE73DE">
        <w:rPr>
          <w:szCs w:val="24"/>
        </w:rPr>
        <w:t xml:space="preserve">that there is </w:t>
      </w:r>
      <w:r w:rsidR="006E404C" w:rsidRPr="00FE73DE">
        <w:rPr>
          <w:szCs w:val="24"/>
        </w:rPr>
        <w:t>an opportunity to grow the number of Indigenous business owners in these areas</w:t>
      </w:r>
      <w:r w:rsidR="00F33154">
        <w:rPr>
          <w:szCs w:val="24"/>
        </w:rPr>
        <w:t xml:space="preserve"> and to </w:t>
      </w:r>
      <w:r w:rsidR="006E404C" w:rsidRPr="00FE73DE">
        <w:rPr>
          <w:szCs w:val="24"/>
        </w:rPr>
        <w:t xml:space="preserve">scale existing businesses. </w:t>
      </w:r>
    </w:p>
    <w:p w14:paraId="61FD7070" w14:textId="67E8E641" w:rsidR="004C09B2" w:rsidRPr="00FE73DE" w:rsidRDefault="004B1DFB" w:rsidP="0033644A">
      <w:pPr>
        <w:jc w:val="center"/>
      </w:pPr>
      <w:r w:rsidRPr="00FE73DE">
        <w:rPr>
          <w:noProof/>
          <w:lang w:eastAsia="en-AU"/>
        </w:rPr>
        <w:drawing>
          <wp:inline distT="0" distB="0" distL="0" distR="0" wp14:anchorId="4B3552BF" wp14:editId="244BD060">
            <wp:extent cx="4517219" cy="3355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7219" cy="3355675"/>
                    </a:xfrm>
                    <a:prstGeom prst="rect">
                      <a:avLst/>
                    </a:prstGeom>
                    <a:noFill/>
                    <a:ln>
                      <a:noFill/>
                    </a:ln>
                  </pic:spPr>
                </pic:pic>
              </a:graphicData>
            </a:graphic>
          </wp:inline>
        </w:drawing>
      </w:r>
    </w:p>
    <w:p w14:paraId="315A1597" w14:textId="7FAE84B7" w:rsidR="00117334" w:rsidRPr="00FE73DE" w:rsidRDefault="00117334" w:rsidP="00117334">
      <w:pPr>
        <w:pStyle w:val="Caption"/>
        <w:keepNext/>
        <w:spacing w:after="0"/>
      </w:pPr>
      <w:bookmarkStart w:id="54" w:name="_Ref110339903"/>
      <w:r w:rsidRPr="00FE73DE">
        <w:t xml:space="preserve">Figure </w:t>
      </w:r>
      <w:fldSimple w:instr=" SEQ Figure \* ARABIC ">
        <w:r w:rsidR="004718C9">
          <w:rPr>
            <w:noProof/>
          </w:rPr>
          <w:t>4</w:t>
        </w:r>
      </w:fldSimple>
      <w:bookmarkEnd w:id="54"/>
      <w:r w:rsidRPr="00FE73DE">
        <w:t>: Regional opportunities</w:t>
      </w:r>
    </w:p>
    <w:p w14:paraId="1D0EAEF5" w14:textId="10BD9CFC" w:rsidR="004C09B2" w:rsidRPr="00FE73DE" w:rsidRDefault="00117334" w:rsidP="00632A7B">
      <w:pPr>
        <w:pStyle w:val="TableNote"/>
        <w:rPr>
          <w:szCs w:val="20"/>
        </w:rPr>
      </w:pPr>
      <w:r w:rsidRPr="00FE73DE">
        <w:rPr>
          <w:szCs w:val="20"/>
        </w:rPr>
        <w:t xml:space="preserve">Source: </w:t>
      </w:r>
      <w:r w:rsidR="004B1DFB" w:rsidRPr="00FE73DE">
        <w:rPr>
          <w:i w:val="0"/>
          <w:iCs w:val="0"/>
          <w:szCs w:val="20"/>
        </w:rPr>
        <w:t xml:space="preserve">Extracted from </w:t>
      </w:r>
      <w:r w:rsidRPr="00FE73DE">
        <w:rPr>
          <w:i w:val="0"/>
          <w:iCs w:val="0"/>
          <w:szCs w:val="20"/>
        </w:rPr>
        <w:t>Supply Nation, First Nations Capital,</w:t>
      </w:r>
      <w:r w:rsidRPr="00FE73DE">
        <w:rPr>
          <w:szCs w:val="20"/>
        </w:rPr>
        <w:t xml:space="preserve"> Indigenous Business Growth: Working together to realise potential </w:t>
      </w:r>
      <w:r w:rsidRPr="00FE73DE">
        <w:rPr>
          <w:i w:val="0"/>
          <w:iCs w:val="0"/>
          <w:szCs w:val="20"/>
        </w:rPr>
        <w:t>(</w:t>
      </w:r>
      <w:r w:rsidR="004B1DFB" w:rsidRPr="00FE73DE">
        <w:rPr>
          <w:i w:val="0"/>
          <w:iCs w:val="0"/>
          <w:szCs w:val="20"/>
        </w:rPr>
        <w:t xml:space="preserve">September </w:t>
      </w:r>
      <w:r w:rsidRPr="00FE73DE">
        <w:rPr>
          <w:i w:val="0"/>
          <w:iCs w:val="0"/>
          <w:szCs w:val="20"/>
        </w:rPr>
        <w:t>2018) p</w:t>
      </w:r>
      <w:r w:rsidR="00295C5C">
        <w:rPr>
          <w:i w:val="0"/>
          <w:iCs w:val="0"/>
          <w:szCs w:val="20"/>
        </w:rPr>
        <w:t>.</w:t>
      </w:r>
      <w:r w:rsidRPr="00FE73DE">
        <w:rPr>
          <w:i w:val="0"/>
          <w:iCs w:val="0"/>
          <w:szCs w:val="20"/>
        </w:rPr>
        <w:t xml:space="preserve"> </w:t>
      </w:r>
      <w:r w:rsidR="004B1DFB" w:rsidRPr="00FE73DE">
        <w:rPr>
          <w:i w:val="0"/>
          <w:iCs w:val="0"/>
          <w:szCs w:val="20"/>
        </w:rPr>
        <w:t>3</w:t>
      </w:r>
      <w:r w:rsidRPr="00FE73DE">
        <w:rPr>
          <w:i w:val="0"/>
          <w:iCs w:val="0"/>
          <w:szCs w:val="20"/>
        </w:rPr>
        <w:t xml:space="preserve"> </w:t>
      </w:r>
    </w:p>
    <w:p w14:paraId="3B3EE07D" w14:textId="0C318A61" w:rsidR="000E1DC7" w:rsidRPr="00FE73DE" w:rsidRDefault="000E1DC7">
      <w:pPr>
        <w:pStyle w:val="Heading3"/>
      </w:pPr>
      <w:bookmarkStart w:id="55" w:name="_Toc109569493"/>
      <w:r w:rsidRPr="00FE73DE">
        <w:t>Fostering women and youth inclusion into</w:t>
      </w:r>
      <w:r w:rsidR="00B50C11" w:rsidRPr="00FE73DE">
        <w:t xml:space="preserve"> the</w:t>
      </w:r>
      <w:r w:rsidRPr="00FE73DE">
        <w:t xml:space="preserve"> BSP</w:t>
      </w:r>
      <w:bookmarkEnd w:id="55"/>
    </w:p>
    <w:p w14:paraId="4D73A269" w14:textId="64AD34A8" w:rsidR="00B50C11" w:rsidRPr="00FE73DE" w:rsidRDefault="00B50C11" w:rsidP="000E1DC7">
      <w:r w:rsidRPr="00FE73DE">
        <w:t xml:space="preserve">The IBSS recognised that expanding the number of Aboriginal and Torres Strait Islander people going into business was critical for the longevity and prosperity of the Indigenous business sector. To this end, the IBSS focused on </w:t>
      </w:r>
      <w:r w:rsidR="00295C5C">
        <w:t>two</w:t>
      </w:r>
      <w:r w:rsidRPr="00FE73DE">
        <w:t xml:space="preserve"> key groups: Aboriginal and Torres Strait Islander women and youth.</w:t>
      </w:r>
    </w:p>
    <w:p w14:paraId="7636E343" w14:textId="6CF60B8A" w:rsidR="000E1DC7" w:rsidRPr="00FE73DE" w:rsidRDefault="000E1DC7" w:rsidP="000E1DC7">
      <w:pPr>
        <w:rPr>
          <w:szCs w:val="24"/>
        </w:rPr>
      </w:pPr>
      <w:r w:rsidRPr="00FE73DE">
        <w:rPr>
          <w:szCs w:val="24"/>
        </w:rPr>
        <w:t xml:space="preserve">In relation to </w:t>
      </w:r>
      <w:r w:rsidR="00B50C11" w:rsidRPr="00FE73DE">
        <w:rPr>
          <w:szCs w:val="24"/>
        </w:rPr>
        <w:t>the BSP</w:t>
      </w:r>
      <w:r w:rsidR="002D458E">
        <w:rPr>
          <w:szCs w:val="24"/>
        </w:rPr>
        <w:t>,</w:t>
      </w:r>
      <w:r w:rsidR="00B50C11" w:rsidRPr="00FE73DE">
        <w:rPr>
          <w:szCs w:val="24"/>
        </w:rPr>
        <w:t xml:space="preserve"> </w:t>
      </w:r>
      <w:r w:rsidRPr="00FE73DE">
        <w:rPr>
          <w:szCs w:val="24"/>
        </w:rPr>
        <w:t xml:space="preserve">there were some specific </w:t>
      </w:r>
      <w:r w:rsidR="00B50C11" w:rsidRPr="00FE73DE">
        <w:rPr>
          <w:szCs w:val="24"/>
        </w:rPr>
        <w:t xml:space="preserve">design </w:t>
      </w:r>
      <w:r w:rsidRPr="00FE73DE">
        <w:rPr>
          <w:szCs w:val="24"/>
        </w:rPr>
        <w:t xml:space="preserve">elements for </w:t>
      </w:r>
      <w:r w:rsidR="00B50C11" w:rsidRPr="00FE73DE">
        <w:rPr>
          <w:szCs w:val="24"/>
        </w:rPr>
        <w:t>providing greater support for women in business</w:t>
      </w:r>
      <w:r w:rsidR="002D458E">
        <w:rPr>
          <w:szCs w:val="24"/>
        </w:rPr>
        <w:t>,</w:t>
      </w:r>
      <w:r w:rsidR="00B50C11" w:rsidRPr="00FE73DE">
        <w:rPr>
          <w:szCs w:val="24"/>
        </w:rPr>
        <w:t xml:space="preserve"> </w:t>
      </w:r>
      <w:r w:rsidRPr="00FE73DE">
        <w:rPr>
          <w:szCs w:val="24"/>
        </w:rPr>
        <w:t>including:</w:t>
      </w:r>
    </w:p>
    <w:p w14:paraId="0B3263C1" w14:textId="4B24A34A" w:rsidR="00762684" w:rsidRPr="00FE73DE" w:rsidRDefault="0086282D">
      <w:pPr>
        <w:pStyle w:val="ListBullet"/>
      </w:pPr>
      <w:r w:rsidRPr="00FE73DE">
        <w:t>t</w:t>
      </w:r>
      <w:r w:rsidR="000B298C" w:rsidRPr="00FE73DE">
        <w:t>he design and development of a product, in collaboration with a relevant partner organisation, to increase the proportion of Aboriginal and Torres Strait Islander women accessing IBA business support and finance</w:t>
      </w:r>
      <w:r w:rsidR="00762684" w:rsidRPr="00FE73DE">
        <w:t xml:space="preserve"> </w:t>
      </w:r>
    </w:p>
    <w:p w14:paraId="32B988F6" w14:textId="381405FB" w:rsidR="000E1DC7" w:rsidRPr="00FE73DE" w:rsidRDefault="0086282D">
      <w:pPr>
        <w:pStyle w:val="ListBullet"/>
      </w:pPr>
      <w:r w:rsidRPr="00FE73DE">
        <w:t>hosting a c</w:t>
      </w:r>
      <w:r w:rsidR="000E1DC7" w:rsidRPr="00FE73DE">
        <w:t>onference on getting Indigenous women into business</w:t>
      </w:r>
    </w:p>
    <w:p w14:paraId="12C81685" w14:textId="3133766F" w:rsidR="000E1DC7" w:rsidRPr="00FE73DE" w:rsidRDefault="0086282D">
      <w:pPr>
        <w:pStyle w:val="ListBullet"/>
      </w:pPr>
      <w:r w:rsidRPr="00FE73DE">
        <w:t>h</w:t>
      </w:r>
      <w:r w:rsidR="000E1DC7" w:rsidRPr="00FE73DE">
        <w:t xml:space="preserve">osting of a </w:t>
      </w:r>
      <w:r w:rsidR="00B1094B" w:rsidRPr="00FE73DE">
        <w:t xml:space="preserve">Strong </w:t>
      </w:r>
      <w:r w:rsidR="000E1DC7" w:rsidRPr="00FE73DE">
        <w:t xml:space="preserve">Women </w:t>
      </w:r>
      <w:r w:rsidR="00B1094B" w:rsidRPr="00FE73DE">
        <w:t>Strong Business closed F</w:t>
      </w:r>
      <w:r w:rsidR="000E1DC7" w:rsidRPr="00FE73DE">
        <w:t>acebook group.</w:t>
      </w:r>
    </w:p>
    <w:p w14:paraId="44E62969" w14:textId="5C4C8503" w:rsidR="00B50C11" w:rsidRPr="00FE73DE" w:rsidRDefault="00B50C11" w:rsidP="00B50C11">
      <w:pPr>
        <w:rPr>
          <w:szCs w:val="24"/>
        </w:rPr>
      </w:pPr>
      <w:r w:rsidRPr="00FE73DE">
        <w:rPr>
          <w:szCs w:val="24"/>
        </w:rPr>
        <w:t>While support for youth inclusion was noted in the BSP grant agreement, there appeared to be no specific initiatives.</w:t>
      </w:r>
    </w:p>
    <w:p w14:paraId="153D9B2D" w14:textId="77777777" w:rsidR="009170C4" w:rsidRPr="00FE73DE" w:rsidRDefault="009170C4" w:rsidP="004F2771">
      <w:pPr>
        <w:pStyle w:val="Heading2"/>
        <w:ind w:hanging="792"/>
      </w:pPr>
      <w:bookmarkStart w:id="56" w:name="_Toc123734704"/>
      <w:r w:rsidRPr="00FE73DE">
        <w:t>IBA’s COVID-19 Indigenous Business Relief Program</w:t>
      </w:r>
      <w:bookmarkEnd w:id="56"/>
    </w:p>
    <w:p w14:paraId="639BB60B" w14:textId="51775442" w:rsidR="007632BA" w:rsidRDefault="009170C4" w:rsidP="009170C4">
      <w:r w:rsidRPr="00FE73DE">
        <w:t xml:space="preserve">In April 2020, the Government announced a $123 million package to support Indigenous businesses and communities. Part of this package was a $50 million COVID-19 Business Relief Package delivered by IBA known as the Indigenous Business Relief Program (IBRP). The key program intent of the IBRP </w:t>
      </w:r>
      <w:r w:rsidR="002D458E">
        <w:t xml:space="preserve">was </w:t>
      </w:r>
      <w:r w:rsidRPr="00FE73DE">
        <w:t>to address the unique challenges faced by Indigenous businesses in responding to the COVID-19 pandemic</w:t>
      </w:r>
      <w:r w:rsidR="00BB7EEF">
        <w:t>. The IRBP was run</w:t>
      </w:r>
      <w:r w:rsidR="007632BA">
        <w:t xml:space="preserve"> concurrently to the BSP</w:t>
      </w:r>
      <w:r w:rsidR="00BB7EEF">
        <w:t>.</w:t>
      </w:r>
    </w:p>
    <w:p w14:paraId="7776CF95" w14:textId="5036DBD1" w:rsidR="009170C4" w:rsidRPr="00FE73DE" w:rsidRDefault="00243323" w:rsidP="005E4CED">
      <w:pPr>
        <w:spacing w:after="40"/>
      </w:pPr>
      <w:r w:rsidRPr="00FE73DE">
        <w:t>T</w:t>
      </w:r>
      <w:r w:rsidR="009170C4" w:rsidRPr="00FE73DE">
        <w:t xml:space="preserve">he IRBP grant agreement </w:t>
      </w:r>
      <w:r w:rsidRPr="00FE73DE">
        <w:t xml:space="preserve">specified that </w:t>
      </w:r>
      <w:r w:rsidR="009170C4" w:rsidRPr="00FE73DE">
        <w:rPr>
          <w:szCs w:val="24"/>
        </w:rPr>
        <w:t xml:space="preserve">assistance </w:t>
      </w:r>
      <w:r w:rsidR="002D458E">
        <w:rPr>
          <w:szCs w:val="24"/>
        </w:rPr>
        <w:t>wa</w:t>
      </w:r>
      <w:r w:rsidRPr="00FE73DE">
        <w:rPr>
          <w:szCs w:val="24"/>
        </w:rPr>
        <w:t xml:space="preserve">s to be provided </w:t>
      </w:r>
      <w:r w:rsidR="009170C4" w:rsidRPr="00FE73DE">
        <w:rPr>
          <w:szCs w:val="24"/>
        </w:rPr>
        <w:t>to small- to medium-</w:t>
      </w:r>
      <w:r w:rsidR="002D458E">
        <w:rPr>
          <w:szCs w:val="24"/>
        </w:rPr>
        <w:t xml:space="preserve">sized </w:t>
      </w:r>
      <w:r w:rsidR="002D458E" w:rsidRPr="00FE73DE">
        <w:rPr>
          <w:szCs w:val="24"/>
        </w:rPr>
        <w:t xml:space="preserve">Indigenous </w:t>
      </w:r>
      <w:r w:rsidR="009170C4" w:rsidRPr="00FE73DE">
        <w:rPr>
          <w:szCs w:val="24"/>
        </w:rPr>
        <w:t>businesses and the numerous jobs of Aboriginal and Torres Strait Islander people that these businesses support,</w:t>
      </w:r>
      <w:r w:rsidR="009170C4" w:rsidRPr="00FE73DE">
        <w:t xml:space="preserve"> through:</w:t>
      </w:r>
    </w:p>
    <w:p w14:paraId="240676D9" w14:textId="33556E09" w:rsidR="009170C4" w:rsidRPr="00FE73DE" w:rsidRDefault="009170C4">
      <w:pPr>
        <w:pStyle w:val="ListBullet"/>
      </w:pPr>
      <w:r w:rsidRPr="00FE73DE">
        <w:t>helping customers to identify pandemic impacts on their business</w:t>
      </w:r>
    </w:p>
    <w:p w14:paraId="270A3614" w14:textId="72102047" w:rsidR="009170C4" w:rsidRPr="00FE73DE" w:rsidRDefault="009170C4">
      <w:pPr>
        <w:pStyle w:val="ListBullet"/>
      </w:pPr>
      <w:r w:rsidRPr="00FE73DE">
        <w:t>providing loans and grants to assist businesses stay afloat during and following the emergency</w:t>
      </w:r>
    </w:p>
    <w:p w14:paraId="4DC96F89" w14:textId="766030C8" w:rsidR="009170C4" w:rsidRPr="00FE73DE" w:rsidRDefault="009170C4">
      <w:pPr>
        <w:pStyle w:val="ListBullet"/>
      </w:pPr>
      <w:r w:rsidRPr="00FE73DE">
        <w:t>managing ongoing fixed costs</w:t>
      </w:r>
    </w:p>
    <w:p w14:paraId="43C8C58B" w14:textId="77777777" w:rsidR="009170C4" w:rsidRPr="00FE73DE" w:rsidRDefault="009170C4">
      <w:pPr>
        <w:pStyle w:val="ListBullet"/>
      </w:pPr>
      <w:r w:rsidRPr="00FE73DE">
        <w:t xml:space="preserve">assisting businesses diversify revenue streams and pivot to new business models. </w:t>
      </w:r>
    </w:p>
    <w:p w14:paraId="084F391F" w14:textId="307F26FD" w:rsidR="009170C4" w:rsidRPr="00FE73DE" w:rsidRDefault="007632BA" w:rsidP="009170C4">
      <w:r>
        <w:t>T</w:t>
      </w:r>
      <w:r w:rsidR="009170C4" w:rsidRPr="00FE73DE">
        <w:t xml:space="preserve">he design and performance reporting aspects of the IBRP provide some relevant lessons </w:t>
      </w:r>
      <w:r w:rsidR="002D458E">
        <w:t xml:space="preserve">for </w:t>
      </w:r>
      <w:r w:rsidR="009170C4" w:rsidRPr="00FE73DE">
        <w:t xml:space="preserve">the BSP going forward. </w:t>
      </w:r>
      <w:r w:rsidR="00BB7EEF">
        <w:t>For example, w</w:t>
      </w:r>
      <w:r w:rsidR="009170C4" w:rsidRPr="00FE73DE">
        <w:t xml:space="preserve">hen the IBRP was introduced an initial online Expression of Interest (EOI) entry point for access was </w:t>
      </w:r>
      <w:r w:rsidR="00474C7A" w:rsidRPr="00FE73DE">
        <w:t>established</w:t>
      </w:r>
      <w:r w:rsidR="009170C4" w:rsidRPr="00FE73DE">
        <w:t>. In this way, IBA resourced an EOI team to triage a customer</w:t>
      </w:r>
      <w:r w:rsidR="00F33154">
        <w:t>’s</w:t>
      </w:r>
      <w:r w:rsidR="009170C4" w:rsidRPr="00FE73DE">
        <w:t xml:space="preserve"> identity, eligibility, documentation requirements</w:t>
      </w:r>
      <w:r w:rsidR="002D458E">
        <w:t>,</w:t>
      </w:r>
      <w:r w:rsidR="009170C4" w:rsidRPr="00FE73DE">
        <w:t xml:space="preserve"> and next steps. Such a mechanism does not exist for the BSP. While potentially resource intensive to establish and service, </w:t>
      </w:r>
      <w:r w:rsidR="00474C7A" w:rsidRPr="00FE73DE">
        <w:t xml:space="preserve">having </w:t>
      </w:r>
      <w:r w:rsidR="009170C4" w:rsidRPr="00FE73DE">
        <w:t xml:space="preserve">such a mechanism </w:t>
      </w:r>
      <w:r w:rsidR="00474C7A" w:rsidRPr="00FE73DE">
        <w:t xml:space="preserve">available </w:t>
      </w:r>
      <w:r w:rsidR="009170C4" w:rsidRPr="00FE73DE">
        <w:t xml:space="preserve">for all enquiries to IBA for business support would help capture the level of demand for products and services (either delivered through the BSP suite of services or elsewhere). It would also provide a transparent mechanism to capture key metrics </w:t>
      </w:r>
      <w:r w:rsidR="00474C7A" w:rsidRPr="00FE73DE">
        <w:t xml:space="preserve">on demand, assistance provided, </w:t>
      </w:r>
      <w:r w:rsidR="002D458E">
        <w:t xml:space="preserve">and </w:t>
      </w:r>
      <w:r w:rsidR="00474C7A" w:rsidRPr="00FE73DE">
        <w:t>timeliness of support.</w:t>
      </w:r>
      <w:r w:rsidR="009170C4" w:rsidRPr="00FE73DE">
        <w:t xml:space="preserve"> </w:t>
      </w:r>
    </w:p>
    <w:p w14:paraId="624F02A5" w14:textId="1E511C45" w:rsidR="009170C4" w:rsidRPr="00FE73DE" w:rsidRDefault="00474C7A" w:rsidP="009170C4">
      <w:r w:rsidRPr="00FE73DE">
        <w:t>For the IBRP, a</w:t>
      </w:r>
      <w:r w:rsidR="009170C4" w:rsidRPr="00FE73DE">
        <w:t xml:space="preserve"> dedicated internal </w:t>
      </w:r>
      <w:r w:rsidR="00074C2F">
        <w:t>c</w:t>
      </w:r>
      <w:r w:rsidR="009170C4" w:rsidRPr="00FE73DE">
        <w:t xml:space="preserve">ustomer </w:t>
      </w:r>
      <w:r w:rsidR="00074C2F">
        <w:t>r</w:t>
      </w:r>
      <w:r w:rsidR="009170C4" w:rsidRPr="00FE73DE">
        <w:t xml:space="preserve">elationship </w:t>
      </w:r>
      <w:r w:rsidR="00074C2F">
        <w:t>m</w:t>
      </w:r>
      <w:r w:rsidR="009170C4" w:rsidRPr="00FE73DE">
        <w:t xml:space="preserve">anagement (CRM) system was designed for data capture and tracking. </w:t>
      </w:r>
      <w:r w:rsidR="002D458E">
        <w:t>A</w:t>
      </w:r>
      <w:r w:rsidR="009170C4" w:rsidRPr="00FE73DE">
        <w:t xml:space="preserve"> system established specifically to capture and track key client information </w:t>
      </w:r>
      <w:r w:rsidR="00E90E04" w:rsidRPr="00FE73DE">
        <w:t xml:space="preserve">on the program </w:t>
      </w:r>
      <w:r w:rsidR="009170C4" w:rsidRPr="00FE73DE">
        <w:t xml:space="preserve">enabled timely decisions </w:t>
      </w:r>
      <w:r w:rsidR="002D458E">
        <w:t>around</w:t>
      </w:r>
      <w:r w:rsidR="009170C4" w:rsidRPr="00FE73DE">
        <w:t xml:space="preserve"> who was accessing the services and whether there were emergent gaps in target audiences. No such system exists for the BSP which is evident in the findings of this evaluation.</w:t>
      </w:r>
    </w:p>
    <w:p w14:paraId="0C25707A" w14:textId="609F3833" w:rsidR="009170C4" w:rsidRPr="00FE73DE" w:rsidRDefault="009170C4" w:rsidP="009170C4">
      <w:r w:rsidRPr="00FE73DE">
        <w:t>New assessment processes and risk rating tool</w:t>
      </w:r>
      <w:r w:rsidR="002D458E">
        <w:t>s</w:t>
      </w:r>
      <w:r w:rsidRPr="00FE73DE">
        <w:t xml:space="preserve"> were created by IBA to assist fast</w:t>
      </w:r>
      <w:r w:rsidR="002D458E">
        <w:t>-</w:t>
      </w:r>
      <w:r w:rsidRPr="00FE73DE">
        <w:t>track</w:t>
      </w:r>
      <w:r w:rsidR="002D458E">
        <w:t>ed</w:t>
      </w:r>
      <w:r w:rsidRPr="00FE73DE">
        <w:t xml:space="preserve"> emergency relief funding. In addition, simplified loan conditions and new documentation processes were introduced. </w:t>
      </w:r>
    </w:p>
    <w:p w14:paraId="1358A774" w14:textId="6F4EC404" w:rsidR="009170C4" w:rsidRPr="00FE73DE" w:rsidRDefault="009170C4" w:rsidP="009170C4">
      <w:r w:rsidRPr="00FE73DE">
        <w:t xml:space="preserve">As a result of the data collected through the delivery of the first </w:t>
      </w:r>
      <w:r w:rsidR="00BB7EEF">
        <w:t>four</w:t>
      </w:r>
      <w:r w:rsidRPr="00FE73DE">
        <w:t xml:space="preserve"> months of the IBRP, IBA was able to provide recommendations to NIAA for amending the package of support provide under the program. These amendments reflected the lessons learned to date in order to refine the design to better support Indigenous businesses impacted by the pandemic. This insight related not only </w:t>
      </w:r>
      <w:r w:rsidR="002D458E" w:rsidRPr="00FE73DE">
        <w:t xml:space="preserve">to </w:t>
      </w:r>
      <w:r w:rsidRPr="00FE73DE">
        <w:t>the businesses being supported but the sectors and regions in which they operated. The amendments included</w:t>
      </w:r>
      <w:r w:rsidR="002D458E">
        <w:t>:</w:t>
      </w:r>
      <w:r w:rsidRPr="00FE73DE">
        <w:t xml:space="preserve"> broadening the eligibility criteria of the package</w:t>
      </w:r>
      <w:r w:rsidR="002D458E">
        <w:t>,</w:t>
      </w:r>
      <w:r w:rsidRPr="00FE73DE">
        <w:t xml:space="preserve"> making it more accessible</w:t>
      </w:r>
      <w:r w:rsidR="002D458E">
        <w:t>;</w:t>
      </w:r>
      <w:r w:rsidRPr="00FE73DE">
        <w:t xml:space="preserve"> increasing the level of working capital support available under the IBRP</w:t>
      </w:r>
      <w:r w:rsidR="002D458E">
        <w:t xml:space="preserve">, </w:t>
      </w:r>
      <w:r w:rsidRPr="00FE73DE">
        <w:t>including changes to the mix of loan and grant components</w:t>
      </w:r>
      <w:r w:rsidR="002D458E">
        <w:t>;</w:t>
      </w:r>
      <w:r w:rsidRPr="00FE73DE">
        <w:t xml:space="preserve"> and expanding the repayment period of working capital loan monies.</w:t>
      </w:r>
    </w:p>
    <w:p w14:paraId="0EA0450F" w14:textId="3511BBFB" w:rsidR="00635408" w:rsidRPr="00FE73DE" w:rsidRDefault="0080634F" w:rsidP="009170C4">
      <w:r>
        <w:t>T</w:t>
      </w:r>
      <w:r w:rsidR="00E90E04" w:rsidRPr="00FE73DE">
        <w:t>he reportable KPIs for the IBRP</w:t>
      </w:r>
      <w:r>
        <w:t xml:space="preserve"> were also an improvement from the BSP</w:t>
      </w:r>
      <w:r w:rsidR="007B2E0A">
        <w:t xml:space="preserve">, and which enabled informed and timely decision making to occur on key program parameters. The key differences between the IBRP and the BSP are presented in </w:t>
      </w:r>
      <w:r w:rsidR="00E90E04" w:rsidRPr="00FE73DE">
        <w:fldChar w:fldCharType="begin"/>
      </w:r>
      <w:r w:rsidR="00E90E04" w:rsidRPr="00FE73DE">
        <w:instrText xml:space="preserve"> REF _Ref116576090 \h </w:instrText>
      </w:r>
      <w:r w:rsidR="00E90E04" w:rsidRPr="00FE73DE">
        <w:fldChar w:fldCharType="separate"/>
      </w:r>
      <w:r w:rsidR="004718C9" w:rsidRPr="00FE73DE">
        <w:t xml:space="preserve">Table </w:t>
      </w:r>
      <w:r w:rsidR="004718C9">
        <w:rPr>
          <w:noProof/>
        </w:rPr>
        <w:t>3</w:t>
      </w:r>
      <w:r w:rsidR="00E90E04" w:rsidRPr="00FE73DE">
        <w:fldChar w:fldCharType="end"/>
      </w:r>
      <w:r w:rsidR="00E90E04" w:rsidRPr="00FE73DE">
        <w:t xml:space="preserve">. </w:t>
      </w:r>
    </w:p>
    <w:p w14:paraId="4F2E7502" w14:textId="063816F5" w:rsidR="00074C2F" w:rsidRPr="00FE73DE" w:rsidRDefault="00E90E04" w:rsidP="00635408">
      <w:pPr>
        <w:spacing w:after="200" w:line="276" w:lineRule="auto"/>
      </w:pPr>
      <w:r w:rsidRPr="00FE73DE">
        <w:t>These differences in design are valuable points for reflecting on the effectiveness of the BSP implementation</w:t>
      </w:r>
      <w:r w:rsidR="00635408" w:rsidRPr="00FE73DE">
        <w:t xml:space="preserve">, with key aspects </w:t>
      </w:r>
      <w:r w:rsidR="007B2E0A" w:rsidRPr="00F33154">
        <w:t>such as reporting on demand levels and delivery timelines, and a streamlined loan application process for existing customers,</w:t>
      </w:r>
      <w:r w:rsidR="007B2E0A">
        <w:t xml:space="preserve"> </w:t>
      </w:r>
      <w:r w:rsidR="00635408" w:rsidRPr="00FE73DE">
        <w:t xml:space="preserve">worth considering in </w:t>
      </w:r>
      <w:r w:rsidR="00A86065" w:rsidRPr="00FE73DE">
        <w:t>the</w:t>
      </w:r>
      <w:r w:rsidR="00635408" w:rsidRPr="00FE73DE">
        <w:t xml:space="preserve"> future delivery of the BSP.</w:t>
      </w:r>
    </w:p>
    <w:p w14:paraId="039FA120" w14:textId="77777777" w:rsidR="00E90E04" w:rsidRPr="00FE73DE" w:rsidRDefault="00E90E04" w:rsidP="009170C4">
      <w:pPr>
        <w:spacing w:after="200" w:line="276" w:lineRule="auto"/>
        <w:rPr>
          <w:highlight w:val="yellow"/>
        </w:rPr>
        <w:sectPr w:rsidR="00E90E04" w:rsidRPr="00FE73DE" w:rsidSect="0069077D">
          <w:headerReference w:type="default" r:id="rId16"/>
          <w:footerReference w:type="default" r:id="rId17"/>
          <w:pgSz w:w="11906" w:h="16838" w:code="9"/>
          <w:pgMar w:top="1701" w:right="1503" w:bottom="1135" w:left="1503" w:header="680" w:footer="567" w:gutter="0"/>
          <w:pgNumType w:start="1"/>
          <w:cols w:space="708"/>
          <w:docGrid w:linePitch="360"/>
        </w:sectPr>
      </w:pPr>
    </w:p>
    <w:p w14:paraId="54C8413C" w14:textId="1D968910" w:rsidR="00E90E04" w:rsidRPr="00FE73DE" w:rsidRDefault="00E90E04" w:rsidP="00E90E04">
      <w:pPr>
        <w:pStyle w:val="Caption"/>
        <w:keepNext/>
      </w:pPr>
      <w:bookmarkStart w:id="57" w:name="_Ref116576090"/>
      <w:r w:rsidRPr="00FE73DE">
        <w:t xml:space="preserve">Table </w:t>
      </w:r>
      <w:fldSimple w:instr=" SEQ Table \* ARABIC ">
        <w:r w:rsidR="004718C9">
          <w:rPr>
            <w:noProof/>
          </w:rPr>
          <w:t>3</w:t>
        </w:r>
      </w:fldSimple>
      <w:bookmarkEnd w:id="57"/>
      <w:r w:rsidRPr="00FE73DE">
        <w:t>: Key differences between the KPIs of the BSP and the IBRP</w:t>
      </w:r>
    </w:p>
    <w:tbl>
      <w:tblPr>
        <w:tblStyle w:val="PlainTable1"/>
        <w:tblW w:w="5000" w:type="pct"/>
        <w:tblLook w:val="0600" w:firstRow="0" w:lastRow="0" w:firstColumn="0" w:lastColumn="0" w:noHBand="1" w:noVBand="1"/>
      </w:tblPr>
      <w:tblGrid>
        <w:gridCol w:w="2333"/>
        <w:gridCol w:w="3070"/>
        <w:gridCol w:w="1170"/>
        <w:gridCol w:w="2776"/>
        <w:gridCol w:w="1170"/>
        <w:gridCol w:w="3473"/>
      </w:tblGrid>
      <w:tr w:rsidR="00E90E04" w:rsidRPr="00FE73DE" w14:paraId="4CEABA82" w14:textId="77777777" w:rsidTr="00C145AC">
        <w:trPr>
          <w:trHeight w:val="300"/>
          <w:tblHeader/>
        </w:trPr>
        <w:tc>
          <w:tcPr>
            <w:tcW w:w="834" w:type="pct"/>
            <w:vMerge w:val="restart"/>
            <w:tcBorders>
              <w:right w:val="single" w:sz="4" w:space="0" w:color="FFFFFF" w:themeColor="background1"/>
            </w:tcBorders>
            <w:shd w:val="clear" w:color="auto" w:fill="41766F" w:themeFill="accent3"/>
            <w:vAlign w:val="bottom"/>
          </w:tcPr>
          <w:p w14:paraId="1FD4A348" w14:textId="77777777" w:rsidR="00E90E04" w:rsidRPr="00FE73DE" w:rsidRDefault="00E90E04" w:rsidP="00C145AC">
            <w:pPr>
              <w:pStyle w:val="TableText"/>
              <w:rPr>
                <w:b/>
                <w:bCs/>
                <w:color w:val="FFFFFF" w:themeColor="background1"/>
              </w:rPr>
            </w:pPr>
            <w:r w:rsidRPr="00FE73DE">
              <w:rPr>
                <w:b/>
                <w:bCs/>
                <w:color w:val="FFFFFF" w:themeColor="background1"/>
              </w:rPr>
              <w:t>KPI area and importance</w:t>
            </w:r>
          </w:p>
        </w:tc>
        <w:tc>
          <w:tcPr>
            <w:tcW w:w="1515"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1766F" w:themeFill="accent3"/>
            <w:vAlign w:val="bottom"/>
          </w:tcPr>
          <w:p w14:paraId="3B88C352" w14:textId="77777777" w:rsidR="00E90E04" w:rsidRPr="00FE73DE" w:rsidRDefault="00E90E04" w:rsidP="00C145AC">
            <w:pPr>
              <w:pStyle w:val="TableText"/>
              <w:rPr>
                <w:b/>
                <w:bCs/>
                <w:color w:val="FFFFFF" w:themeColor="background1"/>
              </w:rPr>
            </w:pPr>
            <w:r w:rsidRPr="00FE73DE">
              <w:rPr>
                <w:b/>
                <w:bCs/>
                <w:color w:val="FFFFFF" w:themeColor="background1"/>
              </w:rPr>
              <w:t>BSP</w:t>
            </w:r>
          </w:p>
        </w:tc>
        <w:tc>
          <w:tcPr>
            <w:tcW w:w="141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1766F" w:themeFill="accent3"/>
            <w:vAlign w:val="bottom"/>
          </w:tcPr>
          <w:p w14:paraId="08B9E32E" w14:textId="77777777" w:rsidR="00E90E04" w:rsidRPr="00FE73DE" w:rsidRDefault="00E90E04" w:rsidP="00C145AC">
            <w:pPr>
              <w:pStyle w:val="TableText"/>
              <w:rPr>
                <w:b/>
                <w:bCs/>
                <w:color w:val="FFFFFF" w:themeColor="background1"/>
              </w:rPr>
            </w:pPr>
            <w:r w:rsidRPr="00FE73DE">
              <w:rPr>
                <w:b/>
                <w:bCs/>
                <w:color w:val="FFFFFF" w:themeColor="background1"/>
              </w:rPr>
              <w:t>IBRP</w:t>
            </w:r>
          </w:p>
        </w:tc>
        <w:tc>
          <w:tcPr>
            <w:tcW w:w="1241" w:type="pct"/>
            <w:vMerge w:val="restart"/>
            <w:tcBorders>
              <w:left w:val="single" w:sz="4" w:space="0" w:color="FFFFFF" w:themeColor="background1"/>
              <w:bottom w:val="nil"/>
            </w:tcBorders>
            <w:shd w:val="clear" w:color="auto" w:fill="41766F" w:themeFill="accent3"/>
            <w:vAlign w:val="bottom"/>
          </w:tcPr>
          <w:p w14:paraId="5E4D0CA3" w14:textId="77777777" w:rsidR="00E90E04" w:rsidRPr="00FE73DE" w:rsidRDefault="00E90E04" w:rsidP="00C145AC">
            <w:pPr>
              <w:pStyle w:val="TableText"/>
              <w:rPr>
                <w:b/>
                <w:bCs/>
                <w:color w:val="FFFFFF" w:themeColor="background1"/>
              </w:rPr>
            </w:pPr>
            <w:r w:rsidRPr="00FE73DE">
              <w:rPr>
                <w:b/>
                <w:bCs/>
                <w:color w:val="FFFFFF" w:themeColor="background1"/>
              </w:rPr>
              <w:t>Comments</w:t>
            </w:r>
          </w:p>
        </w:tc>
      </w:tr>
      <w:tr w:rsidR="00E90E04" w:rsidRPr="00FE73DE" w14:paraId="1CAB4C7D" w14:textId="77777777" w:rsidTr="00C145AC">
        <w:trPr>
          <w:tblHeader/>
        </w:trPr>
        <w:tc>
          <w:tcPr>
            <w:tcW w:w="834" w:type="pct"/>
            <w:vMerge/>
            <w:tcBorders>
              <w:bottom w:val="nil"/>
              <w:right w:val="single" w:sz="4" w:space="0" w:color="FFFFFF" w:themeColor="background1"/>
            </w:tcBorders>
            <w:shd w:val="clear" w:color="auto" w:fill="305853" w:themeFill="accent3" w:themeFillShade="BF"/>
            <w:vAlign w:val="bottom"/>
          </w:tcPr>
          <w:p w14:paraId="6401D947" w14:textId="77777777" w:rsidR="00E90E04" w:rsidRPr="00FE73DE" w:rsidRDefault="00E90E04" w:rsidP="00C145AC">
            <w:pPr>
              <w:pStyle w:val="TableText"/>
              <w:rPr>
                <w:b/>
                <w:bCs/>
                <w:color w:val="FFFFFF" w:themeColor="background1"/>
              </w:rPr>
            </w:pPr>
          </w:p>
        </w:tc>
        <w:tc>
          <w:tcPr>
            <w:tcW w:w="1097" w:type="pct"/>
            <w:tcBorders>
              <w:top w:val="single" w:sz="4" w:space="0" w:color="FFFFFF" w:themeColor="background1"/>
              <w:left w:val="single" w:sz="4" w:space="0" w:color="FFFFFF" w:themeColor="background1"/>
              <w:bottom w:val="nil"/>
              <w:right w:val="single" w:sz="4" w:space="0" w:color="FFFFFF" w:themeColor="background1"/>
            </w:tcBorders>
            <w:shd w:val="clear" w:color="auto" w:fill="305853" w:themeFill="accent3" w:themeFillShade="BF"/>
            <w:vAlign w:val="bottom"/>
          </w:tcPr>
          <w:p w14:paraId="35F960A5" w14:textId="77777777" w:rsidR="00E90E04" w:rsidRPr="00FE73DE" w:rsidRDefault="00E90E04" w:rsidP="00C145AC">
            <w:pPr>
              <w:pStyle w:val="TableText"/>
              <w:rPr>
                <w:color w:val="FFFFFF" w:themeColor="background1"/>
              </w:rPr>
            </w:pPr>
            <w:r w:rsidRPr="00FE73DE">
              <w:rPr>
                <w:color w:val="FFFFFF" w:themeColor="background1"/>
              </w:rPr>
              <w:t>KPI and target</w:t>
            </w:r>
          </w:p>
        </w:tc>
        <w:tc>
          <w:tcPr>
            <w:tcW w:w="418" w:type="pct"/>
            <w:tcBorders>
              <w:top w:val="single" w:sz="4" w:space="0" w:color="FFFFFF" w:themeColor="background1"/>
              <w:left w:val="single" w:sz="4" w:space="0" w:color="FFFFFF" w:themeColor="background1"/>
              <w:bottom w:val="nil"/>
              <w:right w:val="single" w:sz="4" w:space="0" w:color="FFFFFF" w:themeColor="background1"/>
            </w:tcBorders>
            <w:shd w:val="clear" w:color="auto" w:fill="305853" w:themeFill="accent3" w:themeFillShade="BF"/>
            <w:vAlign w:val="bottom"/>
          </w:tcPr>
          <w:p w14:paraId="3AFD6A57" w14:textId="77777777" w:rsidR="00E90E04" w:rsidRPr="00FE73DE" w:rsidRDefault="00E90E04" w:rsidP="00C145AC">
            <w:pPr>
              <w:pStyle w:val="TableText"/>
              <w:rPr>
                <w:color w:val="FFFFFF" w:themeColor="background1"/>
              </w:rPr>
            </w:pPr>
            <w:r w:rsidRPr="00FE73DE">
              <w:rPr>
                <w:color w:val="FFFFFF" w:themeColor="background1"/>
              </w:rPr>
              <w:t>Reporting frequency</w:t>
            </w:r>
          </w:p>
        </w:tc>
        <w:tc>
          <w:tcPr>
            <w:tcW w:w="992" w:type="pct"/>
            <w:tcBorders>
              <w:top w:val="single" w:sz="4" w:space="0" w:color="FFFFFF" w:themeColor="background1"/>
              <w:left w:val="single" w:sz="4" w:space="0" w:color="FFFFFF" w:themeColor="background1"/>
              <w:bottom w:val="nil"/>
              <w:right w:val="single" w:sz="4" w:space="0" w:color="FFFFFF" w:themeColor="background1"/>
            </w:tcBorders>
            <w:shd w:val="clear" w:color="auto" w:fill="305853" w:themeFill="accent3" w:themeFillShade="BF"/>
            <w:vAlign w:val="bottom"/>
          </w:tcPr>
          <w:p w14:paraId="26E561A0" w14:textId="77777777" w:rsidR="00E90E04" w:rsidRPr="00FE73DE" w:rsidRDefault="00E90E04" w:rsidP="00C145AC">
            <w:pPr>
              <w:pStyle w:val="TableText"/>
              <w:rPr>
                <w:color w:val="FFFFFF" w:themeColor="background1"/>
              </w:rPr>
            </w:pPr>
            <w:r w:rsidRPr="00FE73DE">
              <w:rPr>
                <w:color w:val="FFFFFF" w:themeColor="background1"/>
              </w:rPr>
              <w:t>KPI and target</w:t>
            </w:r>
          </w:p>
        </w:tc>
        <w:tc>
          <w:tcPr>
            <w:tcW w:w="418" w:type="pct"/>
            <w:tcBorders>
              <w:top w:val="single" w:sz="4" w:space="0" w:color="FFFFFF" w:themeColor="background1"/>
              <w:left w:val="single" w:sz="4" w:space="0" w:color="FFFFFF" w:themeColor="background1"/>
              <w:bottom w:val="nil"/>
              <w:right w:val="single" w:sz="4" w:space="0" w:color="FFFFFF" w:themeColor="background1"/>
            </w:tcBorders>
            <w:shd w:val="clear" w:color="auto" w:fill="305853" w:themeFill="accent3" w:themeFillShade="BF"/>
            <w:vAlign w:val="bottom"/>
          </w:tcPr>
          <w:p w14:paraId="48DEFEAE" w14:textId="77777777" w:rsidR="00E90E04" w:rsidRPr="00FE73DE" w:rsidRDefault="00E90E04" w:rsidP="00C145AC">
            <w:pPr>
              <w:pStyle w:val="TableText"/>
              <w:rPr>
                <w:color w:val="FFFFFF" w:themeColor="background1"/>
              </w:rPr>
            </w:pPr>
            <w:r w:rsidRPr="00FE73DE">
              <w:rPr>
                <w:color w:val="FFFFFF" w:themeColor="background1"/>
              </w:rPr>
              <w:t>Reporting frequency</w:t>
            </w:r>
          </w:p>
        </w:tc>
        <w:tc>
          <w:tcPr>
            <w:tcW w:w="1241" w:type="pct"/>
            <w:vMerge/>
            <w:tcBorders>
              <w:top w:val="single" w:sz="4" w:space="0" w:color="FFFFFF" w:themeColor="background1"/>
              <w:left w:val="single" w:sz="4" w:space="0" w:color="FFFFFF" w:themeColor="background1"/>
              <w:bottom w:val="nil"/>
            </w:tcBorders>
            <w:vAlign w:val="bottom"/>
          </w:tcPr>
          <w:p w14:paraId="2DDD44F6" w14:textId="77777777" w:rsidR="00E90E04" w:rsidRPr="00FE73DE" w:rsidRDefault="00E90E04" w:rsidP="00C145AC">
            <w:pPr>
              <w:pStyle w:val="TableText"/>
            </w:pPr>
          </w:p>
        </w:tc>
      </w:tr>
      <w:tr w:rsidR="00E90E04" w:rsidRPr="00FE73DE" w14:paraId="6300BE7B" w14:textId="77777777" w:rsidTr="00C145AC">
        <w:tc>
          <w:tcPr>
            <w:tcW w:w="834" w:type="pct"/>
            <w:vMerge w:val="restart"/>
            <w:tcBorders>
              <w:top w:val="nil"/>
            </w:tcBorders>
          </w:tcPr>
          <w:p w14:paraId="72A216F2" w14:textId="77777777" w:rsidR="00E90E04" w:rsidRPr="00FE73DE" w:rsidRDefault="00E90E04" w:rsidP="00C145AC">
            <w:pPr>
              <w:pStyle w:val="TableText"/>
              <w:rPr>
                <w:b/>
                <w:bCs/>
              </w:rPr>
            </w:pPr>
            <w:r w:rsidRPr="00FE73DE">
              <w:rPr>
                <w:b/>
                <w:bCs/>
              </w:rPr>
              <w:t xml:space="preserve">KPIs about customer experience </w:t>
            </w:r>
          </w:p>
          <w:p w14:paraId="4F574351" w14:textId="77777777" w:rsidR="00E90E04" w:rsidRPr="00FE73DE" w:rsidRDefault="00E90E04" w:rsidP="00C145AC">
            <w:pPr>
              <w:pStyle w:val="TableText"/>
              <w:rPr>
                <w:b/>
                <w:bCs/>
              </w:rPr>
            </w:pPr>
            <w:r w:rsidRPr="00FE73DE">
              <w:t xml:space="preserve">Both programs focus on improving outcomes for Indigenous businesses through financial and </w:t>
            </w:r>
            <w:r w:rsidRPr="00FE73DE">
              <w:rPr>
                <w:spacing w:val="-2"/>
              </w:rPr>
              <w:t>non-financial assistance.</w:t>
            </w:r>
            <w:r w:rsidRPr="00FE73DE">
              <w:t xml:space="preserve"> At the core of their success and reputation is the customer experience. This is arguably more important than the monetary value of assistance provided.</w:t>
            </w:r>
          </w:p>
        </w:tc>
        <w:tc>
          <w:tcPr>
            <w:tcW w:w="1097" w:type="pct"/>
            <w:vMerge w:val="restart"/>
            <w:tcBorders>
              <w:top w:val="nil"/>
            </w:tcBorders>
          </w:tcPr>
          <w:p w14:paraId="61BE4893" w14:textId="77777777" w:rsidR="00E90E04" w:rsidRPr="00FE73DE" w:rsidRDefault="00E90E04" w:rsidP="00C145AC">
            <w:pPr>
              <w:pStyle w:val="TableText"/>
            </w:pPr>
            <w:r w:rsidRPr="00FE73DE">
              <w:t xml:space="preserve">(P106.08) Quality of Support </w:t>
            </w:r>
          </w:p>
          <w:p w14:paraId="5BF31A8C" w14:textId="77777777" w:rsidR="00E90E04" w:rsidRPr="00FE73DE" w:rsidRDefault="00E90E04" w:rsidP="00C145AC">
            <w:pPr>
              <w:pStyle w:val="TableText"/>
            </w:pPr>
            <w:r w:rsidRPr="00FE73DE">
              <w:t>Target: 80%</w:t>
            </w:r>
          </w:p>
        </w:tc>
        <w:tc>
          <w:tcPr>
            <w:tcW w:w="418" w:type="pct"/>
            <w:vMerge w:val="restart"/>
            <w:tcBorders>
              <w:top w:val="nil"/>
            </w:tcBorders>
          </w:tcPr>
          <w:p w14:paraId="184E6353" w14:textId="77777777" w:rsidR="00E90E04" w:rsidRPr="00FE73DE" w:rsidRDefault="00E90E04" w:rsidP="00C145AC">
            <w:pPr>
              <w:pStyle w:val="TableText"/>
            </w:pPr>
            <w:r w:rsidRPr="00FE73DE">
              <w:t>Annually</w:t>
            </w:r>
          </w:p>
        </w:tc>
        <w:tc>
          <w:tcPr>
            <w:tcW w:w="992" w:type="pct"/>
            <w:tcBorders>
              <w:top w:val="nil"/>
            </w:tcBorders>
          </w:tcPr>
          <w:p w14:paraId="1245214D" w14:textId="77777777" w:rsidR="00E90E04" w:rsidRPr="00FE73DE" w:rsidRDefault="00E90E04" w:rsidP="00C145AC">
            <w:pPr>
              <w:pStyle w:val="TableText"/>
            </w:pPr>
            <w:r w:rsidRPr="00FE73DE">
              <w:t xml:space="preserve">(10) Customer satisfaction </w:t>
            </w:r>
          </w:p>
          <w:p w14:paraId="011B38A7" w14:textId="77777777" w:rsidR="00E90E04" w:rsidRPr="00FE73DE" w:rsidRDefault="00E90E04" w:rsidP="00C145AC">
            <w:pPr>
              <w:pStyle w:val="TableText"/>
            </w:pPr>
            <w:r w:rsidRPr="00FE73DE">
              <w:t>Target: 80%</w:t>
            </w:r>
          </w:p>
        </w:tc>
        <w:tc>
          <w:tcPr>
            <w:tcW w:w="418" w:type="pct"/>
            <w:tcBorders>
              <w:top w:val="nil"/>
            </w:tcBorders>
          </w:tcPr>
          <w:p w14:paraId="0C59228E" w14:textId="77777777" w:rsidR="00E90E04" w:rsidRPr="00FE73DE" w:rsidRDefault="00E90E04" w:rsidP="00C145AC">
            <w:pPr>
              <w:pStyle w:val="TableText"/>
              <w:rPr>
                <w:spacing w:val="-2"/>
              </w:rPr>
            </w:pPr>
            <w:r w:rsidRPr="00FE73DE">
              <w:rPr>
                <w:spacing w:val="-2"/>
              </w:rPr>
              <w:t>Bi-annually</w:t>
            </w:r>
          </w:p>
        </w:tc>
        <w:tc>
          <w:tcPr>
            <w:tcW w:w="1241" w:type="pct"/>
            <w:tcBorders>
              <w:top w:val="nil"/>
            </w:tcBorders>
          </w:tcPr>
          <w:p w14:paraId="528F6ACB" w14:textId="77777777" w:rsidR="00E90E04" w:rsidRPr="00FE73DE" w:rsidRDefault="00E90E04" w:rsidP="00C145AC">
            <w:pPr>
              <w:pStyle w:val="TableText"/>
            </w:pPr>
            <w:r w:rsidRPr="00FE73DE">
              <w:t>More frequent reporting provides an opportunity to improve in a timely manner and identify key events that may have impacted the rating in that period. However, customer survey fatigue is an important consideration when it comes to the frequency of seeking feedback.</w:t>
            </w:r>
          </w:p>
        </w:tc>
      </w:tr>
      <w:tr w:rsidR="00E90E04" w:rsidRPr="00FE73DE" w14:paraId="43394426" w14:textId="77777777" w:rsidTr="00C145AC">
        <w:tc>
          <w:tcPr>
            <w:tcW w:w="834" w:type="pct"/>
            <w:vMerge/>
          </w:tcPr>
          <w:p w14:paraId="2E9856D7" w14:textId="77777777" w:rsidR="00E90E04" w:rsidRPr="00FE73DE" w:rsidRDefault="00E90E04" w:rsidP="00C145AC">
            <w:pPr>
              <w:pStyle w:val="TableText"/>
            </w:pPr>
          </w:p>
        </w:tc>
        <w:tc>
          <w:tcPr>
            <w:tcW w:w="1097" w:type="pct"/>
            <w:vMerge/>
          </w:tcPr>
          <w:p w14:paraId="25484E00" w14:textId="77777777" w:rsidR="00E90E04" w:rsidRPr="00FE73DE" w:rsidRDefault="00E90E04" w:rsidP="00C145AC">
            <w:pPr>
              <w:pStyle w:val="TableText"/>
            </w:pPr>
          </w:p>
        </w:tc>
        <w:tc>
          <w:tcPr>
            <w:tcW w:w="418" w:type="pct"/>
            <w:vMerge/>
          </w:tcPr>
          <w:p w14:paraId="61E50BF2" w14:textId="77777777" w:rsidR="00E90E04" w:rsidRPr="00FE73DE" w:rsidRDefault="00E90E04" w:rsidP="00C145AC">
            <w:pPr>
              <w:pStyle w:val="TableText"/>
            </w:pPr>
          </w:p>
        </w:tc>
        <w:tc>
          <w:tcPr>
            <w:tcW w:w="992" w:type="pct"/>
          </w:tcPr>
          <w:p w14:paraId="2B083ABA" w14:textId="77777777" w:rsidR="00E90E04" w:rsidRPr="00FE73DE" w:rsidRDefault="00E90E04" w:rsidP="00C145AC">
            <w:pPr>
              <w:pStyle w:val="TableText"/>
            </w:pPr>
            <w:r w:rsidRPr="00FE73DE">
              <w:t>(8) Average time taken from referral to delivery of Rapid Business Situation Assessment</w:t>
            </w:r>
          </w:p>
          <w:p w14:paraId="75C1B60D" w14:textId="77777777" w:rsidR="00E90E04" w:rsidRPr="00FE73DE" w:rsidRDefault="00E90E04" w:rsidP="00C145AC">
            <w:pPr>
              <w:pStyle w:val="TableText"/>
            </w:pPr>
            <w:r w:rsidRPr="00FE73DE">
              <w:t>Target: 7 days</w:t>
            </w:r>
          </w:p>
        </w:tc>
        <w:tc>
          <w:tcPr>
            <w:tcW w:w="418" w:type="pct"/>
          </w:tcPr>
          <w:p w14:paraId="237211AD" w14:textId="77777777" w:rsidR="00E90E04" w:rsidRPr="00FE73DE" w:rsidRDefault="00E90E04" w:rsidP="00C145AC">
            <w:pPr>
              <w:pStyle w:val="TableText"/>
            </w:pPr>
            <w:r w:rsidRPr="00FE73DE">
              <w:t>Quarterly</w:t>
            </w:r>
          </w:p>
        </w:tc>
        <w:tc>
          <w:tcPr>
            <w:tcW w:w="1241" w:type="pct"/>
            <w:vMerge w:val="restart"/>
          </w:tcPr>
          <w:p w14:paraId="6A1CE48D" w14:textId="77777777" w:rsidR="00E90E04" w:rsidRPr="00FE73DE" w:rsidRDefault="00E90E04" w:rsidP="00C145AC">
            <w:pPr>
              <w:pStyle w:val="TableText"/>
            </w:pPr>
            <w:r w:rsidRPr="00FE73DE">
              <w:t xml:space="preserve">KPIs about the administration processes provides valuable data about their efficiency and can highlight internal (controllable) and external (uncontrollable) factors that influence them, and hence potential areas for improvement. </w:t>
            </w:r>
          </w:p>
          <w:p w14:paraId="7178D2BB" w14:textId="77777777" w:rsidR="00E90E04" w:rsidRPr="00FE73DE" w:rsidRDefault="00E90E04" w:rsidP="00C145AC">
            <w:pPr>
              <w:pStyle w:val="TableText"/>
            </w:pPr>
            <w:r w:rsidRPr="00FE73DE">
              <w:t xml:space="preserve">Providing support in a timely manner can also improve customer satisfaction, but without measurements this can be difficult to track and correlate. </w:t>
            </w:r>
          </w:p>
        </w:tc>
      </w:tr>
      <w:tr w:rsidR="00E90E04" w:rsidRPr="00FE73DE" w14:paraId="44CBE747" w14:textId="77777777" w:rsidTr="00C145AC">
        <w:tc>
          <w:tcPr>
            <w:tcW w:w="834" w:type="pct"/>
            <w:vMerge/>
            <w:tcBorders>
              <w:bottom w:val="single" w:sz="18" w:space="0" w:color="41766F" w:themeColor="accent3"/>
            </w:tcBorders>
          </w:tcPr>
          <w:p w14:paraId="06F83528" w14:textId="77777777" w:rsidR="00E90E04" w:rsidRPr="00FE73DE" w:rsidRDefault="00E90E04" w:rsidP="00C145AC">
            <w:pPr>
              <w:pStyle w:val="TableText"/>
              <w:rPr>
                <w:b/>
                <w:bCs/>
              </w:rPr>
            </w:pPr>
          </w:p>
        </w:tc>
        <w:tc>
          <w:tcPr>
            <w:tcW w:w="1097" w:type="pct"/>
            <w:vMerge/>
            <w:tcBorders>
              <w:bottom w:val="single" w:sz="18" w:space="0" w:color="41766F" w:themeColor="accent3"/>
            </w:tcBorders>
          </w:tcPr>
          <w:p w14:paraId="7B1C00B7" w14:textId="77777777" w:rsidR="00E90E04" w:rsidRPr="00FE73DE" w:rsidRDefault="00E90E04" w:rsidP="00C145AC">
            <w:pPr>
              <w:pStyle w:val="TableText"/>
            </w:pPr>
          </w:p>
        </w:tc>
        <w:tc>
          <w:tcPr>
            <w:tcW w:w="418" w:type="pct"/>
            <w:vMerge/>
            <w:tcBorders>
              <w:bottom w:val="single" w:sz="18" w:space="0" w:color="41766F" w:themeColor="accent3"/>
            </w:tcBorders>
          </w:tcPr>
          <w:p w14:paraId="7C546DBA" w14:textId="77777777" w:rsidR="00E90E04" w:rsidRPr="00FE73DE" w:rsidRDefault="00E90E04" w:rsidP="00C145AC">
            <w:pPr>
              <w:pStyle w:val="TableText"/>
            </w:pPr>
          </w:p>
        </w:tc>
        <w:tc>
          <w:tcPr>
            <w:tcW w:w="992" w:type="pct"/>
            <w:tcBorders>
              <w:bottom w:val="single" w:sz="18" w:space="0" w:color="41766F" w:themeColor="accent3"/>
            </w:tcBorders>
          </w:tcPr>
          <w:p w14:paraId="4E028583" w14:textId="77777777" w:rsidR="00E90E04" w:rsidRPr="00FE73DE" w:rsidRDefault="00E90E04" w:rsidP="00C145AC">
            <w:pPr>
              <w:pStyle w:val="TableText"/>
            </w:pPr>
            <w:r w:rsidRPr="00FE73DE">
              <w:t>(9) Average time taken to assess and process applications for working capital support</w:t>
            </w:r>
          </w:p>
          <w:p w14:paraId="51C8BFB1" w14:textId="77777777" w:rsidR="00E90E04" w:rsidRPr="00FE73DE" w:rsidRDefault="00E90E04" w:rsidP="00C145AC">
            <w:pPr>
              <w:pStyle w:val="TableText"/>
            </w:pPr>
            <w:r w:rsidRPr="00FE73DE">
              <w:t>Target: 5 days</w:t>
            </w:r>
          </w:p>
        </w:tc>
        <w:tc>
          <w:tcPr>
            <w:tcW w:w="418" w:type="pct"/>
            <w:tcBorders>
              <w:bottom w:val="single" w:sz="18" w:space="0" w:color="41766F" w:themeColor="accent3"/>
            </w:tcBorders>
          </w:tcPr>
          <w:p w14:paraId="1D6EBF9F" w14:textId="77777777" w:rsidR="00E90E04" w:rsidRPr="00FE73DE" w:rsidRDefault="00E90E04" w:rsidP="00C145AC">
            <w:pPr>
              <w:pStyle w:val="TableText"/>
            </w:pPr>
            <w:r w:rsidRPr="00FE73DE">
              <w:t>Quarterly</w:t>
            </w:r>
          </w:p>
        </w:tc>
        <w:tc>
          <w:tcPr>
            <w:tcW w:w="1241" w:type="pct"/>
            <w:vMerge/>
            <w:tcBorders>
              <w:bottom w:val="single" w:sz="18" w:space="0" w:color="41766F" w:themeColor="accent3"/>
            </w:tcBorders>
          </w:tcPr>
          <w:p w14:paraId="3CB9F3D4" w14:textId="77777777" w:rsidR="00E90E04" w:rsidRPr="00FE73DE" w:rsidRDefault="00E90E04" w:rsidP="00C145AC">
            <w:pPr>
              <w:pStyle w:val="TableText"/>
            </w:pPr>
          </w:p>
        </w:tc>
      </w:tr>
      <w:tr w:rsidR="00E90E04" w:rsidRPr="00FE73DE" w14:paraId="5217DFCF" w14:textId="77777777" w:rsidTr="00C145AC">
        <w:tc>
          <w:tcPr>
            <w:tcW w:w="834" w:type="pct"/>
            <w:vMerge w:val="restart"/>
          </w:tcPr>
          <w:p w14:paraId="5D7471C6" w14:textId="77777777" w:rsidR="00E90E04" w:rsidRPr="00FE73DE" w:rsidRDefault="00E90E04" w:rsidP="00C145AC">
            <w:pPr>
              <w:pStyle w:val="TableText"/>
              <w:rPr>
                <w:b/>
                <w:bCs/>
              </w:rPr>
            </w:pPr>
            <w:r w:rsidRPr="00FE73DE">
              <w:rPr>
                <w:b/>
                <w:bCs/>
              </w:rPr>
              <w:t>KPIs about customer conversion</w:t>
            </w:r>
          </w:p>
          <w:p w14:paraId="573D90BF" w14:textId="77777777" w:rsidR="00E90E04" w:rsidRPr="00FE73DE" w:rsidRDefault="00E90E04" w:rsidP="00C145AC">
            <w:pPr>
              <w:pStyle w:val="TableText"/>
            </w:pPr>
            <w:r w:rsidRPr="00FE73DE">
              <w:t xml:space="preserve">Understanding the customer journey and how many businesses are supported is a key factor in assessing the success and reach of a program. </w:t>
            </w:r>
          </w:p>
        </w:tc>
        <w:tc>
          <w:tcPr>
            <w:tcW w:w="1097" w:type="pct"/>
          </w:tcPr>
          <w:p w14:paraId="6FE6C4BA" w14:textId="77777777" w:rsidR="00E90E04" w:rsidRPr="00FE73DE" w:rsidRDefault="00E90E04" w:rsidP="00C145AC">
            <w:pPr>
              <w:pStyle w:val="TableText"/>
            </w:pPr>
            <w:r w:rsidRPr="00FE73DE">
              <w:t>(D106.01 and D106.02) Number of Individual businesses and organisations (customers) who receive IBA capability development or other support (Internal Support and External Support)</w:t>
            </w:r>
          </w:p>
          <w:p w14:paraId="03160F81" w14:textId="77777777" w:rsidR="00E90E04" w:rsidRPr="00FE73DE" w:rsidRDefault="00E90E04" w:rsidP="00C145AC">
            <w:pPr>
              <w:pStyle w:val="TableText"/>
            </w:pPr>
            <w:r w:rsidRPr="00FE73DE">
              <w:t>Target: 180 in first 6 months; 450 annually</w:t>
            </w:r>
          </w:p>
        </w:tc>
        <w:tc>
          <w:tcPr>
            <w:tcW w:w="418" w:type="pct"/>
          </w:tcPr>
          <w:p w14:paraId="005D8C21" w14:textId="77777777" w:rsidR="00E90E04" w:rsidRPr="00FE73DE" w:rsidRDefault="00E90E04" w:rsidP="00C145AC">
            <w:pPr>
              <w:pStyle w:val="TableText"/>
            </w:pPr>
            <w:r w:rsidRPr="00FE73DE">
              <w:rPr>
                <w:spacing w:val="-2"/>
              </w:rPr>
              <w:t>Bi-annually</w:t>
            </w:r>
          </w:p>
        </w:tc>
        <w:tc>
          <w:tcPr>
            <w:tcW w:w="992" w:type="pct"/>
          </w:tcPr>
          <w:p w14:paraId="1FD56D50" w14:textId="77777777" w:rsidR="00E90E04" w:rsidRPr="00FE73DE" w:rsidRDefault="00E90E04" w:rsidP="00C145AC">
            <w:pPr>
              <w:pStyle w:val="TableText"/>
            </w:pPr>
            <w:r w:rsidRPr="00FE73DE">
              <w:t>(5a) Total number of services provided to customers – External Support</w:t>
            </w:r>
          </w:p>
          <w:p w14:paraId="59CF5DB0" w14:textId="77777777" w:rsidR="00E90E04" w:rsidRPr="00FE73DE" w:rsidRDefault="00E90E04" w:rsidP="00C145AC">
            <w:pPr>
              <w:pStyle w:val="TableText"/>
            </w:pPr>
            <w:r w:rsidRPr="00FE73DE">
              <w:t xml:space="preserve">Target: N/A </w:t>
            </w:r>
          </w:p>
        </w:tc>
        <w:tc>
          <w:tcPr>
            <w:tcW w:w="418" w:type="pct"/>
          </w:tcPr>
          <w:p w14:paraId="034A0B66" w14:textId="77777777" w:rsidR="00E90E04" w:rsidRPr="00FE73DE" w:rsidRDefault="00E90E04" w:rsidP="00C145AC">
            <w:pPr>
              <w:pStyle w:val="TableText"/>
            </w:pPr>
            <w:r w:rsidRPr="00FE73DE">
              <w:t>Quarterly</w:t>
            </w:r>
          </w:p>
        </w:tc>
        <w:tc>
          <w:tcPr>
            <w:tcW w:w="1241" w:type="pct"/>
            <w:vMerge w:val="restart"/>
          </w:tcPr>
          <w:p w14:paraId="4AA3EF18" w14:textId="77777777" w:rsidR="00E90E04" w:rsidRPr="00FE73DE" w:rsidRDefault="00E90E04" w:rsidP="00C145AC">
            <w:pPr>
              <w:pStyle w:val="TableText"/>
            </w:pPr>
            <w:r w:rsidRPr="00FE73DE">
              <w:t xml:space="preserve">Breaking up the KPIs into more specific targets allows for more nuanced reporting and gives a clearer picture of how the program is tracking and potential areas for improvement. </w:t>
            </w:r>
          </w:p>
          <w:p w14:paraId="0E18378D" w14:textId="77777777" w:rsidR="00E90E04" w:rsidRPr="00FE73DE" w:rsidRDefault="00E90E04" w:rsidP="00C145AC">
            <w:pPr>
              <w:pStyle w:val="TableText"/>
            </w:pPr>
            <w:r w:rsidRPr="00FE73DE">
              <w:t>Specifically tracking the mix of loans and grants provided also allows the IBA to understand the demand for different products and services, and can explore why this might be the case and if it is an appropriate mix.</w:t>
            </w:r>
          </w:p>
        </w:tc>
      </w:tr>
      <w:tr w:rsidR="00E90E04" w:rsidRPr="00FE73DE" w14:paraId="5B010433" w14:textId="77777777" w:rsidTr="00C145AC">
        <w:tc>
          <w:tcPr>
            <w:tcW w:w="834" w:type="pct"/>
            <w:vMerge/>
          </w:tcPr>
          <w:p w14:paraId="78F1DBE4" w14:textId="77777777" w:rsidR="00E90E04" w:rsidRPr="00FE73DE" w:rsidRDefault="00E90E04" w:rsidP="00C145AC">
            <w:pPr>
              <w:pStyle w:val="TableText"/>
              <w:rPr>
                <w:b/>
                <w:bCs/>
              </w:rPr>
            </w:pPr>
          </w:p>
        </w:tc>
        <w:tc>
          <w:tcPr>
            <w:tcW w:w="1097" w:type="pct"/>
            <w:vMerge w:val="restart"/>
          </w:tcPr>
          <w:p w14:paraId="718DB5E8" w14:textId="77777777" w:rsidR="00E90E04" w:rsidRPr="00FE73DE" w:rsidRDefault="00E90E04" w:rsidP="00C145AC">
            <w:pPr>
              <w:pStyle w:val="TableText"/>
            </w:pPr>
            <w:r w:rsidRPr="00FE73DE">
              <w:t>(D105.01) Number of Individual financed businesses and organisations (customers in the reporting period)</w:t>
            </w:r>
          </w:p>
          <w:p w14:paraId="64887DB0" w14:textId="77777777" w:rsidR="00E90E04" w:rsidRPr="00FE73DE" w:rsidRDefault="00E90E04" w:rsidP="00C145AC">
            <w:pPr>
              <w:pStyle w:val="TableText"/>
            </w:pPr>
            <w:r w:rsidRPr="00FE73DE">
              <w:t xml:space="preserve">Target: 35 in first 6 months; </w:t>
            </w:r>
            <w:r w:rsidRPr="00FE73DE">
              <w:br/>
              <w:t>80 annually</w:t>
            </w:r>
          </w:p>
        </w:tc>
        <w:tc>
          <w:tcPr>
            <w:tcW w:w="418" w:type="pct"/>
            <w:vMerge w:val="restart"/>
          </w:tcPr>
          <w:p w14:paraId="634AC53E" w14:textId="77777777" w:rsidR="00E90E04" w:rsidRPr="00FE73DE" w:rsidRDefault="00E90E04" w:rsidP="00C145AC">
            <w:pPr>
              <w:pStyle w:val="TableText"/>
            </w:pPr>
            <w:r w:rsidRPr="00FE73DE">
              <w:rPr>
                <w:spacing w:val="-2"/>
              </w:rPr>
              <w:t>Bi-annually</w:t>
            </w:r>
          </w:p>
        </w:tc>
        <w:tc>
          <w:tcPr>
            <w:tcW w:w="992" w:type="pct"/>
          </w:tcPr>
          <w:p w14:paraId="467DC27A" w14:textId="77777777" w:rsidR="00E90E04" w:rsidRPr="00FE73DE" w:rsidRDefault="00E90E04" w:rsidP="00C145AC">
            <w:pPr>
              <w:pStyle w:val="TableText"/>
            </w:pPr>
            <w:r w:rsidRPr="00FE73DE">
              <w:t>(5b) Total number of services provided to customers – Loans only</w:t>
            </w:r>
          </w:p>
          <w:p w14:paraId="619A8BD3" w14:textId="77777777" w:rsidR="00E90E04" w:rsidRPr="00FE73DE" w:rsidRDefault="00E90E04" w:rsidP="00C145AC">
            <w:pPr>
              <w:pStyle w:val="TableText"/>
            </w:pPr>
            <w:r w:rsidRPr="00FE73DE">
              <w:t>Target: N/A</w:t>
            </w:r>
          </w:p>
        </w:tc>
        <w:tc>
          <w:tcPr>
            <w:tcW w:w="418" w:type="pct"/>
          </w:tcPr>
          <w:p w14:paraId="00F2FEC3" w14:textId="77777777" w:rsidR="00E90E04" w:rsidRPr="00FE73DE" w:rsidRDefault="00E90E04" w:rsidP="00C145AC">
            <w:pPr>
              <w:pStyle w:val="TableText"/>
            </w:pPr>
            <w:r w:rsidRPr="00FE73DE">
              <w:t>Quarterly</w:t>
            </w:r>
          </w:p>
        </w:tc>
        <w:tc>
          <w:tcPr>
            <w:tcW w:w="1241" w:type="pct"/>
            <w:vMerge/>
          </w:tcPr>
          <w:p w14:paraId="052441E8" w14:textId="77777777" w:rsidR="00E90E04" w:rsidRPr="00FE73DE" w:rsidRDefault="00E90E04" w:rsidP="00C145AC">
            <w:pPr>
              <w:pStyle w:val="TableText"/>
            </w:pPr>
          </w:p>
        </w:tc>
      </w:tr>
      <w:tr w:rsidR="00E90E04" w:rsidRPr="00FE73DE" w14:paraId="0C27D20D" w14:textId="77777777" w:rsidTr="00C145AC">
        <w:tc>
          <w:tcPr>
            <w:tcW w:w="834" w:type="pct"/>
            <w:vMerge/>
          </w:tcPr>
          <w:p w14:paraId="510AF03A" w14:textId="77777777" w:rsidR="00E90E04" w:rsidRPr="00FE73DE" w:rsidRDefault="00E90E04" w:rsidP="00C145AC">
            <w:pPr>
              <w:pStyle w:val="TableText"/>
              <w:rPr>
                <w:b/>
                <w:bCs/>
              </w:rPr>
            </w:pPr>
          </w:p>
        </w:tc>
        <w:tc>
          <w:tcPr>
            <w:tcW w:w="1097" w:type="pct"/>
            <w:vMerge/>
          </w:tcPr>
          <w:p w14:paraId="2BAEB78A" w14:textId="77777777" w:rsidR="00E90E04" w:rsidRPr="00FE73DE" w:rsidRDefault="00E90E04" w:rsidP="00C145AC">
            <w:pPr>
              <w:pStyle w:val="TableText"/>
            </w:pPr>
          </w:p>
        </w:tc>
        <w:tc>
          <w:tcPr>
            <w:tcW w:w="418" w:type="pct"/>
            <w:vMerge/>
          </w:tcPr>
          <w:p w14:paraId="68C3F422" w14:textId="77777777" w:rsidR="00E90E04" w:rsidRPr="00FE73DE" w:rsidRDefault="00E90E04" w:rsidP="00C145AC">
            <w:pPr>
              <w:pStyle w:val="TableText"/>
            </w:pPr>
          </w:p>
        </w:tc>
        <w:tc>
          <w:tcPr>
            <w:tcW w:w="992" w:type="pct"/>
          </w:tcPr>
          <w:p w14:paraId="4079B5BC" w14:textId="77777777" w:rsidR="00E90E04" w:rsidRPr="00FE73DE" w:rsidRDefault="00E90E04" w:rsidP="00C145AC">
            <w:pPr>
              <w:pStyle w:val="TableText"/>
            </w:pPr>
            <w:r w:rsidRPr="00FE73DE">
              <w:t>(5c) Total number of services provided to customers – Grants only</w:t>
            </w:r>
          </w:p>
          <w:p w14:paraId="183DD107" w14:textId="77777777" w:rsidR="00E90E04" w:rsidRPr="00FE73DE" w:rsidRDefault="00E90E04" w:rsidP="00C145AC">
            <w:pPr>
              <w:pStyle w:val="TableText"/>
            </w:pPr>
            <w:r w:rsidRPr="00FE73DE">
              <w:t>Target: N/A</w:t>
            </w:r>
          </w:p>
        </w:tc>
        <w:tc>
          <w:tcPr>
            <w:tcW w:w="418" w:type="pct"/>
          </w:tcPr>
          <w:p w14:paraId="1688CA52" w14:textId="77777777" w:rsidR="00E90E04" w:rsidRPr="00FE73DE" w:rsidRDefault="00E90E04" w:rsidP="00C145AC">
            <w:pPr>
              <w:pStyle w:val="TableText"/>
            </w:pPr>
            <w:r w:rsidRPr="00FE73DE">
              <w:t>Quarterly</w:t>
            </w:r>
          </w:p>
        </w:tc>
        <w:tc>
          <w:tcPr>
            <w:tcW w:w="1241" w:type="pct"/>
            <w:vMerge/>
          </w:tcPr>
          <w:p w14:paraId="18C657ED" w14:textId="77777777" w:rsidR="00E90E04" w:rsidRPr="00FE73DE" w:rsidRDefault="00E90E04" w:rsidP="00C145AC">
            <w:pPr>
              <w:pStyle w:val="TableText"/>
            </w:pPr>
          </w:p>
        </w:tc>
      </w:tr>
      <w:tr w:rsidR="00E90E04" w:rsidRPr="00FE73DE" w14:paraId="151F781B" w14:textId="77777777" w:rsidTr="00C145AC">
        <w:tc>
          <w:tcPr>
            <w:tcW w:w="834" w:type="pct"/>
            <w:vMerge/>
          </w:tcPr>
          <w:p w14:paraId="6EB203FA" w14:textId="77777777" w:rsidR="00E90E04" w:rsidRPr="00FE73DE" w:rsidRDefault="00E90E04" w:rsidP="00C145AC">
            <w:pPr>
              <w:pStyle w:val="TableText"/>
              <w:rPr>
                <w:b/>
                <w:bCs/>
              </w:rPr>
            </w:pPr>
          </w:p>
        </w:tc>
        <w:tc>
          <w:tcPr>
            <w:tcW w:w="1097" w:type="pct"/>
            <w:vMerge/>
          </w:tcPr>
          <w:p w14:paraId="3E4F840F" w14:textId="77777777" w:rsidR="00E90E04" w:rsidRPr="00FE73DE" w:rsidRDefault="00E90E04" w:rsidP="00C145AC">
            <w:pPr>
              <w:pStyle w:val="TableText"/>
            </w:pPr>
          </w:p>
        </w:tc>
        <w:tc>
          <w:tcPr>
            <w:tcW w:w="418" w:type="pct"/>
            <w:vMerge/>
          </w:tcPr>
          <w:p w14:paraId="0B89FF35" w14:textId="77777777" w:rsidR="00E90E04" w:rsidRPr="00FE73DE" w:rsidRDefault="00E90E04" w:rsidP="00C145AC">
            <w:pPr>
              <w:pStyle w:val="TableText"/>
            </w:pPr>
          </w:p>
        </w:tc>
        <w:tc>
          <w:tcPr>
            <w:tcW w:w="992" w:type="pct"/>
          </w:tcPr>
          <w:p w14:paraId="481039DE" w14:textId="77777777" w:rsidR="00E90E04" w:rsidRPr="00FE73DE" w:rsidRDefault="00E90E04" w:rsidP="00C145AC">
            <w:pPr>
              <w:pStyle w:val="TableText"/>
            </w:pPr>
            <w:r w:rsidRPr="00FE73DE">
              <w:t>(5d) Total number of services provided to customers – Loan and Grant mix</w:t>
            </w:r>
          </w:p>
          <w:p w14:paraId="3188DA88" w14:textId="77777777" w:rsidR="00E90E04" w:rsidRPr="00FE73DE" w:rsidRDefault="00E90E04" w:rsidP="00C145AC">
            <w:pPr>
              <w:pStyle w:val="TableText"/>
            </w:pPr>
            <w:r w:rsidRPr="00FE73DE">
              <w:t>Target: N/A</w:t>
            </w:r>
          </w:p>
        </w:tc>
        <w:tc>
          <w:tcPr>
            <w:tcW w:w="418" w:type="pct"/>
          </w:tcPr>
          <w:p w14:paraId="6A3467EC" w14:textId="77777777" w:rsidR="00E90E04" w:rsidRPr="00FE73DE" w:rsidRDefault="00E90E04" w:rsidP="00C145AC">
            <w:pPr>
              <w:pStyle w:val="TableText"/>
            </w:pPr>
            <w:r w:rsidRPr="00FE73DE">
              <w:t>Quarterly</w:t>
            </w:r>
          </w:p>
        </w:tc>
        <w:tc>
          <w:tcPr>
            <w:tcW w:w="1241" w:type="pct"/>
            <w:vMerge/>
          </w:tcPr>
          <w:p w14:paraId="7783C4BD" w14:textId="77777777" w:rsidR="00E90E04" w:rsidRPr="00FE73DE" w:rsidRDefault="00E90E04" w:rsidP="00C145AC">
            <w:pPr>
              <w:pStyle w:val="TableText"/>
            </w:pPr>
          </w:p>
        </w:tc>
      </w:tr>
      <w:tr w:rsidR="00E90E04" w:rsidRPr="00FE73DE" w14:paraId="4C3380CA" w14:textId="77777777" w:rsidTr="00C145AC">
        <w:tc>
          <w:tcPr>
            <w:tcW w:w="834" w:type="pct"/>
            <w:vMerge/>
          </w:tcPr>
          <w:p w14:paraId="734F5795" w14:textId="77777777" w:rsidR="00E90E04" w:rsidRPr="00FE73DE" w:rsidRDefault="00E90E04" w:rsidP="00C145AC">
            <w:pPr>
              <w:pStyle w:val="TableText"/>
              <w:rPr>
                <w:b/>
                <w:bCs/>
              </w:rPr>
            </w:pPr>
          </w:p>
        </w:tc>
        <w:tc>
          <w:tcPr>
            <w:tcW w:w="1515" w:type="pct"/>
            <w:gridSpan w:val="2"/>
            <w:vMerge w:val="restart"/>
          </w:tcPr>
          <w:p w14:paraId="45DFDCAD" w14:textId="77777777" w:rsidR="00E90E04" w:rsidRPr="00FE73DE" w:rsidRDefault="00E90E04" w:rsidP="00C145AC">
            <w:pPr>
              <w:pStyle w:val="TableText"/>
            </w:pPr>
          </w:p>
        </w:tc>
        <w:tc>
          <w:tcPr>
            <w:tcW w:w="992" w:type="pct"/>
          </w:tcPr>
          <w:p w14:paraId="3821A1E7" w14:textId="77777777" w:rsidR="00E90E04" w:rsidRPr="00FE73DE" w:rsidRDefault="00E90E04" w:rsidP="00C145AC">
            <w:pPr>
              <w:pStyle w:val="TableText"/>
            </w:pPr>
            <w:r w:rsidRPr="00FE73DE">
              <w:t>(1) Total Number of enquiries received to date from existing IBA Customers</w:t>
            </w:r>
          </w:p>
          <w:p w14:paraId="7D4CF893" w14:textId="77777777" w:rsidR="00E90E04" w:rsidRPr="00FE73DE" w:rsidRDefault="00E90E04" w:rsidP="00C145AC">
            <w:pPr>
              <w:pStyle w:val="TableText"/>
            </w:pPr>
            <w:r w:rsidRPr="00FE73DE">
              <w:t>Target: N/A</w:t>
            </w:r>
          </w:p>
        </w:tc>
        <w:tc>
          <w:tcPr>
            <w:tcW w:w="418" w:type="pct"/>
          </w:tcPr>
          <w:p w14:paraId="0CE9218E" w14:textId="77777777" w:rsidR="00E90E04" w:rsidRPr="00FE73DE" w:rsidRDefault="00E90E04" w:rsidP="00C145AC">
            <w:pPr>
              <w:pStyle w:val="TableText"/>
            </w:pPr>
            <w:r w:rsidRPr="00FE73DE">
              <w:t>Quarterly</w:t>
            </w:r>
          </w:p>
        </w:tc>
        <w:tc>
          <w:tcPr>
            <w:tcW w:w="1241" w:type="pct"/>
            <w:vMerge w:val="restart"/>
          </w:tcPr>
          <w:p w14:paraId="66B90BB1" w14:textId="77777777" w:rsidR="00E90E04" w:rsidRPr="00FE73DE" w:rsidRDefault="00E90E04" w:rsidP="00C145AC">
            <w:pPr>
              <w:pStyle w:val="TableText"/>
            </w:pPr>
            <w:r w:rsidRPr="00FE73DE">
              <w:t>Tracking both enquiries received and services provided gives a ‘conversion rate’ that provides an avenue to analyse the effectiveness of the systems, processes, and client liaison officers.</w:t>
            </w:r>
          </w:p>
          <w:p w14:paraId="64026D99" w14:textId="77777777" w:rsidR="00E90E04" w:rsidRPr="00FE73DE" w:rsidRDefault="00E90E04" w:rsidP="00C145AC">
            <w:pPr>
              <w:pStyle w:val="TableText"/>
            </w:pPr>
            <w:r w:rsidRPr="00FE73DE">
              <w:t>Tracking where the enquiries come from (new or existing customers) helps uncover the customer journey. Additionally, distinguishing between new and existing customers helps demonstrate the Indigenous business sector growth and changes in demand for the offered services.</w:t>
            </w:r>
          </w:p>
        </w:tc>
      </w:tr>
      <w:tr w:rsidR="00E90E04" w:rsidRPr="00FE73DE" w14:paraId="27FD106B" w14:textId="77777777" w:rsidTr="00C145AC">
        <w:tc>
          <w:tcPr>
            <w:tcW w:w="834" w:type="pct"/>
            <w:vMerge/>
          </w:tcPr>
          <w:p w14:paraId="6EE0A909" w14:textId="77777777" w:rsidR="00E90E04" w:rsidRPr="00FE73DE" w:rsidRDefault="00E90E04" w:rsidP="00C145AC">
            <w:pPr>
              <w:pStyle w:val="TableText"/>
              <w:rPr>
                <w:b/>
                <w:bCs/>
              </w:rPr>
            </w:pPr>
          </w:p>
        </w:tc>
        <w:tc>
          <w:tcPr>
            <w:tcW w:w="1515" w:type="pct"/>
            <w:gridSpan w:val="2"/>
            <w:vMerge/>
          </w:tcPr>
          <w:p w14:paraId="3BC1AE70" w14:textId="77777777" w:rsidR="00E90E04" w:rsidRPr="00FE73DE" w:rsidRDefault="00E90E04" w:rsidP="00C145AC">
            <w:pPr>
              <w:pStyle w:val="TableText"/>
            </w:pPr>
          </w:p>
        </w:tc>
        <w:tc>
          <w:tcPr>
            <w:tcW w:w="992" w:type="pct"/>
          </w:tcPr>
          <w:p w14:paraId="104DD562" w14:textId="77777777" w:rsidR="00E90E04" w:rsidRPr="00FE73DE" w:rsidRDefault="00E90E04" w:rsidP="00C145AC">
            <w:pPr>
              <w:pStyle w:val="TableText"/>
            </w:pPr>
            <w:r w:rsidRPr="00FE73DE">
              <w:t>(2) Total Number of enquiries received to date from new to IBA Customers</w:t>
            </w:r>
          </w:p>
          <w:p w14:paraId="14FFCA26" w14:textId="77777777" w:rsidR="00E90E04" w:rsidRPr="00FE73DE" w:rsidRDefault="00E90E04" w:rsidP="00C145AC">
            <w:pPr>
              <w:pStyle w:val="TableText"/>
            </w:pPr>
            <w:r w:rsidRPr="00FE73DE">
              <w:t>Target: N/A</w:t>
            </w:r>
          </w:p>
        </w:tc>
        <w:tc>
          <w:tcPr>
            <w:tcW w:w="418" w:type="pct"/>
          </w:tcPr>
          <w:p w14:paraId="33FADA77" w14:textId="77777777" w:rsidR="00E90E04" w:rsidRPr="00FE73DE" w:rsidRDefault="00E90E04" w:rsidP="00C145AC">
            <w:pPr>
              <w:pStyle w:val="TableText"/>
            </w:pPr>
            <w:r w:rsidRPr="00FE73DE">
              <w:t>Quarterly</w:t>
            </w:r>
          </w:p>
        </w:tc>
        <w:tc>
          <w:tcPr>
            <w:tcW w:w="1241" w:type="pct"/>
            <w:vMerge/>
          </w:tcPr>
          <w:p w14:paraId="399BC5B9" w14:textId="77777777" w:rsidR="00E90E04" w:rsidRPr="00FE73DE" w:rsidRDefault="00E90E04" w:rsidP="00C145AC">
            <w:pPr>
              <w:pStyle w:val="TableText"/>
            </w:pPr>
          </w:p>
        </w:tc>
      </w:tr>
    </w:tbl>
    <w:p w14:paraId="2058730F" w14:textId="2200980B" w:rsidR="00E90E04" w:rsidRPr="00FE73DE" w:rsidRDefault="00E90E04" w:rsidP="009913BB">
      <w:pPr>
        <w:pStyle w:val="TableNote"/>
      </w:pPr>
      <w:r w:rsidRPr="00FE73DE">
        <w:t>Source: Sustineo analysis of IRBP and BSP performance reports</w:t>
      </w:r>
    </w:p>
    <w:p w14:paraId="5568FBAF" w14:textId="4B5FC46E" w:rsidR="00E90E04" w:rsidRPr="00FE73DE" w:rsidRDefault="00E90E04" w:rsidP="009170C4">
      <w:pPr>
        <w:spacing w:after="200" w:line="276" w:lineRule="auto"/>
        <w:rPr>
          <w:highlight w:val="yellow"/>
        </w:rPr>
        <w:sectPr w:rsidR="00E90E04" w:rsidRPr="00FE73DE" w:rsidSect="005E2EE3">
          <w:footerReference w:type="default" r:id="rId18"/>
          <w:pgSz w:w="16838" w:h="11906" w:orient="landscape" w:code="9"/>
          <w:pgMar w:top="1503" w:right="1701" w:bottom="1503" w:left="1135" w:header="680" w:footer="567" w:gutter="0"/>
          <w:cols w:space="708"/>
          <w:docGrid w:linePitch="360"/>
        </w:sectPr>
      </w:pPr>
    </w:p>
    <w:p w14:paraId="7DD60BF1" w14:textId="360777AE" w:rsidR="008B4C03" w:rsidRPr="00FE73DE" w:rsidRDefault="008B4C03">
      <w:pPr>
        <w:pStyle w:val="Heading1"/>
      </w:pPr>
      <w:bookmarkStart w:id="58" w:name="_Toc123734705"/>
      <w:r w:rsidRPr="00FE73DE">
        <w:t xml:space="preserve">Program </w:t>
      </w:r>
      <w:r w:rsidR="00B11880">
        <w:t>d</w:t>
      </w:r>
      <w:r w:rsidRPr="00FE73DE">
        <w:t>elivery</w:t>
      </w:r>
      <w:r w:rsidR="005A50EE" w:rsidRPr="00FE73DE">
        <w:t xml:space="preserve"> and </w:t>
      </w:r>
      <w:r w:rsidR="00B11880">
        <w:t>p</w:t>
      </w:r>
      <w:r w:rsidR="005A50EE" w:rsidRPr="00FE73DE">
        <w:t xml:space="preserve">erformance </w:t>
      </w:r>
      <w:r w:rsidR="00B11880">
        <w:t>m</w:t>
      </w:r>
      <w:r w:rsidR="005A50EE" w:rsidRPr="00FE73DE">
        <w:t>anagement</w:t>
      </w:r>
      <w:bookmarkEnd w:id="58"/>
    </w:p>
    <w:p w14:paraId="49676DC4" w14:textId="5EFF8923" w:rsidR="0068310D" w:rsidRPr="00FE73DE" w:rsidRDefault="0086282D" w:rsidP="009E5BE9">
      <w:r w:rsidRPr="00FE73DE">
        <w:rPr>
          <w:szCs w:val="24"/>
        </w:rPr>
        <w:t xml:space="preserve">This section </w:t>
      </w:r>
      <w:r w:rsidR="005A50EE" w:rsidRPr="00FE73DE">
        <w:rPr>
          <w:szCs w:val="24"/>
        </w:rPr>
        <w:t xml:space="preserve">examines the </w:t>
      </w:r>
      <w:r w:rsidR="005A50EE" w:rsidRPr="00FE73DE">
        <w:rPr>
          <w:bCs/>
          <w:szCs w:val="24"/>
        </w:rPr>
        <w:t xml:space="preserve">effectiveness </w:t>
      </w:r>
      <w:r w:rsidR="005A50EE" w:rsidRPr="00FE73DE">
        <w:rPr>
          <w:szCs w:val="24"/>
        </w:rPr>
        <w:t xml:space="preserve">of program delivery focusing on the achievement of </w:t>
      </w:r>
      <w:r w:rsidR="00552536" w:rsidRPr="00FE73DE">
        <w:rPr>
          <w:szCs w:val="24"/>
        </w:rPr>
        <w:t>KPIs</w:t>
      </w:r>
      <w:r w:rsidR="005A50EE" w:rsidRPr="00FE73DE">
        <w:rPr>
          <w:szCs w:val="24"/>
        </w:rPr>
        <w:t xml:space="preserve"> as outlined in the grant </w:t>
      </w:r>
      <w:r w:rsidR="00552536" w:rsidRPr="00FE73DE">
        <w:rPr>
          <w:szCs w:val="24"/>
        </w:rPr>
        <w:t>agreements</w:t>
      </w:r>
      <w:r w:rsidR="005A50EE" w:rsidRPr="00FE73DE">
        <w:rPr>
          <w:szCs w:val="24"/>
        </w:rPr>
        <w:t>.</w:t>
      </w:r>
      <w:r w:rsidR="005A50EE" w:rsidRPr="00FE73DE">
        <w:t xml:space="preserve"> </w:t>
      </w:r>
      <w:r w:rsidRPr="00FE73DE">
        <w:t xml:space="preserve">It has a particular focus on addressing the following </w:t>
      </w:r>
      <w:r w:rsidR="00DE0F37" w:rsidRPr="00FE73DE">
        <w:t>overarching</w:t>
      </w:r>
      <w:r w:rsidRPr="00FE73DE">
        <w:t xml:space="preserve"> </w:t>
      </w:r>
      <w:r w:rsidR="00914139" w:rsidRPr="00FE73DE">
        <w:t>evaluation questions</w:t>
      </w:r>
      <w:r w:rsidR="0068310D" w:rsidRPr="00FE73DE">
        <w:t>:</w:t>
      </w:r>
    </w:p>
    <w:p w14:paraId="1AC89E16" w14:textId="01D12F8B" w:rsidR="0068310D" w:rsidRPr="00FE73DE" w:rsidRDefault="0068310D">
      <w:pPr>
        <w:pStyle w:val="ListBullet"/>
      </w:pPr>
      <w:r w:rsidRPr="00FE73DE">
        <w:t>Has the delivery of BSP products and services met the contract targets?</w:t>
      </w:r>
    </w:p>
    <w:p w14:paraId="108E2A64" w14:textId="4FAD5CE7" w:rsidR="0068310D" w:rsidRPr="00FE73DE" w:rsidRDefault="0068310D">
      <w:pPr>
        <w:pStyle w:val="ListBullet"/>
      </w:pPr>
      <w:r w:rsidRPr="00FE73DE">
        <w:t>Do the products and services delivered under the BSP meet the needs of clients?</w:t>
      </w:r>
    </w:p>
    <w:tbl>
      <w:tblPr>
        <w:tblStyle w:val="Summaryboxtablestyle"/>
        <w:tblW w:w="5000" w:type="pct"/>
        <w:tblLook w:val="04A0" w:firstRow="1" w:lastRow="0" w:firstColumn="1" w:lastColumn="0" w:noHBand="0" w:noVBand="1"/>
      </w:tblPr>
      <w:tblGrid>
        <w:gridCol w:w="8890"/>
      </w:tblGrid>
      <w:tr w:rsidR="00927396" w:rsidRPr="00FE73DE" w14:paraId="3E99CF3F" w14:textId="77777777" w:rsidTr="009D4DA5">
        <w:trPr>
          <w:cnfStyle w:val="100000000000" w:firstRow="1" w:lastRow="0" w:firstColumn="0" w:lastColumn="0" w:oddVBand="0" w:evenVBand="0" w:oddHBand="0" w:evenHBand="0" w:firstRowFirstColumn="0" w:firstRowLastColumn="0" w:lastRowFirstColumn="0" w:lastRowLastColumn="0"/>
        </w:trPr>
        <w:tc>
          <w:tcPr>
            <w:tcW w:w="5000" w:type="pct"/>
          </w:tcPr>
          <w:p w14:paraId="19E9EF9B" w14:textId="39F1A378" w:rsidR="00927396" w:rsidRPr="00FE73DE" w:rsidRDefault="00872F83" w:rsidP="007A12F4">
            <w:pPr>
              <w:pStyle w:val="TableText"/>
            </w:pPr>
            <w:r w:rsidRPr="00FE73DE">
              <w:t>F</w:t>
            </w:r>
            <w:r w:rsidR="00927396" w:rsidRPr="00FE73DE">
              <w:t>indings summary –</w:t>
            </w:r>
            <w:r w:rsidR="00B11880">
              <w:t xml:space="preserve"> Program delivery and performance management</w:t>
            </w:r>
          </w:p>
        </w:tc>
      </w:tr>
      <w:tr w:rsidR="00927396" w:rsidRPr="00FE73DE" w14:paraId="65EE2496" w14:textId="77777777" w:rsidTr="009D4DA5">
        <w:tc>
          <w:tcPr>
            <w:tcW w:w="5000" w:type="pct"/>
          </w:tcPr>
          <w:p w14:paraId="7EB4B73D" w14:textId="009F1FDD" w:rsidR="00BC13F4" w:rsidRDefault="0079052A" w:rsidP="009C76D8">
            <w:pPr>
              <w:pStyle w:val="Findingssummarylist"/>
              <w:ind w:left="312"/>
              <w:rPr>
                <w:sz w:val="22"/>
                <w:szCs w:val="22"/>
              </w:rPr>
            </w:pPr>
            <w:r w:rsidRPr="00D35FFF">
              <w:rPr>
                <w:sz w:val="22"/>
                <w:szCs w:val="22"/>
              </w:rPr>
              <w:t>The evaluation found that</w:t>
            </w:r>
            <w:r w:rsidR="00BC13F4" w:rsidRPr="00D35FFF">
              <w:rPr>
                <w:sz w:val="22"/>
                <w:szCs w:val="22"/>
              </w:rPr>
              <w:t xml:space="preserve"> longitudinal data shows the core </w:t>
            </w:r>
            <w:r w:rsidR="00BC13F4">
              <w:rPr>
                <w:sz w:val="22"/>
                <w:szCs w:val="22"/>
              </w:rPr>
              <w:t xml:space="preserve">BSP </w:t>
            </w:r>
            <w:r w:rsidR="00BC13F4" w:rsidRPr="00D35FFF">
              <w:rPr>
                <w:sz w:val="22"/>
                <w:szCs w:val="22"/>
              </w:rPr>
              <w:t>KPIs have generally been met across the areas of business support, access to finance, networking and collaboration, remote engagement, and engagement with women.</w:t>
            </w:r>
          </w:p>
          <w:p w14:paraId="5E66F8F8" w14:textId="77777777" w:rsidR="00BC13F4" w:rsidRDefault="00BC13F4" w:rsidP="00BC13F4">
            <w:pPr>
              <w:pStyle w:val="Findingssummarylist"/>
              <w:ind w:left="312"/>
              <w:rPr>
                <w:sz w:val="22"/>
                <w:szCs w:val="22"/>
              </w:rPr>
            </w:pPr>
            <w:r w:rsidRPr="00D35FFF">
              <w:rPr>
                <w:sz w:val="22"/>
                <w:szCs w:val="22"/>
              </w:rPr>
              <w:t xml:space="preserve">KPI achievements suggest the program delivered upon the policy intent of supporting customers early in their business lifecycle, particularly in the case of internal business support and pre-bank businesses gaining access to finance. External business support tended to focus more on businesses further along the business lifecycle. </w:t>
            </w:r>
          </w:p>
          <w:p w14:paraId="66FAE565" w14:textId="7A38F1B6" w:rsidR="00BC13F4" w:rsidRPr="00BC13F4" w:rsidRDefault="00BC13F4" w:rsidP="00BC13F4">
            <w:pPr>
              <w:pStyle w:val="Findingssummarylist"/>
              <w:ind w:left="312"/>
              <w:rPr>
                <w:sz w:val="22"/>
                <w:szCs w:val="22"/>
              </w:rPr>
            </w:pPr>
            <w:r>
              <w:rPr>
                <w:sz w:val="22"/>
                <w:szCs w:val="22"/>
              </w:rPr>
              <w:t xml:space="preserve">The evaluation found that in some cases, issues with the KPIs made it difficult to assess performance. </w:t>
            </w:r>
            <w:r w:rsidRPr="00D35FFF">
              <w:rPr>
                <w:sz w:val="22"/>
                <w:szCs w:val="22"/>
              </w:rPr>
              <w:t>As some KPIs were revised or added since 2016</w:t>
            </w:r>
            <w:r w:rsidRPr="00D35FFF">
              <w:rPr>
                <w:rFonts w:ascii="Franklin Gothic Book" w:hAnsi="Franklin Gothic Book"/>
                <w:sz w:val="22"/>
                <w:szCs w:val="22"/>
              </w:rPr>
              <w:t>–</w:t>
            </w:r>
            <w:r w:rsidRPr="00D35FFF">
              <w:rPr>
                <w:sz w:val="22"/>
                <w:szCs w:val="22"/>
              </w:rPr>
              <w:t>17, annual comparisons and presenting performance trends over the full evaluation period was difficult.</w:t>
            </w:r>
            <w:r>
              <w:rPr>
                <w:sz w:val="22"/>
                <w:szCs w:val="22"/>
              </w:rPr>
              <w:t xml:space="preserve"> </w:t>
            </w:r>
            <w:r w:rsidRPr="00BC13F4">
              <w:rPr>
                <w:sz w:val="22"/>
                <w:szCs w:val="22"/>
              </w:rPr>
              <w:t xml:space="preserve">Moreover, as outlined in a recent ANAO performance audit, there have been some issues with the accuracy and rigour of these KPIs. This is concerning given the high reliance on these measures to indicate program success, but also presents an opportunity to address it in any future funding arrangements. </w:t>
            </w:r>
          </w:p>
          <w:p w14:paraId="454A0BF4" w14:textId="46FF284E" w:rsidR="0079052A" w:rsidRPr="00D35FFF" w:rsidRDefault="00BC13F4" w:rsidP="009C76D8">
            <w:pPr>
              <w:pStyle w:val="Findingssummarylist"/>
              <w:ind w:left="312"/>
              <w:rPr>
                <w:sz w:val="22"/>
                <w:szCs w:val="22"/>
              </w:rPr>
            </w:pPr>
            <w:r>
              <w:rPr>
                <w:sz w:val="22"/>
                <w:szCs w:val="22"/>
              </w:rPr>
              <w:t>S</w:t>
            </w:r>
            <w:r w:rsidR="0079052A" w:rsidRPr="00D35FFF">
              <w:rPr>
                <w:sz w:val="22"/>
                <w:szCs w:val="22"/>
              </w:rPr>
              <w:t xml:space="preserve">ome important contractual activities were not achieved. </w:t>
            </w:r>
            <w:r w:rsidR="001364E9" w:rsidRPr="00D35FFF">
              <w:rPr>
                <w:sz w:val="22"/>
                <w:szCs w:val="22"/>
              </w:rPr>
              <w:t xml:space="preserve">These related to key requirements that did not have a corresponding KPI. </w:t>
            </w:r>
          </w:p>
          <w:p w14:paraId="4BB8F657" w14:textId="21E35E62" w:rsidR="00A07C02" w:rsidRPr="00D35FFF" w:rsidRDefault="002F71E4" w:rsidP="009C76D8">
            <w:pPr>
              <w:pStyle w:val="Findingssummarylist"/>
              <w:ind w:left="312"/>
              <w:rPr>
                <w:sz w:val="22"/>
                <w:szCs w:val="22"/>
              </w:rPr>
            </w:pPr>
            <w:r w:rsidRPr="00D35FFF">
              <w:rPr>
                <w:sz w:val="22"/>
                <w:szCs w:val="22"/>
              </w:rPr>
              <w:t>Over the period 2017</w:t>
            </w:r>
            <w:r w:rsidRPr="00D35FFF">
              <w:rPr>
                <w:rFonts w:ascii="Franklin Gothic Book" w:hAnsi="Franklin Gothic Book"/>
                <w:sz w:val="22"/>
                <w:szCs w:val="22"/>
              </w:rPr>
              <w:t>–</w:t>
            </w:r>
            <w:r w:rsidRPr="00D35FFF">
              <w:rPr>
                <w:sz w:val="22"/>
                <w:szCs w:val="22"/>
              </w:rPr>
              <w:t>18 to 2020</w:t>
            </w:r>
            <w:r w:rsidRPr="00D35FFF">
              <w:rPr>
                <w:rFonts w:ascii="Franklin Gothic Book" w:hAnsi="Franklin Gothic Book"/>
                <w:sz w:val="22"/>
                <w:szCs w:val="22"/>
              </w:rPr>
              <w:t>–</w:t>
            </w:r>
            <w:r w:rsidRPr="00D35FFF">
              <w:rPr>
                <w:sz w:val="22"/>
                <w:szCs w:val="22"/>
              </w:rPr>
              <w:t>21, the number of loan customers defined as higher-risk (pre-bank and bankable) and lower-risk pre-bank exceeded 90% of all customers. In the same period, the value of loans for this cohort made up between 69% and 93% of the total value of all loans.</w:t>
            </w:r>
          </w:p>
          <w:p w14:paraId="0406BF2D" w14:textId="6F9D8AA5" w:rsidR="00BC5B4A" w:rsidRDefault="00BC5B4A" w:rsidP="009C76D8">
            <w:pPr>
              <w:pStyle w:val="Findingssummarylist"/>
              <w:ind w:left="312"/>
              <w:rPr>
                <w:sz w:val="22"/>
                <w:szCs w:val="22"/>
              </w:rPr>
            </w:pPr>
            <w:r w:rsidRPr="00D35FFF">
              <w:rPr>
                <w:sz w:val="22"/>
                <w:szCs w:val="22"/>
              </w:rPr>
              <w:t>Satisfaction among businesses that gained access to BSP services and products was generally high. The most common reasons given by respondents for their satisfaction were that the service was tailored to their business, that services were high quality, and that the products were targeted to the needs of their business.</w:t>
            </w:r>
          </w:p>
          <w:p w14:paraId="79560692" w14:textId="4F052C27" w:rsidR="00BC13F4" w:rsidRPr="00D35FFF" w:rsidRDefault="00BC13F4" w:rsidP="00BC13F4">
            <w:pPr>
              <w:pStyle w:val="Findingssummarylist"/>
              <w:ind w:left="312"/>
              <w:rPr>
                <w:sz w:val="22"/>
                <w:szCs w:val="22"/>
              </w:rPr>
            </w:pPr>
            <w:r>
              <w:rPr>
                <w:sz w:val="22"/>
                <w:szCs w:val="22"/>
              </w:rPr>
              <w:t>T</w:t>
            </w:r>
            <w:r w:rsidRPr="00D35FFF">
              <w:rPr>
                <w:sz w:val="22"/>
                <w:szCs w:val="22"/>
              </w:rPr>
              <w:t xml:space="preserve">he failure to capture data on demand for BSP services makes it impossible to assess whether the program’s products and services </w:t>
            </w:r>
            <w:r>
              <w:rPr>
                <w:sz w:val="22"/>
                <w:szCs w:val="22"/>
              </w:rPr>
              <w:t>were sufficient to demand in the sector</w:t>
            </w:r>
            <w:r w:rsidRPr="00D35FFF">
              <w:rPr>
                <w:sz w:val="22"/>
                <w:szCs w:val="22"/>
              </w:rPr>
              <w:t>.</w:t>
            </w:r>
          </w:p>
          <w:p w14:paraId="2DB077BC" w14:textId="03AF5C08" w:rsidR="00BC5B4A" w:rsidRPr="00FE73DE" w:rsidRDefault="00BC5B4A" w:rsidP="00BC5B4A">
            <w:pPr>
              <w:pStyle w:val="Findingssummarylist"/>
              <w:ind w:left="312"/>
            </w:pPr>
            <w:r w:rsidRPr="00D35FFF">
              <w:rPr>
                <w:sz w:val="22"/>
                <w:szCs w:val="22"/>
              </w:rPr>
              <w:t xml:space="preserve">There </w:t>
            </w:r>
            <w:r w:rsidR="00BC13F4">
              <w:rPr>
                <w:sz w:val="22"/>
                <w:szCs w:val="22"/>
              </w:rPr>
              <w:t>is</w:t>
            </w:r>
            <w:r w:rsidR="00BC13F4" w:rsidRPr="00D35FFF">
              <w:rPr>
                <w:sz w:val="22"/>
                <w:szCs w:val="22"/>
              </w:rPr>
              <w:t xml:space="preserve"> </w:t>
            </w:r>
            <w:r w:rsidRPr="00D35FFF">
              <w:rPr>
                <w:sz w:val="22"/>
                <w:szCs w:val="22"/>
              </w:rPr>
              <w:t>evidence that the BSP did not meet the needs of potential clients at the point of entry. Through survey and interview data, the evaluation found that Indigenous businesses which began the process of accessing IBA support did not become customers due to a range of factors. Most notably, slow response times</w:t>
            </w:r>
            <w:r w:rsidR="00BC13F4">
              <w:rPr>
                <w:sz w:val="22"/>
                <w:szCs w:val="22"/>
              </w:rPr>
              <w:t>, l</w:t>
            </w:r>
            <w:r w:rsidRPr="00D35FFF">
              <w:rPr>
                <w:sz w:val="22"/>
                <w:szCs w:val="22"/>
              </w:rPr>
              <w:t>ack of follow up from IBA to initial enquiries, and the length and difficulty of the application process were mentioned. There is a need to better understand the barriers to entry into the BSP, and the number of Indigenous businesses unable to access business support and finance due to these barriers. This would serve to create a better understanding of unmet need in the sector.</w:t>
            </w:r>
          </w:p>
        </w:tc>
      </w:tr>
    </w:tbl>
    <w:p w14:paraId="30B754A3" w14:textId="41CED793" w:rsidR="003F1A6E" w:rsidRPr="00FE73DE" w:rsidRDefault="003F1A6E" w:rsidP="004F2771">
      <w:pPr>
        <w:pStyle w:val="Heading2"/>
        <w:ind w:hanging="792"/>
      </w:pPr>
      <w:bookmarkStart w:id="59" w:name="_Toc123734706"/>
      <w:r w:rsidRPr="00FE73DE">
        <w:t xml:space="preserve">Measuring </w:t>
      </w:r>
      <w:r w:rsidR="00AA4CEB" w:rsidRPr="00FE73DE">
        <w:t>p</w:t>
      </w:r>
      <w:r w:rsidRPr="00FE73DE">
        <w:t>erformance of the BSP</w:t>
      </w:r>
      <w:bookmarkEnd w:id="59"/>
    </w:p>
    <w:p w14:paraId="51ECE1BD" w14:textId="73B2C322" w:rsidR="006B66A0" w:rsidRPr="00FE73DE" w:rsidRDefault="003F1A6E" w:rsidP="006B66A0">
      <w:pPr>
        <w:rPr>
          <w:szCs w:val="24"/>
        </w:rPr>
      </w:pPr>
      <w:r w:rsidRPr="00FE73DE">
        <w:rPr>
          <w:szCs w:val="24"/>
        </w:rPr>
        <w:t xml:space="preserve">Schedules underpinning the BSP grant agreements set out specific </w:t>
      </w:r>
      <w:r w:rsidR="009913BB">
        <w:rPr>
          <w:szCs w:val="24"/>
        </w:rPr>
        <w:t xml:space="preserve">KPIs </w:t>
      </w:r>
      <w:r w:rsidRPr="00FE73DE">
        <w:rPr>
          <w:szCs w:val="24"/>
        </w:rPr>
        <w:t>expected to be achieved across the life of the program. These KPIs were primarily output measures</w:t>
      </w:r>
      <w:r w:rsidR="000E2A8D">
        <w:rPr>
          <w:szCs w:val="24"/>
        </w:rPr>
        <w:t>,</w:t>
      </w:r>
      <w:r w:rsidR="009913BB">
        <w:rPr>
          <w:szCs w:val="24"/>
        </w:rPr>
        <w:t xml:space="preserve"> and </w:t>
      </w:r>
      <w:r w:rsidR="00634F7A">
        <w:rPr>
          <w:szCs w:val="24"/>
        </w:rPr>
        <w:t>two</w:t>
      </w:r>
      <w:r w:rsidR="00BD5B59">
        <w:rPr>
          <w:szCs w:val="24"/>
        </w:rPr>
        <w:t xml:space="preserve"> </w:t>
      </w:r>
      <w:r w:rsidRPr="00FE73DE">
        <w:rPr>
          <w:szCs w:val="24"/>
        </w:rPr>
        <w:t>outcome measures</w:t>
      </w:r>
      <w:r w:rsidR="000E2A8D">
        <w:rPr>
          <w:szCs w:val="24"/>
        </w:rPr>
        <w:t xml:space="preserve"> including</w:t>
      </w:r>
      <w:r w:rsidRPr="00FE73DE">
        <w:rPr>
          <w:szCs w:val="24"/>
        </w:rPr>
        <w:t xml:space="preserve"> business survivability and level of customer satisfaction.</w:t>
      </w:r>
      <w:r w:rsidR="00634F7A">
        <w:rPr>
          <w:szCs w:val="24"/>
        </w:rPr>
        <w:t xml:space="preserve"> KPI’s were not measured consistently across the program life.</w:t>
      </w:r>
    </w:p>
    <w:p w14:paraId="02C0A37B" w14:textId="582D9773" w:rsidR="006B66A0" w:rsidRPr="00FE73DE" w:rsidRDefault="006B66A0" w:rsidP="006B66A0">
      <w:pPr>
        <w:rPr>
          <w:szCs w:val="24"/>
        </w:rPr>
      </w:pPr>
      <w:r w:rsidRPr="00FE73DE">
        <w:rPr>
          <w:szCs w:val="24"/>
        </w:rPr>
        <w:t>Over the evaluation period</w:t>
      </w:r>
      <w:r w:rsidR="009913BB">
        <w:rPr>
          <w:szCs w:val="24"/>
        </w:rPr>
        <w:t>,</w:t>
      </w:r>
      <w:r w:rsidRPr="00FE73DE">
        <w:rPr>
          <w:szCs w:val="24"/>
        </w:rPr>
        <w:t xml:space="preserve"> changes </w:t>
      </w:r>
      <w:r w:rsidR="000E2A8D">
        <w:rPr>
          <w:szCs w:val="24"/>
        </w:rPr>
        <w:t>were</w:t>
      </w:r>
      <w:r w:rsidRPr="00FE73DE">
        <w:rPr>
          <w:szCs w:val="24"/>
        </w:rPr>
        <w:t xml:space="preserve"> made to the BSP </w:t>
      </w:r>
      <w:r w:rsidR="00552536" w:rsidRPr="00FE73DE">
        <w:rPr>
          <w:szCs w:val="24"/>
        </w:rPr>
        <w:t>KPIs</w:t>
      </w:r>
      <w:r w:rsidRPr="00FE73DE">
        <w:rPr>
          <w:szCs w:val="24"/>
        </w:rPr>
        <w:t xml:space="preserve"> by agreement between IBA and NIAA. Significant change occurred between the initial (interim) grant agreement </w:t>
      </w:r>
      <w:r w:rsidR="005707A5" w:rsidRPr="00FE73DE">
        <w:rPr>
          <w:szCs w:val="24"/>
        </w:rPr>
        <w:t>in place for one year (</w:t>
      </w:r>
      <w:r w:rsidRPr="00FE73DE">
        <w:rPr>
          <w:szCs w:val="24"/>
        </w:rPr>
        <w:t>2016</w:t>
      </w:r>
      <w:r w:rsidR="000E2A8D">
        <w:rPr>
          <w:rFonts w:ascii="Franklin Gothic Book" w:hAnsi="Franklin Gothic Book"/>
          <w:szCs w:val="24"/>
        </w:rPr>
        <w:t>–</w:t>
      </w:r>
      <w:r w:rsidRPr="00FE73DE">
        <w:rPr>
          <w:szCs w:val="24"/>
        </w:rPr>
        <w:t>17</w:t>
      </w:r>
      <w:r w:rsidR="005707A5" w:rsidRPr="00FE73DE">
        <w:rPr>
          <w:szCs w:val="24"/>
        </w:rPr>
        <w:t>)</w:t>
      </w:r>
      <w:r w:rsidRPr="00FE73DE">
        <w:rPr>
          <w:szCs w:val="24"/>
        </w:rPr>
        <w:t xml:space="preserve">, and the more comprehensive agreement covering 1 July 2017 to present. Minor adjustments </w:t>
      </w:r>
      <w:r w:rsidR="00552536" w:rsidRPr="00FE73DE">
        <w:rPr>
          <w:szCs w:val="24"/>
        </w:rPr>
        <w:t xml:space="preserve">to targets </w:t>
      </w:r>
      <w:r w:rsidRPr="00FE73DE">
        <w:rPr>
          <w:szCs w:val="24"/>
        </w:rPr>
        <w:t xml:space="preserve">have occurred in subsequent years. These changes make time series analysis over the full evaluation scope not possible. An assessment of targets and achievement is </w:t>
      </w:r>
      <w:r w:rsidR="00552536" w:rsidRPr="00FE73DE">
        <w:rPr>
          <w:szCs w:val="24"/>
        </w:rPr>
        <w:t xml:space="preserve">provided </w:t>
      </w:r>
      <w:r w:rsidRPr="00FE73DE">
        <w:rPr>
          <w:szCs w:val="24"/>
        </w:rPr>
        <w:t xml:space="preserve">for the period 1 July 2017 to 30 June 2021 for a core number of measures as shown in </w:t>
      </w:r>
      <w:r w:rsidR="000C5C5F" w:rsidRPr="00FE73DE">
        <w:rPr>
          <w:szCs w:val="24"/>
        </w:rPr>
        <w:fldChar w:fldCharType="begin"/>
      </w:r>
      <w:r w:rsidR="000C5C5F" w:rsidRPr="00FE73DE">
        <w:rPr>
          <w:szCs w:val="24"/>
        </w:rPr>
        <w:instrText xml:space="preserve"> REF _Ref110608936 \h </w:instrText>
      </w:r>
      <w:r w:rsidR="000C5C5F" w:rsidRPr="00FE73DE">
        <w:rPr>
          <w:szCs w:val="24"/>
        </w:rPr>
      </w:r>
      <w:r w:rsidR="000C5C5F" w:rsidRPr="00FE73DE">
        <w:rPr>
          <w:szCs w:val="24"/>
        </w:rPr>
        <w:fldChar w:fldCharType="separate"/>
      </w:r>
      <w:r w:rsidR="004718C9" w:rsidRPr="00FE73DE">
        <w:t xml:space="preserve">Table </w:t>
      </w:r>
      <w:r w:rsidR="004718C9">
        <w:rPr>
          <w:noProof/>
        </w:rPr>
        <w:t>4</w:t>
      </w:r>
      <w:r w:rsidR="000C5C5F" w:rsidRPr="00FE73DE">
        <w:rPr>
          <w:szCs w:val="24"/>
        </w:rPr>
        <w:fldChar w:fldCharType="end"/>
      </w:r>
      <w:r w:rsidRPr="00FE73DE">
        <w:rPr>
          <w:szCs w:val="24"/>
        </w:rPr>
        <w:t>.</w:t>
      </w:r>
      <w:r w:rsidR="00777394">
        <w:rPr>
          <w:szCs w:val="24"/>
        </w:rPr>
        <w:t xml:space="preserve"> Notwithstanding these variations, the majority of performance targets have been achieved. </w:t>
      </w:r>
    </w:p>
    <w:p w14:paraId="33D705F5" w14:textId="5E7AA6FF" w:rsidR="001466DD" w:rsidRPr="00FE73DE" w:rsidRDefault="001466DD" w:rsidP="001466DD">
      <w:pPr>
        <w:rPr>
          <w:szCs w:val="24"/>
        </w:rPr>
      </w:pPr>
      <w:bookmarkStart w:id="60" w:name="_Hlk105081603"/>
      <w:r w:rsidRPr="00FE73DE">
        <w:t xml:space="preserve">The difficulty of comparing KPIs across all years reinforces the importance of maintaining consistency in the wording of performance indicators </w:t>
      </w:r>
      <w:r w:rsidR="000E2A8D">
        <w:t>(</w:t>
      </w:r>
      <w:r w:rsidRPr="00FE73DE">
        <w:t>for example</w:t>
      </w:r>
      <w:r w:rsidR="000E2A8D">
        <w:t>,</w:t>
      </w:r>
      <w:r w:rsidRPr="00FE73DE">
        <w:t xml:space="preserve"> </w:t>
      </w:r>
      <w:r w:rsidR="000E2A8D" w:rsidRPr="00FE73DE">
        <w:t xml:space="preserve">see </w:t>
      </w:r>
      <w:r w:rsidRPr="00FE73DE">
        <w:t xml:space="preserve">the definition and targets for internal business support in </w:t>
      </w:r>
      <w:r w:rsidRPr="00FE73DE">
        <w:rPr>
          <w:szCs w:val="24"/>
        </w:rPr>
        <w:fldChar w:fldCharType="begin"/>
      </w:r>
      <w:r w:rsidRPr="00FE73DE">
        <w:rPr>
          <w:szCs w:val="24"/>
        </w:rPr>
        <w:instrText xml:space="preserve"> REF _Ref110608936 \h </w:instrText>
      </w:r>
      <w:r w:rsidRPr="00FE73DE">
        <w:rPr>
          <w:szCs w:val="24"/>
        </w:rPr>
      </w:r>
      <w:r w:rsidRPr="00FE73DE">
        <w:rPr>
          <w:szCs w:val="24"/>
        </w:rPr>
        <w:fldChar w:fldCharType="separate"/>
      </w:r>
      <w:r w:rsidR="004718C9" w:rsidRPr="00FE73DE">
        <w:t xml:space="preserve">Table </w:t>
      </w:r>
      <w:r w:rsidR="004718C9">
        <w:rPr>
          <w:noProof/>
        </w:rPr>
        <w:t>4</w:t>
      </w:r>
      <w:r w:rsidRPr="00FE73DE">
        <w:rPr>
          <w:szCs w:val="24"/>
        </w:rPr>
        <w:fldChar w:fldCharType="end"/>
      </w:r>
      <w:r w:rsidR="000E2A8D">
        <w:rPr>
          <w:szCs w:val="24"/>
        </w:rPr>
        <w:t>)</w:t>
      </w:r>
      <w:r w:rsidRPr="00FE73DE">
        <w:t xml:space="preserve">. </w:t>
      </w:r>
      <w:bookmarkEnd w:id="60"/>
      <w:r w:rsidRPr="00FE73DE">
        <w:t>This should be considered for future BSP reporting, and in the design of performance monitoring frameworks for other programs.</w:t>
      </w:r>
    </w:p>
    <w:p w14:paraId="19E2B83D" w14:textId="56844F4C" w:rsidR="00930340" w:rsidRPr="00FE73DE" w:rsidRDefault="00930340" w:rsidP="006B66A0">
      <w:pPr>
        <w:rPr>
          <w:szCs w:val="24"/>
        </w:rPr>
      </w:pPr>
      <w:r w:rsidRPr="00FE73DE">
        <w:t xml:space="preserve">As </w:t>
      </w:r>
      <w:r w:rsidR="00552536" w:rsidRPr="00FE73DE">
        <w:t xml:space="preserve">noted </w:t>
      </w:r>
      <w:r w:rsidR="00DD5B62">
        <w:t xml:space="preserve">under </w:t>
      </w:r>
      <w:r w:rsidR="003257FB">
        <w:t>s</w:t>
      </w:r>
      <w:r w:rsidR="00DD5B62">
        <w:t xml:space="preserve">ection 3, $6.8 million per year of annual </w:t>
      </w:r>
      <w:r w:rsidR="00133C11">
        <w:t xml:space="preserve">business support </w:t>
      </w:r>
      <w:r w:rsidR="00DD5B62">
        <w:t xml:space="preserve">payments </w:t>
      </w:r>
      <w:r w:rsidR="00133C11">
        <w:t>is based on KPI results</w:t>
      </w:r>
      <w:r w:rsidR="00DD5B62">
        <w:t xml:space="preserve">. </w:t>
      </w:r>
      <w:r w:rsidR="00552536" w:rsidRPr="00FE73DE">
        <w:t>As performance is assessed retrospectively</w:t>
      </w:r>
      <w:r w:rsidR="00323D9D" w:rsidRPr="00FE73DE">
        <w:t xml:space="preserve">, and with the potential repayment </w:t>
      </w:r>
      <w:r w:rsidR="005707A5" w:rsidRPr="00FE73DE">
        <w:t xml:space="preserve">of funds </w:t>
      </w:r>
      <w:r w:rsidR="00323D9D" w:rsidRPr="00FE73DE">
        <w:t>considered a penalty,</w:t>
      </w:r>
      <w:r w:rsidRPr="00FE73DE">
        <w:t xml:space="preserve"> IBA places significant emphasis on achieving them.</w:t>
      </w:r>
    </w:p>
    <w:p w14:paraId="416BBD92" w14:textId="5350A2A1" w:rsidR="007818B7" w:rsidRPr="00FE73DE" w:rsidRDefault="00290561" w:rsidP="00290561">
      <w:pPr>
        <w:rPr>
          <w:szCs w:val="24"/>
        </w:rPr>
      </w:pPr>
      <w:r w:rsidRPr="00FE73DE">
        <w:rPr>
          <w:szCs w:val="24"/>
        </w:rPr>
        <w:t xml:space="preserve">Important context to this section is also how rigorous or representative the </w:t>
      </w:r>
      <w:r w:rsidR="00552536" w:rsidRPr="00FE73DE">
        <w:rPr>
          <w:szCs w:val="24"/>
        </w:rPr>
        <w:t xml:space="preserve">KPIs </w:t>
      </w:r>
      <w:r w:rsidRPr="00FE73DE">
        <w:rPr>
          <w:szCs w:val="24"/>
        </w:rPr>
        <w:t xml:space="preserve">are in terms of capacity to reflect performance. </w:t>
      </w:r>
      <w:r w:rsidR="00552536" w:rsidRPr="00FE73DE">
        <w:rPr>
          <w:szCs w:val="24"/>
        </w:rPr>
        <w:t>The evaluation found that</w:t>
      </w:r>
      <w:r w:rsidR="00323D9D" w:rsidRPr="00FE73DE">
        <w:rPr>
          <w:szCs w:val="24"/>
        </w:rPr>
        <w:t xml:space="preserve"> </w:t>
      </w:r>
      <w:r w:rsidR="00552536" w:rsidRPr="00FE73DE">
        <w:rPr>
          <w:szCs w:val="24"/>
        </w:rPr>
        <w:t>many of these indicators measured the number of customers supported but provided no sense of the extent of this support or the perceived value of the support to the customer</w:t>
      </w:r>
      <w:r w:rsidR="00BD5B59">
        <w:rPr>
          <w:szCs w:val="24"/>
        </w:rPr>
        <w:t>’</w:t>
      </w:r>
      <w:r w:rsidR="00552536" w:rsidRPr="00FE73DE">
        <w:rPr>
          <w:szCs w:val="24"/>
        </w:rPr>
        <w:t>s business</w:t>
      </w:r>
      <w:r w:rsidR="00323D9D" w:rsidRPr="00FE73DE">
        <w:rPr>
          <w:szCs w:val="24"/>
        </w:rPr>
        <w:t>.</w:t>
      </w:r>
      <w:r w:rsidR="007818B7" w:rsidRPr="00FE73DE">
        <w:rPr>
          <w:szCs w:val="24"/>
        </w:rPr>
        <w:t xml:space="preserve"> To address this gap</w:t>
      </w:r>
      <w:r w:rsidR="00BD5B59">
        <w:rPr>
          <w:szCs w:val="24"/>
        </w:rPr>
        <w:t>,</w:t>
      </w:r>
      <w:r w:rsidR="007818B7" w:rsidRPr="00FE73DE">
        <w:rPr>
          <w:szCs w:val="24"/>
        </w:rPr>
        <w:t xml:space="preserve"> the evaluation sought to understand individual experiences through the Indigenous business survey and the delivery partners survey, and subsequent follow-up discussions with respondents. </w:t>
      </w:r>
    </w:p>
    <w:p w14:paraId="65C72BD1" w14:textId="577BEF3A" w:rsidR="00290561" w:rsidRPr="00FE73DE" w:rsidRDefault="007818B7" w:rsidP="00290561">
      <w:pPr>
        <w:rPr>
          <w:szCs w:val="24"/>
        </w:rPr>
      </w:pPr>
      <w:r w:rsidRPr="00FE73DE">
        <w:rPr>
          <w:szCs w:val="24"/>
        </w:rPr>
        <w:t xml:space="preserve">In addition, the </w:t>
      </w:r>
      <w:r w:rsidR="00290561" w:rsidRPr="00FE73DE">
        <w:rPr>
          <w:szCs w:val="24"/>
        </w:rPr>
        <w:t>recent ANAO audit</w:t>
      </w:r>
      <w:r w:rsidR="00323D9D" w:rsidRPr="00FE73DE">
        <w:rPr>
          <w:szCs w:val="24"/>
        </w:rPr>
        <w:t xml:space="preserve"> found</w:t>
      </w:r>
      <w:r w:rsidR="00290561" w:rsidRPr="00FE73DE">
        <w:rPr>
          <w:szCs w:val="24"/>
        </w:rPr>
        <w:t xml:space="preserve"> that a number of the BSP performance measures were not fully accurate or robust. This is </w:t>
      </w:r>
      <w:r w:rsidR="00BD5B59">
        <w:rPr>
          <w:szCs w:val="24"/>
        </w:rPr>
        <w:t xml:space="preserve">concerning </w:t>
      </w:r>
      <w:r w:rsidR="00290561" w:rsidRPr="00FE73DE">
        <w:rPr>
          <w:szCs w:val="24"/>
        </w:rPr>
        <w:t>given the high reliance on these measures to indicate program success</w:t>
      </w:r>
      <w:r w:rsidR="00BD5B59">
        <w:rPr>
          <w:szCs w:val="24"/>
        </w:rPr>
        <w:t>,</w:t>
      </w:r>
      <w:r w:rsidR="00290561" w:rsidRPr="00FE73DE">
        <w:rPr>
          <w:szCs w:val="24"/>
        </w:rPr>
        <w:t xml:space="preserve"> </w:t>
      </w:r>
      <w:r w:rsidR="00381BB7" w:rsidRPr="00FE73DE">
        <w:rPr>
          <w:szCs w:val="24"/>
        </w:rPr>
        <w:t>but</w:t>
      </w:r>
      <w:r w:rsidR="00BD5B59">
        <w:rPr>
          <w:szCs w:val="24"/>
        </w:rPr>
        <w:t xml:space="preserve"> </w:t>
      </w:r>
      <w:r w:rsidR="00290561" w:rsidRPr="00FE73DE">
        <w:rPr>
          <w:szCs w:val="24"/>
        </w:rPr>
        <w:t xml:space="preserve">also presents an opportunity to </w:t>
      </w:r>
      <w:r w:rsidR="00BD5B59">
        <w:rPr>
          <w:szCs w:val="24"/>
        </w:rPr>
        <w:t>address it</w:t>
      </w:r>
      <w:r w:rsidR="00290561" w:rsidRPr="00FE73DE">
        <w:rPr>
          <w:szCs w:val="24"/>
        </w:rPr>
        <w:t xml:space="preserve"> in any future grant arrangement</w:t>
      </w:r>
      <w:r w:rsidR="00BD5B59">
        <w:rPr>
          <w:szCs w:val="24"/>
        </w:rPr>
        <w:t>s</w:t>
      </w:r>
      <w:r w:rsidR="00290561" w:rsidRPr="00FE73DE">
        <w:rPr>
          <w:szCs w:val="24"/>
        </w:rPr>
        <w:t xml:space="preserve">. </w:t>
      </w:r>
    </w:p>
    <w:p w14:paraId="24E8CD50" w14:textId="08A1337F" w:rsidR="00290561" w:rsidRPr="00FE73DE" w:rsidRDefault="00290561" w:rsidP="00290561">
      <w:pPr>
        <w:rPr>
          <w:szCs w:val="24"/>
        </w:rPr>
      </w:pPr>
      <w:r w:rsidRPr="00FE73DE">
        <w:rPr>
          <w:szCs w:val="24"/>
        </w:rPr>
        <w:t>As stated by the ANAO</w:t>
      </w:r>
      <w:r w:rsidR="007F3E68" w:rsidRPr="00FE73DE">
        <w:rPr>
          <w:szCs w:val="24"/>
        </w:rPr>
        <w:t>:</w:t>
      </w:r>
      <w:r w:rsidR="00BD5B59" w:rsidRPr="00FE73DE">
        <w:rPr>
          <w:b/>
          <w:bCs/>
          <w:vertAlign w:val="superscript"/>
        </w:rPr>
        <w:footnoteReference w:id="23"/>
      </w:r>
    </w:p>
    <w:p w14:paraId="12194E7B" w14:textId="117B7542" w:rsidR="00290561" w:rsidRPr="00FE73DE" w:rsidRDefault="00290561" w:rsidP="007F3E68">
      <w:pPr>
        <w:pStyle w:val="Boxbullett"/>
        <w:ind w:left="567"/>
      </w:pPr>
      <w:r w:rsidRPr="00FE73DE">
        <w:t>… IBA has established an appropriate performance framework that includes a strategy, procedures and ways of monitoring performance. IBA’s 201</w:t>
      </w:r>
      <w:r w:rsidR="008557E8">
        <w:t>9–</w:t>
      </w:r>
      <w:r w:rsidRPr="00FE73DE">
        <w:t>20 performance measures for business support and investment activities are not fully appropriate because they are relevant, mostly reliable but not fully adequate. IBA monitors performance on a quarterly and annual basis. However, performance trends and the reasons for them are not reported publicly.</w:t>
      </w:r>
    </w:p>
    <w:p w14:paraId="5D0674B5" w14:textId="4B1E0580" w:rsidR="00777394" w:rsidRPr="00FE73DE" w:rsidRDefault="00290561" w:rsidP="00290561">
      <w:pPr>
        <w:rPr>
          <w:szCs w:val="24"/>
        </w:rPr>
      </w:pPr>
      <w:r w:rsidRPr="00FE73DE">
        <w:rPr>
          <w:szCs w:val="24"/>
        </w:rPr>
        <w:t>It is also important to consider that the achievement of some</w:t>
      </w:r>
      <w:r w:rsidR="00B82FFE" w:rsidRPr="00FE73DE">
        <w:rPr>
          <w:szCs w:val="24"/>
        </w:rPr>
        <w:t xml:space="preserve"> KPIs</w:t>
      </w:r>
      <w:r w:rsidRPr="00FE73DE">
        <w:rPr>
          <w:szCs w:val="24"/>
        </w:rPr>
        <w:t xml:space="preserve"> can be </w:t>
      </w:r>
      <w:r w:rsidR="00BD5B59">
        <w:rPr>
          <w:szCs w:val="24"/>
        </w:rPr>
        <w:t>influenced</w:t>
      </w:r>
      <w:r w:rsidR="00BD5B59" w:rsidRPr="00FE73DE">
        <w:rPr>
          <w:szCs w:val="24"/>
        </w:rPr>
        <w:t xml:space="preserve"> </w:t>
      </w:r>
      <w:r w:rsidRPr="00FE73DE">
        <w:rPr>
          <w:szCs w:val="24"/>
        </w:rPr>
        <w:t>by factors outside the program</w:t>
      </w:r>
      <w:r w:rsidR="005A1E1C">
        <w:rPr>
          <w:szCs w:val="24"/>
        </w:rPr>
        <w:t>’s</w:t>
      </w:r>
      <w:r w:rsidRPr="00FE73DE">
        <w:rPr>
          <w:szCs w:val="24"/>
        </w:rPr>
        <w:t xml:space="preserve"> control but are still useful for understanding program impacts and how to improve the program delivery.</w:t>
      </w:r>
    </w:p>
    <w:p w14:paraId="639196D7" w14:textId="77777777" w:rsidR="00290561" w:rsidRPr="00FE73DE" w:rsidRDefault="00290561" w:rsidP="006B66A0">
      <w:pPr>
        <w:rPr>
          <w:szCs w:val="24"/>
        </w:rPr>
        <w:sectPr w:rsidR="00290561" w:rsidRPr="00FE73DE" w:rsidSect="005E2EE3">
          <w:headerReference w:type="default" r:id="rId19"/>
          <w:footerReference w:type="default" r:id="rId20"/>
          <w:pgSz w:w="11906" w:h="16838" w:code="9"/>
          <w:pgMar w:top="1701" w:right="1503" w:bottom="1135" w:left="1503" w:header="680" w:footer="567" w:gutter="0"/>
          <w:cols w:space="708"/>
          <w:docGrid w:linePitch="360"/>
        </w:sectPr>
      </w:pPr>
    </w:p>
    <w:p w14:paraId="10801645" w14:textId="21896F98" w:rsidR="00290561" w:rsidRPr="00FE73DE" w:rsidRDefault="00290561" w:rsidP="00290561">
      <w:pPr>
        <w:pStyle w:val="Caption"/>
        <w:keepNext/>
      </w:pPr>
      <w:bookmarkStart w:id="61" w:name="_Ref110608936"/>
      <w:bookmarkStart w:id="62" w:name="_Ref116148995"/>
      <w:r w:rsidRPr="00FE73DE">
        <w:t xml:space="preserve">Table </w:t>
      </w:r>
      <w:fldSimple w:instr=" SEQ Table \* ARABIC ">
        <w:r w:rsidR="004718C9">
          <w:rPr>
            <w:noProof/>
          </w:rPr>
          <w:t>4</w:t>
        </w:r>
      </w:fldSimple>
      <w:bookmarkEnd w:id="61"/>
      <w:r w:rsidRPr="00FE73DE">
        <w:t xml:space="preserve">: </w:t>
      </w:r>
      <w:bookmarkStart w:id="63" w:name="_Ref110608935"/>
      <w:r w:rsidRPr="00FE73DE">
        <w:t xml:space="preserve">BSP </w:t>
      </w:r>
      <w:r w:rsidR="00B82FFE" w:rsidRPr="00FE73DE">
        <w:t>KPI</w:t>
      </w:r>
      <w:r w:rsidRPr="00FE73DE">
        <w:t xml:space="preserve"> targets and results for 2017</w:t>
      </w:r>
      <w:r w:rsidR="00BD5B59">
        <w:rPr>
          <w:rFonts w:ascii="Franklin Gothic Book" w:hAnsi="Franklin Gothic Book"/>
        </w:rPr>
        <w:t>–</w:t>
      </w:r>
      <w:r w:rsidRPr="00FE73DE">
        <w:t>18 to 2020</w:t>
      </w:r>
      <w:r w:rsidR="00BD5B59">
        <w:rPr>
          <w:rFonts w:ascii="Franklin Gothic Book" w:hAnsi="Franklin Gothic Book"/>
        </w:rPr>
        <w:t>–</w:t>
      </w:r>
      <w:r w:rsidRPr="00FE73DE">
        <w:t>21</w:t>
      </w:r>
      <w:bookmarkEnd w:id="62"/>
      <w:bookmarkEnd w:id="63"/>
    </w:p>
    <w:tbl>
      <w:tblPr>
        <w:tblStyle w:val="Summaryboxtablestyle"/>
        <w:tblW w:w="0" w:type="auto"/>
        <w:tblLook w:val="06A0" w:firstRow="1" w:lastRow="0" w:firstColumn="1" w:lastColumn="0" w:noHBand="1" w:noVBand="1"/>
      </w:tblPr>
      <w:tblGrid>
        <w:gridCol w:w="5684"/>
        <w:gridCol w:w="898"/>
        <w:gridCol w:w="1168"/>
        <w:gridCol w:w="898"/>
        <w:gridCol w:w="1168"/>
        <w:gridCol w:w="1055"/>
        <w:gridCol w:w="1168"/>
        <w:gridCol w:w="1055"/>
        <w:gridCol w:w="898"/>
      </w:tblGrid>
      <w:tr w:rsidR="00290561" w:rsidRPr="00FE73DE" w14:paraId="15F82D00" w14:textId="77777777" w:rsidTr="00DD381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single" w:sz="4" w:space="0" w:color="6B818C" w:themeColor="accent5"/>
              <w:bottom w:val="single" w:sz="4" w:space="0" w:color="6B818C" w:themeColor="accent5"/>
            </w:tcBorders>
            <w:vAlign w:val="center"/>
          </w:tcPr>
          <w:p w14:paraId="0072A6EC" w14:textId="77777777" w:rsidR="00290561" w:rsidRPr="00FE73DE" w:rsidRDefault="00290561" w:rsidP="00290561">
            <w:pPr>
              <w:spacing w:before="40" w:after="40" w:line="240" w:lineRule="auto"/>
              <w:jc w:val="left"/>
              <w:rPr>
                <w:sz w:val="22"/>
              </w:rPr>
            </w:pPr>
            <w:r w:rsidRPr="00FE73DE">
              <w:rPr>
                <w:sz w:val="22"/>
              </w:rPr>
              <w:t>KPI</w:t>
            </w:r>
          </w:p>
        </w:tc>
        <w:tc>
          <w:tcPr>
            <w:tcW w:w="0" w:type="auto"/>
            <w:gridSpan w:val="2"/>
            <w:tcBorders>
              <w:top w:val="single" w:sz="4" w:space="0" w:color="6B818C" w:themeColor="accent5"/>
              <w:bottom w:val="nil"/>
            </w:tcBorders>
            <w:vAlign w:val="center"/>
          </w:tcPr>
          <w:p w14:paraId="497A4D27" w14:textId="75DC915D" w:rsidR="00290561" w:rsidRPr="00FE73DE" w:rsidRDefault="00290561" w:rsidP="00DD3818">
            <w:pPr>
              <w:spacing w:before="40" w:after="40" w:line="240" w:lineRule="auto"/>
              <w:jc w:val="center"/>
              <w:rPr>
                <w:sz w:val="22"/>
              </w:rPr>
            </w:pPr>
            <w:r w:rsidRPr="00FE73DE">
              <w:rPr>
                <w:sz w:val="22"/>
              </w:rPr>
              <w:t>2017</w:t>
            </w:r>
            <w:r w:rsidR="00E77CAB">
              <w:rPr>
                <w:rFonts w:ascii="Franklin Gothic Book" w:hAnsi="Franklin Gothic Book"/>
                <w:sz w:val="22"/>
              </w:rPr>
              <w:t>–</w:t>
            </w:r>
            <w:r w:rsidRPr="00FE73DE">
              <w:rPr>
                <w:sz w:val="22"/>
              </w:rPr>
              <w:t>18</w:t>
            </w:r>
          </w:p>
        </w:tc>
        <w:tc>
          <w:tcPr>
            <w:tcW w:w="0" w:type="auto"/>
            <w:gridSpan w:val="2"/>
            <w:tcBorders>
              <w:top w:val="single" w:sz="4" w:space="0" w:color="6B818C" w:themeColor="accent5"/>
              <w:bottom w:val="nil"/>
              <w:right w:val="single" w:sz="18" w:space="0" w:color="6B818C" w:themeColor="accent5"/>
            </w:tcBorders>
            <w:vAlign w:val="center"/>
          </w:tcPr>
          <w:p w14:paraId="73EEAB74" w14:textId="4B571365" w:rsidR="00290561" w:rsidRPr="00FE73DE" w:rsidRDefault="00290561" w:rsidP="00DD3818">
            <w:pPr>
              <w:spacing w:before="40" w:after="40" w:line="240" w:lineRule="auto"/>
              <w:jc w:val="center"/>
              <w:rPr>
                <w:sz w:val="22"/>
              </w:rPr>
            </w:pPr>
            <w:r w:rsidRPr="00FE73DE">
              <w:rPr>
                <w:sz w:val="22"/>
              </w:rPr>
              <w:t>2018</w:t>
            </w:r>
            <w:r w:rsidR="00E77CAB">
              <w:rPr>
                <w:rFonts w:ascii="Franklin Gothic Book" w:hAnsi="Franklin Gothic Book"/>
                <w:sz w:val="22"/>
              </w:rPr>
              <w:t>–</w:t>
            </w:r>
            <w:r w:rsidRPr="00FE73DE">
              <w:rPr>
                <w:sz w:val="22"/>
              </w:rPr>
              <w:t>19</w:t>
            </w:r>
          </w:p>
        </w:tc>
        <w:tc>
          <w:tcPr>
            <w:tcW w:w="0" w:type="auto"/>
            <w:gridSpan w:val="2"/>
            <w:tcBorders>
              <w:top w:val="single" w:sz="4" w:space="0" w:color="6B818C" w:themeColor="accent5"/>
              <w:left w:val="single" w:sz="18" w:space="0" w:color="6B818C" w:themeColor="accent5"/>
              <w:bottom w:val="nil"/>
              <w:right w:val="single" w:sz="18" w:space="0" w:color="6B818C" w:themeColor="accent5"/>
            </w:tcBorders>
            <w:vAlign w:val="center"/>
          </w:tcPr>
          <w:p w14:paraId="26348817" w14:textId="7EC84EE4" w:rsidR="00290561" w:rsidRPr="00FE73DE" w:rsidRDefault="00290561" w:rsidP="00DD3818">
            <w:pPr>
              <w:spacing w:before="40" w:after="40" w:line="240" w:lineRule="auto"/>
              <w:jc w:val="center"/>
              <w:rPr>
                <w:sz w:val="22"/>
              </w:rPr>
            </w:pPr>
            <w:r w:rsidRPr="00FE73DE">
              <w:rPr>
                <w:sz w:val="22"/>
              </w:rPr>
              <w:t>2019</w:t>
            </w:r>
            <w:r w:rsidR="00E77CAB">
              <w:rPr>
                <w:rFonts w:ascii="Franklin Gothic Book" w:hAnsi="Franklin Gothic Book"/>
                <w:sz w:val="22"/>
              </w:rPr>
              <w:t>–</w:t>
            </w:r>
            <w:r w:rsidRPr="00FE73DE">
              <w:rPr>
                <w:sz w:val="22"/>
              </w:rPr>
              <w:t>20</w:t>
            </w:r>
          </w:p>
        </w:tc>
        <w:tc>
          <w:tcPr>
            <w:tcW w:w="0" w:type="auto"/>
            <w:gridSpan w:val="2"/>
            <w:tcBorders>
              <w:left w:val="single" w:sz="18" w:space="0" w:color="6B818C" w:themeColor="accent5"/>
              <w:bottom w:val="nil"/>
            </w:tcBorders>
            <w:vAlign w:val="center"/>
          </w:tcPr>
          <w:p w14:paraId="48559313" w14:textId="0556778B" w:rsidR="00290561" w:rsidRPr="00FE73DE" w:rsidRDefault="00290561" w:rsidP="00DD3818">
            <w:pPr>
              <w:spacing w:before="40" w:after="40" w:line="240" w:lineRule="auto"/>
              <w:jc w:val="center"/>
              <w:rPr>
                <w:sz w:val="22"/>
              </w:rPr>
            </w:pPr>
            <w:r w:rsidRPr="00FE73DE">
              <w:rPr>
                <w:sz w:val="22"/>
              </w:rPr>
              <w:t>2020</w:t>
            </w:r>
            <w:r w:rsidR="00E77CAB">
              <w:rPr>
                <w:rFonts w:ascii="Franklin Gothic Book" w:hAnsi="Franklin Gothic Book"/>
                <w:sz w:val="22"/>
              </w:rPr>
              <w:t>–</w:t>
            </w:r>
            <w:r w:rsidRPr="00FE73DE">
              <w:rPr>
                <w:sz w:val="22"/>
              </w:rPr>
              <w:t>21</w:t>
            </w:r>
          </w:p>
        </w:tc>
      </w:tr>
      <w:tr w:rsidR="00290561" w:rsidRPr="00FE73DE" w14:paraId="71F49F81" w14:textId="77777777" w:rsidTr="00290561">
        <w:tc>
          <w:tcPr>
            <w:tcW w:w="0" w:type="auto"/>
            <w:vMerge/>
            <w:tcBorders>
              <w:top w:val="nil"/>
              <w:bottom w:val="single" w:sz="4" w:space="0" w:color="6B818C" w:themeColor="accent5"/>
            </w:tcBorders>
            <w:vAlign w:val="center"/>
          </w:tcPr>
          <w:p w14:paraId="6CE31E75" w14:textId="77777777" w:rsidR="00290561" w:rsidRPr="00FE73DE" w:rsidRDefault="00290561" w:rsidP="00290561">
            <w:pPr>
              <w:spacing w:before="40" w:after="40" w:line="240" w:lineRule="auto"/>
              <w:jc w:val="left"/>
              <w:rPr>
                <w:sz w:val="22"/>
              </w:rPr>
            </w:pPr>
          </w:p>
        </w:tc>
        <w:tc>
          <w:tcPr>
            <w:tcW w:w="0" w:type="auto"/>
            <w:tcBorders>
              <w:top w:val="nil"/>
              <w:bottom w:val="single" w:sz="4" w:space="0" w:color="6B818C" w:themeColor="accent5"/>
            </w:tcBorders>
            <w:shd w:val="clear" w:color="auto" w:fill="E9EEF3"/>
            <w:vAlign w:val="center"/>
          </w:tcPr>
          <w:p w14:paraId="601456F4" w14:textId="77777777" w:rsidR="00290561" w:rsidRPr="00FE73DE" w:rsidRDefault="00290561" w:rsidP="00290561">
            <w:pPr>
              <w:spacing w:before="40" w:after="40" w:line="240" w:lineRule="auto"/>
              <w:jc w:val="left"/>
              <w:rPr>
                <w:i/>
                <w:iCs/>
                <w:sz w:val="20"/>
                <w:szCs w:val="20"/>
              </w:rPr>
            </w:pPr>
            <w:r w:rsidRPr="00FE73DE">
              <w:rPr>
                <w:i/>
                <w:iCs/>
                <w:sz w:val="20"/>
                <w:szCs w:val="20"/>
              </w:rPr>
              <w:t>Target</w:t>
            </w:r>
          </w:p>
        </w:tc>
        <w:tc>
          <w:tcPr>
            <w:tcW w:w="0" w:type="auto"/>
            <w:tcBorders>
              <w:top w:val="nil"/>
              <w:bottom w:val="single" w:sz="4" w:space="0" w:color="6B818C" w:themeColor="accent5"/>
              <w:right w:val="single" w:sz="18" w:space="0" w:color="6B818C" w:themeColor="accent5"/>
            </w:tcBorders>
            <w:shd w:val="clear" w:color="auto" w:fill="E9EEF3"/>
            <w:vAlign w:val="center"/>
          </w:tcPr>
          <w:p w14:paraId="0758B093" w14:textId="77777777" w:rsidR="00290561" w:rsidRPr="00FE73DE" w:rsidRDefault="00290561" w:rsidP="00290561">
            <w:pPr>
              <w:spacing w:before="40" w:after="40" w:line="240" w:lineRule="auto"/>
              <w:jc w:val="left"/>
              <w:rPr>
                <w:i/>
                <w:iCs/>
                <w:sz w:val="20"/>
                <w:szCs w:val="20"/>
              </w:rPr>
            </w:pPr>
            <w:r w:rsidRPr="00FE73DE">
              <w:rPr>
                <w:i/>
                <w:iCs/>
                <w:sz w:val="20"/>
                <w:szCs w:val="20"/>
              </w:rPr>
              <w:t>Result</w:t>
            </w:r>
          </w:p>
        </w:tc>
        <w:tc>
          <w:tcPr>
            <w:tcW w:w="0" w:type="auto"/>
            <w:tcBorders>
              <w:top w:val="nil"/>
              <w:left w:val="single" w:sz="18" w:space="0" w:color="6B818C" w:themeColor="accent5"/>
              <w:bottom w:val="single" w:sz="4" w:space="0" w:color="6B818C" w:themeColor="accent5"/>
            </w:tcBorders>
            <w:shd w:val="clear" w:color="auto" w:fill="E9EEF3"/>
            <w:vAlign w:val="center"/>
          </w:tcPr>
          <w:p w14:paraId="707ABA63" w14:textId="77777777" w:rsidR="00290561" w:rsidRPr="00FE73DE" w:rsidRDefault="00290561" w:rsidP="00290561">
            <w:pPr>
              <w:spacing w:before="40" w:after="40" w:line="240" w:lineRule="auto"/>
              <w:jc w:val="left"/>
              <w:rPr>
                <w:i/>
                <w:iCs/>
                <w:sz w:val="20"/>
                <w:szCs w:val="20"/>
              </w:rPr>
            </w:pPr>
            <w:r w:rsidRPr="00FE73DE">
              <w:rPr>
                <w:i/>
                <w:iCs/>
                <w:sz w:val="20"/>
                <w:szCs w:val="20"/>
              </w:rPr>
              <w:t>Target</w:t>
            </w:r>
          </w:p>
        </w:tc>
        <w:tc>
          <w:tcPr>
            <w:tcW w:w="0" w:type="auto"/>
            <w:tcBorders>
              <w:top w:val="nil"/>
              <w:bottom w:val="single" w:sz="4" w:space="0" w:color="6B818C" w:themeColor="accent5"/>
              <w:right w:val="single" w:sz="18" w:space="0" w:color="6B818C" w:themeColor="accent5"/>
            </w:tcBorders>
            <w:shd w:val="clear" w:color="auto" w:fill="E9EEF3"/>
            <w:vAlign w:val="center"/>
          </w:tcPr>
          <w:p w14:paraId="2F4D50A4" w14:textId="77777777" w:rsidR="00290561" w:rsidRPr="00FE73DE" w:rsidRDefault="00290561" w:rsidP="00290561">
            <w:pPr>
              <w:spacing w:before="40" w:after="40" w:line="240" w:lineRule="auto"/>
              <w:jc w:val="left"/>
              <w:rPr>
                <w:i/>
                <w:iCs/>
                <w:sz w:val="20"/>
                <w:szCs w:val="20"/>
              </w:rPr>
            </w:pPr>
            <w:r w:rsidRPr="00FE73DE">
              <w:rPr>
                <w:i/>
                <w:iCs/>
                <w:sz w:val="20"/>
                <w:szCs w:val="20"/>
              </w:rPr>
              <w:t>Result</w:t>
            </w:r>
          </w:p>
        </w:tc>
        <w:tc>
          <w:tcPr>
            <w:tcW w:w="0" w:type="auto"/>
            <w:tcBorders>
              <w:top w:val="nil"/>
              <w:left w:val="single" w:sz="18" w:space="0" w:color="6B818C" w:themeColor="accent5"/>
              <w:bottom w:val="single" w:sz="4" w:space="0" w:color="6B818C" w:themeColor="accent5"/>
            </w:tcBorders>
            <w:shd w:val="clear" w:color="auto" w:fill="E9EEF3"/>
            <w:vAlign w:val="center"/>
          </w:tcPr>
          <w:p w14:paraId="441B73FA" w14:textId="77777777" w:rsidR="00290561" w:rsidRPr="00FE73DE" w:rsidRDefault="00290561" w:rsidP="00290561">
            <w:pPr>
              <w:spacing w:before="40" w:after="40" w:line="240" w:lineRule="auto"/>
              <w:jc w:val="left"/>
              <w:rPr>
                <w:i/>
                <w:iCs/>
                <w:sz w:val="20"/>
                <w:szCs w:val="20"/>
              </w:rPr>
            </w:pPr>
            <w:r w:rsidRPr="00FE73DE">
              <w:rPr>
                <w:i/>
                <w:iCs/>
                <w:sz w:val="20"/>
                <w:szCs w:val="20"/>
              </w:rPr>
              <w:t>Target</w:t>
            </w:r>
          </w:p>
        </w:tc>
        <w:tc>
          <w:tcPr>
            <w:tcW w:w="0" w:type="auto"/>
            <w:tcBorders>
              <w:top w:val="nil"/>
              <w:bottom w:val="single" w:sz="4" w:space="0" w:color="6B818C" w:themeColor="accent5"/>
              <w:right w:val="single" w:sz="18" w:space="0" w:color="6B818C" w:themeColor="accent5"/>
            </w:tcBorders>
            <w:shd w:val="clear" w:color="auto" w:fill="E9EEF3"/>
            <w:vAlign w:val="center"/>
          </w:tcPr>
          <w:p w14:paraId="6C3D13D6" w14:textId="77777777" w:rsidR="00290561" w:rsidRPr="00FE73DE" w:rsidRDefault="00290561" w:rsidP="00290561">
            <w:pPr>
              <w:spacing w:before="40" w:after="40" w:line="240" w:lineRule="auto"/>
              <w:jc w:val="left"/>
              <w:rPr>
                <w:i/>
                <w:iCs/>
                <w:sz w:val="20"/>
                <w:szCs w:val="20"/>
              </w:rPr>
            </w:pPr>
            <w:r w:rsidRPr="00FE73DE">
              <w:rPr>
                <w:i/>
                <w:iCs/>
                <w:sz w:val="20"/>
                <w:szCs w:val="20"/>
              </w:rPr>
              <w:t>Result</w:t>
            </w:r>
          </w:p>
        </w:tc>
        <w:tc>
          <w:tcPr>
            <w:tcW w:w="0" w:type="auto"/>
            <w:tcBorders>
              <w:top w:val="nil"/>
              <w:left w:val="single" w:sz="18" w:space="0" w:color="6B818C" w:themeColor="accent5"/>
              <w:bottom w:val="single" w:sz="4" w:space="0" w:color="6B818C" w:themeColor="accent5"/>
            </w:tcBorders>
            <w:shd w:val="clear" w:color="auto" w:fill="E9EEF3"/>
            <w:vAlign w:val="center"/>
          </w:tcPr>
          <w:p w14:paraId="7E2EE6A9" w14:textId="77777777" w:rsidR="00290561" w:rsidRPr="00FE73DE" w:rsidRDefault="00290561" w:rsidP="00290561">
            <w:pPr>
              <w:spacing w:before="40" w:after="40" w:line="240" w:lineRule="auto"/>
              <w:jc w:val="left"/>
              <w:rPr>
                <w:i/>
                <w:iCs/>
                <w:sz w:val="20"/>
                <w:szCs w:val="20"/>
              </w:rPr>
            </w:pPr>
            <w:r w:rsidRPr="00FE73DE">
              <w:rPr>
                <w:i/>
                <w:iCs/>
                <w:sz w:val="20"/>
                <w:szCs w:val="20"/>
              </w:rPr>
              <w:t>Target</w:t>
            </w:r>
          </w:p>
        </w:tc>
        <w:tc>
          <w:tcPr>
            <w:tcW w:w="0" w:type="auto"/>
            <w:tcBorders>
              <w:top w:val="nil"/>
              <w:bottom w:val="single" w:sz="4" w:space="0" w:color="6B818C" w:themeColor="accent5"/>
            </w:tcBorders>
            <w:shd w:val="clear" w:color="auto" w:fill="E9EEF3"/>
            <w:vAlign w:val="center"/>
          </w:tcPr>
          <w:p w14:paraId="6853CD37" w14:textId="77777777" w:rsidR="00290561" w:rsidRPr="00FE73DE" w:rsidRDefault="00290561" w:rsidP="00290561">
            <w:pPr>
              <w:spacing w:before="40" w:after="40" w:line="240" w:lineRule="auto"/>
              <w:jc w:val="left"/>
              <w:rPr>
                <w:i/>
                <w:iCs/>
                <w:sz w:val="20"/>
                <w:szCs w:val="20"/>
              </w:rPr>
            </w:pPr>
            <w:r w:rsidRPr="00FE73DE">
              <w:rPr>
                <w:i/>
                <w:iCs/>
                <w:sz w:val="20"/>
                <w:szCs w:val="20"/>
              </w:rPr>
              <w:t>Result</w:t>
            </w:r>
          </w:p>
        </w:tc>
      </w:tr>
      <w:tr w:rsidR="00290561" w:rsidRPr="00FE73DE" w14:paraId="044D7815"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5098009D" w14:textId="77777777" w:rsidR="00290561" w:rsidRPr="00FE73DE" w:rsidRDefault="00290561">
            <w:pPr>
              <w:pStyle w:val="ListParagraph"/>
              <w:numPr>
                <w:ilvl w:val="0"/>
                <w:numId w:val="24"/>
              </w:numPr>
              <w:spacing w:before="40" w:after="40" w:line="240" w:lineRule="auto"/>
              <w:jc w:val="left"/>
              <w:rPr>
                <w:sz w:val="20"/>
                <w:szCs w:val="20"/>
              </w:rPr>
            </w:pPr>
            <w:r w:rsidRPr="00FE73DE">
              <w:rPr>
                <w:sz w:val="20"/>
                <w:szCs w:val="20"/>
              </w:rPr>
              <w:t xml:space="preserve">Number and proportion of Indigenous people employed in the delivery of the project (KPI is mandatory under the IAS) </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725C5E79" w14:textId="77777777" w:rsidR="00290561" w:rsidRPr="00FE73DE" w:rsidRDefault="00290561" w:rsidP="00290561">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5CA1472F" w14:textId="77777777" w:rsidR="00290561" w:rsidRPr="00FE73DE" w:rsidRDefault="00290561" w:rsidP="00290561">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234C066" w14:textId="77777777" w:rsidR="00290561" w:rsidRPr="00FE73DE" w:rsidRDefault="00290561" w:rsidP="00290561">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2CC5D93B" w14:textId="77777777" w:rsidR="00290561" w:rsidRPr="00FE73DE" w:rsidRDefault="00290561" w:rsidP="00290561">
            <w:pPr>
              <w:spacing w:before="40" w:after="40" w:line="240" w:lineRule="auto"/>
              <w:jc w:val="left"/>
              <w:rPr>
                <w:sz w:val="20"/>
                <w:szCs w:val="20"/>
              </w:rPr>
            </w:pPr>
            <w:r w:rsidRPr="00FE73DE">
              <w:rPr>
                <w:sz w:val="20"/>
                <w:szCs w:val="20"/>
              </w:rPr>
              <w:t>33.4%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D2B6D8C" w14:textId="77777777" w:rsidR="00290561" w:rsidRPr="00FE73DE" w:rsidRDefault="00290561" w:rsidP="00290561">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461667C7" w14:textId="77777777" w:rsidR="00290561" w:rsidRPr="00FE73DE" w:rsidRDefault="00290561" w:rsidP="00290561">
            <w:pPr>
              <w:spacing w:before="40" w:after="40" w:line="240" w:lineRule="auto"/>
              <w:jc w:val="left"/>
              <w:rPr>
                <w:sz w:val="20"/>
                <w:szCs w:val="20"/>
              </w:rPr>
            </w:pPr>
            <w:r w:rsidRPr="00FE73DE">
              <w:rPr>
                <w:sz w:val="20"/>
                <w:szCs w:val="20"/>
              </w:rPr>
              <w:t>34.33%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49827EA" w14:textId="77777777" w:rsidR="00290561" w:rsidRPr="00FE73DE" w:rsidRDefault="00290561" w:rsidP="00290561">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tcBorders>
            <w:shd w:val="clear" w:color="auto" w:fill="F2F2F2" w:themeFill="background1" w:themeFillShade="F2"/>
            <w:vAlign w:val="center"/>
          </w:tcPr>
          <w:p w14:paraId="3C40280E" w14:textId="77777777" w:rsidR="00290561" w:rsidRPr="00FE73DE" w:rsidRDefault="00290561" w:rsidP="00290561">
            <w:pPr>
              <w:spacing w:before="40" w:after="40" w:line="240" w:lineRule="auto"/>
              <w:jc w:val="left"/>
              <w:rPr>
                <w:sz w:val="20"/>
                <w:szCs w:val="20"/>
              </w:rPr>
            </w:pPr>
            <w:r w:rsidRPr="00FE73DE">
              <w:rPr>
                <w:sz w:val="20"/>
                <w:szCs w:val="20"/>
              </w:rPr>
              <w:t>35.19%</w:t>
            </w:r>
          </w:p>
        </w:tc>
      </w:tr>
      <w:tr w:rsidR="0031689B" w:rsidRPr="00FE73DE" w14:paraId="259D8A3C" w14:textId="77777777" w:rsidTr="00102BEB">
        <w:tc>
          <w:tcPr>
            <w:tcW w:w="0" w:type="auto"/>
            <w:tcBorders>
              <w:top w:val="single" w:sz="4" w:space="0" w:color="6B818C" w:themeColor="accent5"/>
              <w:bottom w:val="single" w:sz="4" w:space="0" w:color="6B818C" w:themeColor="accent5"/>
            </w:tcBorders>
            <w:shd w:val="clear" w:color="auto" w:fill="FFFFFF" w:themeFill="background1"/>
            <w:vAlign w:val="center"/>
          </w:tcPr>
          <w:p w14:paraId="2FAD9FA3" w14:textId="4ED21FD1"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Number of individual businesses and organisations (customers) who received IBA capability development or other support (internal support)</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32D1FE84" w14:textId="2D846DDB" w:rsidR="0031689B" w:rsidRPr="00FE73DE" w:rsidRDefault="0031689B" w:rsidP="0031689B">
            <w:pPr>
              <w:spacing w:before="40" w:after="40" w:line="240" w:lineRule="auto"/>
              <w:jc w:val="left"/>
              <w:rPr>
                <w:sz w:val="20"/>
                <w:szCs w:val="20"/>
              </w:rPr>
            </w:pPr>
            <w:r w:rsidRPr="00FE73DE">
              <w:rPr>
                <w:sz w:val="20"/>
                <w:szCs w:val="20"/>
              </w:rPr>
              <w:t>900</w:t>
            </w:r>
            <w:r w:rsidRPr="00FE73DE">
              <w:rPr>
                <w:rStyle w:val="FootnoteReference"/>
                <w:sz w:val="20"/>
                <w:szCs w:val="20"/>
              </w:rPr>
              <w:footnoteReference w:id="24"/>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3D1DE0AD" w14:textId="5E22DEAD" w:rsidR="0031689B" w:rsidRPr="00FE73DE" w:rsidRDefault="0031689B" w:rsidP="0031689B">
            <w:pPr>
              <w:spacing w:before="40" w:after="40" w:line="240" w:lineRule="auto"/>
              <w:jc w:val="left"/>
              <w:rPr>
                <w:sz w:val="20"/>
                <w:szCs w:val="20"/>
              </w:rPr>
            </w:pPr>
            <w:r w:rsidRPr="00FE73DE">
              <w:rPr>
                <w:sz w:val="20"/>
                <w:szCs w:val="20"/>
              </w:rPr>
              <w:t>1,420</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E4114B4" w14:textId="45506232" w:rsidR="0031689B" w:rsidRPr="00FE73DE" w:rsidRDefault="0031689B" w:rsidP="0031689B">
            <w:pPr>
              <w:spacing w:before="40" w:after="40" w:line="240" w:lineRule="auto"/>
              <w:jc w:val="left"/>
              <w:rPr>
                <w:sz w:val="20"/>
                <w:szCs w:val="20"/>
              </w:rPr>
            </w:pPr>
            <w:r w:rsidRPr="00FE73DE">
              <w:rPr>
                <w:sz w:val="20"/>
                <w:szCs w:val="20"/>
              </w:rPr>
              <w:t>900</w:t>
            </w:r>
            <w:r w:rsidRPr="00FE73DE">
              <w:rPr>
                <w:rStyle w:val="FootnoteReference"/>
                <w:sz w:val="20"/>
                <w:szCs w:val="20"/>
              </w:rPr>
              <w:footnoteReference w:id="25"/>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1C41EA5" w14:textId="6FAAB3B5" w:rsidR="0031689B" w:rsidRPr="00FE73DE" w:rsidRDefault="0031689B" w:rsidP="0031689B">
            <w:pPr>
              <w:spacing w:before="40" w:after="40" w:line="240" w:lineRule="auto"/>
              <w:jc w:val="left"/>
              <w:rPr>
                <w:sz w:val="20"/>
                <w:szCs w:val="20"/>
              </w:rPr>
            </w:pPr>
            <w:r w:rsidRPr="00FE73DE">
              <w:rPr>
                <w:sz w:val="20"/>
                <w:szCs w:val="20"/>
              </w:rPr>
              <w:t>953</w:t>
            </w:r>
          </w:p>
        </w:tc>
        <w:tc>
          <w:tcPr>
            <w:tcW w:w="0" w:type="auto"/>
            <w:vMerge w:val="restart"/>
            <w:tcBorders>
              <w:top w:val="single" w:sz="4" w:space="0" w:color="6B818C" w:themeColor="accent5"/>
              <w:left w:val="single" w:sz="18" w:space="0" w:color="6B818C" w:themeColor="accent5"/>
            </w:tcBorders>
            <w:shd w:val="clear" w:color="auto" w:fill="FFFFFF" w:themeFill="background1"/>
            <w:vAlign w:val="center"/>
          </w:tcPr>
          <w:p w14:paraId="148413F0" w14:textId="77777777" w:rsidR="0031689B" w:rsidRPr="00FE73DE" w:rsidRDefault="0031689B" w:rsidP="0031689B">
            <w:pPr>
              <w:spacing w:before="40" w:after="40" w:line="240" w:lineRule="auto"/>
              <w:jc w:val="left"/>
              <w:rPr>
                <w:sz w:val="20"/>
                <w:szCs w:val="20"/>
              </w:rPr>
            </w:pPr>
            <w:r w:rsidRPr="00FE73DE">
              <w:rPr>
                <w:sz w:val="20"/>
                <w:szCs w:val="20"/>
              </w:rPr>
              <w:t xml:space="preserve">450 </w:t>
            </w:r>
          </w:p>
          <w:p w14:paraId="3BD8974E" w14:textId="496FA663" w:rsidR="0031689B" w:rsidRPr="00FE73DE" w:rsidRDefault="0031689B" w:rsidP="0031689B">
            <w:pPr>
              <w:spacing w:before="40" w:after="40" w:line="240" w:lineRule="auto"/>
              <w:jc w:val="left"/>
              <w:rPr>
                <w:sz w:val="20"/>
                <w:szCs w:val="20"/>
              </w:rPr>
            </w:pPr>
            <w:r w:rsidRPr="00FE73DE">
              <w:rPr>
                <w:sz w:val="20"/>
                <w:szCs w:val="20"/>
              </w:rPr>
              <w:t>(</w:t>
            </w:r>
            <w:r w:rsidR="00FF6BC2" w:rsidRPr="00FE73DE">
              <w:rPr>
                <w:sz w:val="20"/>
                <w:szCs w:val="20"/>
              </w:rPr>
              <w:t>Across</w:t>
            </w:r>
            <w:r w:rsidRPr="00FE73DE">
              <w:rPr>
                <w:sz w:val="20"/>
                <w:szCs w:val="20"/>
              </w:rPr>
              <w:t xml:space="preserve"> both)</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7F314C5F" w14:textId="341BC386" w:rsidR="0031689B" w:rsidRPr="00FE73DE" w:rsidRDefault="0031689B" w:rsidP="0031689B">
            <w:pPr>
              <w:spacing w:before="40" w:after="40" w:line="240" w:lineRule="auto"/>
              <w:jc w:val="left"/>
              <w:rPr>
                <w:sz w:val="20"/>
                <w:szCs w:val="20"/>
              </w:rPr>
            </w:pPr>
            <w:r w:rsidRPr="00FE73DE">
              <w:rPr>
                <w:sz w:val="20"/>
                <w:szCs w:val="20"/>
              </w:rPr>
              <w:t>250</w:t>
            </w:r>
          </w:p>
        </w:tc>
        <w:tc>
          <w:tcPr>
            <w:tcW w:w="0" w:type="auto"/>
            <w:vMerge w:val="restart"/>
            <w:tcBorders>
              <w:top w:val="single" w:sz="4" w:space="0" w:color="6B818C" w:themeColor="accent5"/>
              <w:left w:val="single" w:sz="18" w:space="0" w:color="6B818C" w:themeColor="accent5"/>
            </w:tcBorders>
            <w:shd w:val="clear" w:color="auto" w:fill="FFFFFF" w:themeFill="background1"/>
            <w:vAlign w:val="center"/>
          </w:tcPr>
          <w:p w14:paraId="230A6113" w14:textId="77777777" w:rsidR="0031689B" w:rsidRPr="00FE73DE" w:rsidRDefault="0031689B" w:rsidP="0031689B">
            <w:pPr>
              <w:spacing w:before="40" w:after="40" w:line="240" w:lineRule="auto"/>
              <w:jc w:val="left"/>
              <w:rPr>
                <w:sz w:val="20"/>
                <w:szCs w:val="20"/>
              </w:rPr>
            </w:pPr>
            <w:r w:rsidRPr="00FE73DE">
              <w:rPr>
                <w:sz w:val="20"/>
                <w:szCs w:val="20"/>
              </w:rPr>
              <w:t xml:space="preserve">450 </w:t>
            </w:r>
          </w:p>
          <w:p w14:paraId="214BCBD4" w14:textId="0B146C79" w:rsidR="0031689B" w:rsidRPr="00FE73DE" w:rsidRDefault="0031689B" w:rsidP="0031689B">
            <w:pPr>
              <w:spacing w:before="40" w:after="40" w:line="240" w:lineRule="auto"/>
              <w:jc w:val="left"/>
              <w:rPr>
                <w:sz w:val="20"/>
                <w:szCs w:val="20"/>
              </w:rPr>
            </w:pPr>
            <w:r w:rsidRPr="00FE73DE">
              <w:rPr>
                <w:sz w:val="20"/>
                <w:szCs w:val="20"/>
              </w:rPr>
              <w:t>(</w:t>
            </w:r>
            <w:r w:rsidR="00FF6BC2" w:rsidRPr="00FE73DE">
              <w:rPr>
                <w:sz w:val="20"/>
                <w:szCs w:val="20"/>
              </w:rPr>
              <w:t>Across</w:t>
            </w:r>
            <w:r w:rsidRPr="00FE73DE">
              <w:rPr>
                <w:sz w:val="20"/>
                <w:szCs w:val="20"/>
              </w:rPr>
              <w:t xml:space="preserve"> both)</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73D74C78" w14:textId="7DD73E53" w:rsidR="0031689B" w:rsidRPr="00FE73DE" w:rsidRDefault="0031689B" w:rsidP="0031689B">
            <w:pPr>
              <w:spacing w:before="40" w:after="40" w:line="240" w:lineRule="auto"/>
              <w:jc w:val="left"/>
              <w:rPr>
                <w:sz w:val="20"/>
                <w:szCs w:val="20"/>
              </w:rPr>
            </w:pPr>
            <w:r w:rsidRPr="00FE73DE">
              <w:rPr>
                <w:sz w:val="20"/>
                <w:szCs w:val="20"/>
              </w:rPr>
              <w:t>308</w:t>
            </w:r>
          </w:p>
        </w:tc>
      </w:tr>
      <w:tr w:rsidR="0031689B" w:rsidRPr="00FE73DE" w14:paraId="5169AE45" w14:textId="77777777" w:rsidTr="00102BEB">
        <w:tc>
          <w:tcPr>
            <w:tcW w:w="0" w:type="auto"/>
            <w:tcBorders>
              <w:top w:val="single" w:sz="4" w:space="0" w:color="6B818C" w:themeColor="accent5"/>
              <w:bottom w:val="single" w:sz="4" w:space="0" w:color="6B818C" w:themeColor="accent5"/>
            </w:tcBorders>
            <w:shd w:val="clear" w:color="auto" w:fill="FFFFFF" w:themeFill="background1"/>
            <w:vAlign w:val="center"/>
          </w:tcPr>
          <w:p w14:paraId="2B046CAF"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Number of individual businesses and organisations (customers) who received IBA capability development or other support (external support)</w:t>
            </w:r>
          </w:p>
        </w:tc>
        <w:tc>
          <w:tcPr>
            <w:tcW w:w="0" w:type="auto"/>
            <w:tcBorders>
              <w:top w:val="single" w:sz="4" w:space="0" w:color="6B818C" w:themeColor="accent5"/>
            </w:tcBorders>
            <w:shd w:val="clear" w:color="auto" w:fill="FFFFFF" w:themeFill="background1"/>
            <w:vAlign w:val="center"/>
          </w:tcPr>
          <w:p w14:paraId="63CA521C" w14:textId="77777777" w:rsidR="0031689B" w:rsidRPr="00FE73DE" w:rsidRDefault="0031689B" w:rsidP="0031689B">
            <w:pPr>
              <w:spacing w:before="40" w:after="40" w:line="240" w:lineRule="auto"/>
              <w:jc w:val="left"/>
              <w:rPr>
                <w:sz w:val="20"/>
                <w:szCs w:val="20"/>
              </w:rPr>
            </w:pPr>
            <w:r w:rsidRPr="00FE73DE">
              <w:rPr>
                <w:sz w:val="20"/>
                <w:szCs w:val="20"/>
              </w:rPr>
              <w:t>200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3BCE286" w14:textId="0F04FC03" w:rsidR="0031689B" w:rsidRPr="00FE73DE" w:rsidRDefault="0031689B" w:rsidP="0031689B">
            <w:pPr>
              <w:spacing w:before="40" w:after="40" w:line="240" w:lineRule="auto"/>
              <w:jc w:val="left"/>
              <w:rPr>
                <w:sz w:val="20"/>
                <w:szCs w:val="20"/>
              </w:rPr>
            </w:pPr>
            <w:r w:rsidRPr="00FE73DE">
              <w:rPr>
                <w:sz w:val="20"/>
                <w:szCs w:val="20"/>
              </w:rPr>
              <w:t>339</w:t>
            </w:r>
          </w:p>
        </w:tc>
        <w:tc>
          <w:tcPr>
            <w:tcW w:w="0" w:type="auto"/>
            <w:tcBorders>
              <w:top w:val="single" w:sz="4" w:space="0" w:color="6B818C" w:themeColor="accent5"/>
              <w:left w:val="single" w:sz="18" w:space="0" w:color="6B818C" w:themeColor="accent5"/>
            </w:tcBorders>
            <w:shd w:val="clear" w:color="auto" w:fill="FFFFFF" w:themeFill="background1"/>
            <w:vAlign w:val="center"/>
          </w:tcPr>
          <w:p w14:paraId="604B0D2A" w14:textId="77777777" w:rsidR="0031689B" w:rsidRPr="00FE73DE" w:rsidRDefault="0031689B" w:rsidP="0031689B">
            <w:pPr>
              <w:spacing w:before="40" w:after="40" w:line="240" w:lineRule="auto"/>
              <w:jc w:val="left"/>
              <w:rPr>
                <w:sz w:val="20"/>
                <w:szCs w:val="20"/>
              </w:rPr>
            </w:pPr>
            <w:r w:rsidRPr="00FE73DE">
              <w:rPr>
                <w:sz w:val="20"/>
                <w:szCs w:val="20"/>
              </w:rPr>
              <w:t>200</w:t>
            </w:r>
          </w:p>
        </w:tc>
        <w:tc>
          <w:tcPr>
            <w:tcW w:w="0" w:type="auto"/>
            <w:tcBorders>
              <w:top w:val="single" w:sz="4" w:space="0" w:color="6B818C" w:themeColor="accent5"/>
              <w:right w:val="single" w:sz="18" w:space="0" w:color="6B818C" w:themeColor="accent5"/>
            </w:tcBorders>
            <w:shd w:val="clear" w:color="auto" w:fill="E1F1D7" w:themeFill="accent2" w:themeFillTint="33"/>
            <w:vAlign w:val="center"/>
          </w:tcPr>
          <w:p w14:paraId="3A44DFF9" w14:textId="77777777" w:rsidR="0031689B" w:rsidRPr="00FE73DE" w:rsidRDefault="0031689B" w:rsidP="0031689B">
            <w:pPr>
              <w:spacing w:before="40" w:after="40" w:line="240" w:lineRule="auto"/>
              <w:jc w:val="left"/>
              <w:rPr>
                <w:sz w:val="20"/>
                <w:szCs w:val="20"/>
              </w:rPr>
            </w:pPr>
            <w:r w:rsidRPr="00FE73DE">
              <w:rPr>
                <w:sz w:val="20"/>
                <w:szCs w:val="20"/>
              </w:rPr>
              <w:t>289</w:t>
            </w:r>
          </w:p>
        </w:tc>
        <w:tc>
          <w:tcPr>
            <w:tcW w:w="0" w:type="auto"/>
            <w:vMerge/>
            <w:tcBorders>
              <w:left w:val="single" w:sz="18" w:space="0" w:color="6B818C" w:themeColor="accent5"/>
            </w:tcBorders>
            <w:shd w:val="clear" w:color="auto" w:fill="FFFFFF" w:themeFill="background1"/>
            <w:vAlign w:val="center"/>
          </w:tcPr>
          <w:p w14:paraId="6466BAC4" w14:textId="497E7CBC" w:rsidR="0031689B" w:rsidRPr="00FE73DE" w:rsidRDefault="0031689B" w:rsidP="0031689B">
            <w:pPr>
              <w:spacing w:before="40" w:after="40" w:line="240" w:lineRule="auto"/>
              <w:jc w:val="left"/>
              <w:rPr>
                <w:sz w:val="20"/>
                <w:szCs w:val="20"/>
              </w:rPr>
            </w:pP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5417EF4E" w14:textId="3F1D11C4" w:rsidR="0031689B" w:rsidRPr="00FE73DE" w:rsidRDefault="0031689B" w:rsidP="0031689B">
            <w:pPr>
              <w:spacing w:before="40" w:after="40" w:line="240" w:lineRule="auto"/>
              <w:jc w:val="left"/>
              <w:rPr>
                <w:sz w:val="20"/>
                <w:szCs w:val="20"/>
              </w:rPr>
            </w:pPr>
            <w:r w:rsidRPr="00FE73DE">
              <w:rPr>
                <w:sz w:val="20"/>
                <w:szCs w:val="20"/>
              </w:rPr>
              <w:t>244</w:t>
            </w:r>
          </w:p>
        </w:tc>
        <w:tc>
          <w:tcPr>
            <w:tcW w:w="0" w:type="auto"/>
            <w:vMerge/>
            <w:tcBorders>
              <w:left w:val="single" w:sz="18" w:space="0" w:color="6B818C" w:themeColor="accent5"/>
            </w:tcBorders>
            <w:shd w:val="clear" w:color="auto" w:fill="FFFFFF" w:themeFill="background1"/>
            <w:vAlign w:val="center"/>
          </w:tcPr>
          <w:p w14:paraId="1EBF4A98" w14:textId="62C10C86" w:rsidR="0031689B" w:rsidRPr="00FE73DE" w:rsidRDefault="0031689B" w:rsidP="0031689B">
            <w:pPr>
              <w:spacing w:before="40" w:after="40" w:line="240" w:lineRule="auto"/>
              <w:jc w:val="left"/>
              <w:rPr>
                <w:sz w:val="20"/>
                <w:szCs w:val="20"/>
              </w:rPr>
            </w:pP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2B9D6CF5" w14:textId="313124A7" w:rsidR="0031689B" w:rsidRPr="00FE73DE" w:rsidRDefault="0031689B" w:rsidP="0031689B">
            <w:pPr>
              <w:spacing w:before="40" w:after="40" w:line="240" w:lineRule="auto"/>
              <w:jc w:val="left"/>
              <w:rPr>
                <w:sz w:val="20"/>
                <w:szCs w:val="20"/>
              </w:rPr>
            </w:pPr>
            <w:r w:rsidRPr="00FE73DE">
              <w:rPr>
                <w:sz w:val="20"/>
                <w:szCs w:val="20"/>
              </w:rPr>
              <w:t>157</w:t>
            </w:r>
          </w:p>
        </w:tc>
      </w:tr>
      <w:tr w:rsidR="0031689B" w:rsidRPr="00FE73DE" w14:paraId="47795881"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7E421CDD"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Percentage of supported businesses and organisations in regional or remote Australia</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495A37C1"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2519CF7E" w14:textId="77777777" w:rsidR="0031689B" w:rsidRPr="00FE73DE" w:rsidRDefault="0031689B" w:rsidP="0031689B">
            <w:pPr>
              <w:spacing w:before="40" w:after="40" w:line="240" w:lineRule="auto"/>
              <w:jc w:val="left"/>
              <w:rPr>
                <w:sz w:val="20"/>
                <w:szCs w:val="20"/>
              </w:rPr>
            </w:pPr>
            <w:r w:rsidRPr="00FE73DE">
              <w:rPr>
                <w:sz w:val="20"/>
                <w:szCs w:val="20"/>
              </w:rPr>
              <w:t>58%</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A39C939"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45E96F3E" w14:textId="77777777" w:rsidR="0031689B" w:rsidRPr="00FE73DE" w:rsidRDefault="0031689B" w:rsidP="0031689B">
            <w:pPr>
              <w:spacing w:before="40" w:after="40" w:line="240" w:lineRule="auto"/>
              <w:jc w:val="left"/>
              <w:rPr>
                <w:sz w:val="20"/>
                <w:szCs w:val="20"/>
              </w:rPr>
            </w:pPr>
            <w:r w:rsidRPr="00FE73DE">
              <w:rPr>
                <w:sz w:val="20"/>
                <w:szCs w:val="20"/>
              </w:rPr>
              <w:t>61.5%</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275D67B4"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4560377C" w14:textId="77777777" w:rsidR="0031689B" w:rsidRPr="00FE73DE" w:rsidRDefault="0031689B" w:rsidP="0031689B">
            <w:pPr>
              <w:spacing w:before="40" w:after="40" w:line="240" w:lineRule="auto"/>
              <w:jc w:val="left"/>
              <w:rPr>
                <w:sz w:val="20"/>
                <w:szCs w:val="20"/>
              </w:rPr>
            </w:pPr>
            <w:r w:rsidRPr="00FE73DE">
              <w:rPr>
                <w:sz w:val="20"/>
                <w:szCs w:val="20"/>
              </w:rPr>
              <w:t>62%</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173D7ABF"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2C9ABE0A" w14:textId="77777777" w:rsidR="0031689B" w:rsidRPr="00FE73DE" w:rsidRDefault="0031689B" w:rsidP="0031689B">
            <w:pPr>
              <w:spacing w:before="40" w:after="40" w:line="240" w:lineRule="auto"/>
              <w:jc w:val="left"/>
              <w:rPr>
                <w:sz w:val="20"/>
                <w:szCs w:val="20"/>
              </w:rPr>
            </w:pPr>
            <w:r w:rsidRPr="00FE73DE">
              <w:rPr>
                <w:sz w:val="20"/>
                <w:szCs w:val="20"/>
              </w:rPr>
              <w:t>56%</w:t>
            </w:r>
          </w:p>
        </w:tc>
      </w:tr>
      <w:tr w:rsidR="0031689B" w:rsidRPr="00FE73DE" w14:paraId="5E292077"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154522A9"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Number of individual financed businesses and organisations in the reporting period</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184F600C"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38247E1B" w14:textId="77777777" w:rsidR="0031689B" w:rsidRPr="00FE73DE" w:rsidRDefault="0031689B" w:rsidP="0031689B">
            <w:pPr>
              <w:spacing w:before="40" w:after="40" w:line="240" w:lineRule="auto"/>
              <w:jc w:val="left"/>
              <w:rPr>
                <w:sz w:val="20"/>
                <w:szCs w:val="20"/>
              </w:rPr>
            </w:pPr>
            <w:r w:rsidRPr="00FE73DE">
              <w:rPr>
                <w:sz w:val="20"/>
                <w:szCs w:val="20"/>
              </w:rPr>
              <w:t>239</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B06B22A"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7AEDE5B9" w14:textId="77777777" w:rsidR="0031689B" w:rsidRPr="00FE73DE" w:rsidRDefault="0031689B" w:rsidP="0031689B">
            <w:pPr>
              <w:spacing w:before="40" w:after="40" w:line="240" w:lineRule="auto"/>
              <w:jc w:val="left"/>
              <w:rPr>
                <w:sz w:val="20"/>
                <w:szCs w:val="20"/>
              </w:rPr>
            </w:pPr>
            <w:r w:rsidRPr="00FE73DE">
              <w:rPr>
                <w:sz w:val="20"/>
                <w:szCs w:val="20"/>
              </w:rPr>
              <w:t>148</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1392DCC7"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042C676F" w14:textId="77777777" w:rsidR="0031689B" w:rsidRPr="00FE73DE" w:rsidRDefault="0031689B" w:rsidP="0031689B">
            <w:pPr>
              <w:spacing w:before="40" w:after="40" w:line="240" w:lineRule="auto"/>
              <w:jc w:val="left"/>
              <w:rPr>
                <w:sz w:val="20"/>
                <w:szCs w:val="20"/>
              </w:rPr>
            </w:pPr>
            <w:r w:rsidRPr="00FE73DE">
              <w:rPr>
                <w:sz w:val="20"/>
                <w:szCs w:val="20"/>
              </w:rPr>
              <w:t>118</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688B616"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35BE3CA4" w14:textId="77777777" w:rsidR="0031689B" w:rsidRPr="00FE73DE" w:rsidRDefault="0031689B" w:rsidP="0031689B">
            <w:pPr>
              <w:spacing w:before="40" w:after="40" w:line="240" w:lineRule="auto"/>
              <w:jc w:val="left"/>
              <w:rPr>
                <w:sz w:val="20"/>
                <w:szCs w:val="20"/>
              </w:rPr>
            </w:pPr>
            <w:r w:rsidRPr="00FE73DE">
              <w:rPr>
                <w:sz w:val="20"/>
                <w:szCs w:val="20"/>
              </w:rPr>
              <w:t>130</w:t>
            </w:r>
          </w:p>
        </w:tc>
      </w:tr>
      <w:tr w:rsidR="0031689B" w:rsidRPr="00FE73DE" w14:paraId="4496277E"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6ACF5A9B"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Percentage of individual financed businesses and organisations in regional or remote Australia</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2FD3E34C"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EC39F2B" w14:textId="77777777" w:rsidR="0031689B" w:rsidRPr="00FE73DE" w:rsidRDefault="0031689B" w:rsidP="0031689B">
            <w:pPr>
              <w:spacing w:before="40" w:after="40" w:line="240" w:lineRule="auto"/>
              <w:jc w:val="left"/>
              <w:rPr>
                <w:sz w:val="20"/>
                <w:szCs w:val="20"/>
              </w:rPr>
            </w:pPr>
            <w:r w:rsidRPr="00FE73DE">
              <w:rPr>
                <w:sz w:val="20"/>
                <w:szCs w:val="20"/>
              </w:rPr>
              <w:t>63%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1BE162D"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5465A95E" w14:textId="77777777" w:rsidR="0031689B" w:rsidRPr="00FE73DE" w:rsidRDefault="0031689B" w:rsidP="0031689B">
            <w:pPr>
              <w:spacing w:before="40" w:after="40" w:line="240" w:lineRule="auto"/>
              <w:jc w:val="left"/>
              <w:rPr>
                <w:sz w:val="20"/>
                <w:szCs w:val="20"/>
              </w:rPr>
            </w:pPr>
            <w:r w:rsidRPr="00FE73DE">
              <w:rPr>
                <w:sz w:val="20"/>
                <w:szCs w:val="20"/>
              </w:rPr>
              <w:t>64%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B1F6000"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5DB2CC92" w14:textId="77777777" w:rsidR="0031689B" w:rsidRPr="00FE73DE" w:rsidRDefault="0031689B" w:rsidP="0031689B">
            <w:pPr>
              <w:spacing w:before="40" w:after="40" w:line="240" w:lineRule="auto"/>
              <w:jc w:val="left"/>
              <w:rPr>
                <w:sz w:val="20"/>
                <w:szCs w:val="20"/>
              </w:rPr>
            </w:pPr>
            <w:r w:rsidRPr="00FE73DE">
              <w:rPr>
                <w:sz w:val="20"/>
                <w:szCs w:val="20"/>
              </w:rPr>
              <w:t>63%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2F5EDE72" w14:textId="77777777" w:rsidR="0031689B" w:rsidRPr="00FE73DE" w:rsidRDefault="0031689B" w:rsidP="0031689B">
            <w:pPr>
              <w:spacing w:before="40" w:after="40" w:line="240" w:lineRule="auto"/>
              <w:jc w:val="left"/>
              <w:rPr>
                <w:sz w:val="20"/>
                <w:szCs w:val="20"/>
              </w:rPr>
            </w:pPr>
            <w:r w:rsidRPr="00FE73DE">
              <w:rPr>
                <w:sz w:val="20"/>
                <w:szCs w:val="20"/>
              </w:rPr>
              <w:t>30%</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65889A59" w14:textId="77777777" w:rsidR="0031689B" w:rsidRPr="00FE73DE" w:rsidRDefault="0031689B" w:rsidP="0031689B">
            <w:pPr>
              <w:spacing w:before="40" w:after="40" w:line="240" w:lineRule="auto"/>
              <w:jc w:val="left"/>
              <w:rPr>
                <w:sz w:val="20"/>
                <w:szCs w:val="20"/>
              </w:rPr>
            </w:pPr>
            <w:r w:rsidRPr="00FE73DE">
              <w:rPr>
                <w:sz w:val="20"/>
                <w:szCs w:val="20"/>
              </w:rPr>
              <w:t>55%</w:t>
            </w:r>
          </w:p>
        </w:tc>
      </w:tr>
      <w:tr w:rsidR="0031689B" w:rsidRPr="00FE73DE" w14:paraId="1919827A"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4F75DA79"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Total capital provided to financed businesses and organisations in the reporting period</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774B3BA8" w14:textId="77777777" w:rsidR="0031689B" w:rsidRPr="00FE73DE" w:rsidRDefault="0031689B" w:rsidP="0031689B">
            <w:pPr>
              <w:spacing w:before="40" w:after="40" w:line="240" w:lineRule="auto"/>
              <w:jc w:val="left"/>
              <w:rPr>
                <w:sz w:val="20"/>
                <w:szCs w:val="20"/>
              </w:rPr>
            </w:pPr>
            <w:r w:rsidRPr="00FE73DE">
              <w:rPr>
                <w:sz w:val="20"/>
                <w:szCs w:val="20"/>
              </w:rPr>
              <w:t>$9.85m</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1C3C84DC" w14:textId="77777777" w:rsidR="0031689B" w:rsidRPr="00FE73DE" w:rsidRDefault="0031689B" w:rsidP="0031689B">
            <w:pPr>
              <w:spacing w:before="40" w:after="40" w:line="240" w:lineRule="auto"/>
              <w:jc w:val="left"/>
              <w:rPr>
                <w:sz w:val="20"/>
                <w:szCs w:val="20"/>
              </w:rPr>
            </w:pPr>
            <w:r w:rsidRPr="00FE73DE">
              <w:rPr>
                <w:sz w:val="20"/>
                <w:szCs w:val="20"/>
              </w:rPr>
              <w:t>$41.53m</w:t>
            </w:r>
            <w:r w:rsidRPr="00FE73DE">
              <w:rPr>
                <w:rStyle w:val="FootnoteReference"/>
                <w:sz w:val="20"/>
                <w:szCs w:val="20"/>
              </w:rPr>
              <w:footnoteReference w:id="26"/>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8C1A3E4" w14:textId="77777777" w:rsidR="0031689B" w:rsidRPr="00FE73DE" w:rsidRDefault="0031689B" w:rsidP="0031689B">
            <w:pPr>
              <w:spacing w:before="40" w:after="40" w:line="240" w:lineRule="auto"/>
              <w:jc w:val="left"/>
              <w:rPr>
                <w:sz w:val="20"/>
                <w:szCs w:val="20"/>
              </w:rPr>
            </w:pPr>
            <w:r w:rsidRPr="00FE73DE">
              <w:rPr>
                <w:sz w:val="20"/>
                <w:szCs w:val="20"/>
              </w:rPr>
              <w:t>$9.85m</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17B955F8" w14:textId="77777777" w:rsidR="0031689B" w:rsidRPr="00FE73DE" w:rsidRDefault="0031689B" w:rsidP="0031689B">
            <w:pPr>
              <w:spacing w:before="40" w:after="40" w:line="240" w:lineRule="auto"/>
              <w:jc w:val="left"/>
              <w:rPr>
                <w:sz w:val="20"/>
                <w:szCs w:val="20"/>
              </w:rPr>
            </w:pPr>
            <w:r w:rsidRPr="00FE73DE">
              <w:rPr>
                <w:sz w:val="20"/>
                <w:szCs w:val="20"/>
              </w:rPr>
              <w:t>$22.61m</w:t>
            </w:r>
            <w:r w:rsidRPr="00FE73DE">
              <w:rPr>
                <w:rStyle w:val="FootnoteReference"/>
                <w:sz w:val="20"/>
                <w:szCs w:val="20"/>
              </w:rPr>
              <w:footnoteReference w:id="27"/>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C23D366" w14:textId="77777777" w:rsidR="0031689B" w:rsidRPr="00FE73DE" w:rsidRDefault="0031689B" w:rsidP="0031689B">
            <w:pPr>
              <w:spacing w:before="40" w:after="40" w:line="240" w:lineRule="auto"/>
              <w:jc w:val="left"/>
              <w:rPr>
                <w:sz w:val="20"/>
                <w:szCs w:val="20"/>
              </w:rPr>
            </w:pPr>
            <w:r w:rsidRPr="00FE73DE">
              <w:rPr>
                <w:sz w:val="20"/>
                <w:szCs w:val="20"/>
              </w:rPr>
              <w:t>$9.18m</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4571D4C2" w14:textId="77777777" w:rsidR="0031689B" w:rsidRPr="00FE73DE" w:rsidRDefault="0031689B" w:rsidP="0031689B">
            <w:pPr>
              <w:spacing w:before="40" w:after="40" w:line="240" w:lineRule="auto"/>
              <w:jc w:val="left"/>
              <w:rPr>
                <w:sz w:val="20"/>
                <w:szCs w:val="20"/>
              </w:rPr>
            </w:pPr>
            <w:r w:rsidRPr="00FE73DE">
              <w:rPr>
                <w:sz w:val="20"/>
                <w:szCs w:val="20"/>
              </w:rPr>
              <w:t>$12.89m</w:t>
            </w:r>
            <w:r w:rsidRPr="00FE73DE">
              <w:rPr>
                <w:rStyle w:val="FootnoteReference"/>
                <w:sz w:val="20"/>
                <w:szCs w:val="20"/>
              </w:rPr>
              <w:footnoteReference w:id="28"/>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AFBF51D" w14:textId="77777777" w:rsidR="0031689B" w:rsidRPr="00FE73DE" w:rsidRDefault="0031689B" w:rsidP="0031689B">
            <w:pPr>
              <w:spacing w:before="40" w:after="40" w:line="240" w:lineRule="auto"/>
              <w:jc w:val="left"/>
              <w:rPr>
                <w:sz w:val="20"/>
                <w:szCs w:val="20"/>
              </w:rPr>
            </w:pPr>
            <w:r w:rsidRPr="00FE73DE">
              <w:rPr>
                <w:sz w:val="20"/>
                <w:szCs w:val="20"/>
              </w:rPr>
              <w:t>$9.18m</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6EF71CD1" w14:textId="77777777" w:rsidR="0031689B" w:rsidRPr="00FE73DE" w:rsidRDefault="0031689B" w:rsidP="0031689B">
            <w:pPr>
              <w:spacing w:before="40" w:after="40" w:line="240" w:lineRule="auto"/>
              <w:jc w:val="left"/>
              <w:rPr>
                <w:sz w:val="20"/>
                <w:szCs w:val="20"/>
              </w:rPr>
            </w:pPr>
            <w:r w:rsidRPr="00FE73DE">
              <w:rPr>
                <w:sz w:val="20"/>
                <w:szCs w:val="20"/>
              </w:rPr>
              <w:t>$14.7m</w:t>
            </w:r>
          </w:p>
        </w:tc>
      </w:tr>
      <w:tr w:rsidR="0031689B" w:rsidRPr="00FE73DE" w14:paraId="3D35C245"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02AF423D"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Number of third parties with whom a collaborative partnership has been formed</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188CCF51" w14:textId="77777777" w:rsidR="0031689B" w:rsidRPr="00FE73DE" w:rsidRDefault="0031689B" w:rsidP="0031689B">
            <w:pPr>
              <w:spacing w:before="40" w:after="40" w:line="240" w:lineRule="auto"/>
              <w:jc w:val="left"/>
              <w:rPr>
                <w:sz w:val="20"/>
                <w:szCs w:val="20"/>
              </w:rPr>
            </w:pPr>
            <w:r w:rsidRPr="00FE73DE">
              <w:rPr>
                <w:sz w:val="20"/>
                <w:szCs w:val="20"/>
              </w:rPr>
              <w:t>8</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CFA0FE5" w14:textId="77777777" w:rsidR="0031689B" w:rsidRPr="00FE73DE" w:rsidRDefault="0031689B" w:rsidP="0031689B">
            <w:pPr>
              <w:spacing w:before="40" w:after="40" w:line="240" w:lineRule="auto"/>
              <w:jc w:val="left"/>
              <w:rPr>
                <w:sz w:val="20"/>
                <w:szCs w:val="20"/>
              </w:rPr>
            </w:pPr>
            <w:r w:rsidRPr="00FE73DE">
              <w:rPr>
                <w:sz w:val="20"/>
                <w:szCs w:val="20"/>
              </w:rPr>
              <w:t>11</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040C13F" w14:textId="77777777" w:rsidR="0031689B" w:rsidRPr="00FE73DE" w:rsidRDefault="0031689B" w:rsidP="0031689B">
            <w:pPr>
              <w:spacing w:before="40" w:after="40" w:line="240" w:lineRule="auto"/>
              <w:jc w:val="left"/>
              <w:rPr>
                <w:sz w:val="20"/>
                <w:szCs w:val="20"/>
              </w:rPr>
            </w:pPr>
            <w:r w:rsidRPr="00FE73DE">
              <w:rPr>
                <w:sz w:val="20"/>
                <w:szCs w:val="20"/>
              </w:rPr>
              <w:t>8</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5F426DDE" w14:textId="77777777" w:rsidR="0031689B" w:rsidRPr="00FE73DE" w:rsidRDefault="0031689B" w:rsidP="0031689B">
            <w:pPr>
              <w:spacing w:before="40" w:after="40" w:line="240" w:lineRule="auto"/>
              <w:jc w:val="left"/>
              <w:rPr>
                <w:sz w:val="20"/>
                <w:szCs w:val="20"/>
              </w:rPr>
            </w:pPr>
            <w:r w:rsidRPr="00FE73DE">
              <w:rPr>
                <w:sz w:val="20"/>
                <w:szCs w:val="20"/>
              </w:rPr>
              <w:t>16</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127DD1A4" w14:textId="77777777" w:rsidR="0031689B" w:rsidRPr="00FE73DE" w:rsidRDefault="0031689B" w:rsidP="0031689B">
            <w:pPr>
              <w:spacing w:before="40" w:after="40" w:line="240" w:lineRule="auto"/>
              <w:jc w:val="left"/>
              <w:rPr>
                <w:sz w:val="20"/>
                <w:szCs w:val="20"/>
              </w:rPr>
            </w:pPr>
            <w:r w:rsidRPr="00FE73DE">
              <w:rPr>
                <w:sz w:val="20"/>
                <w:szCs w:val="20"/>
              </w:rPr>
              <w:t>6</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FCCCC"/>
            <w:vAlign w:val="center"/>
          </w:tcPr>
          <w:p w14:paraId="7FE03AF2" w14:textId="77777777" w:rsidR="0031689B" w:rsidRPr="00FE73DE" w:rsidRDefault="0031689B" w:rsidP="0031689B">
            <w:pPr>
              <w:spacing w:before="40" w:after="40" w:line="240" w:lineRule="auto"/>
              <w:jc w:val="left"/>
              <w:rPr>
                <w:sz w:val="20"/>
                <w:szCs w:val="20"/>
              </w:rPr>
            </w:pPr>
            <w:r w:rsidRPr="00FE73DE">
              <w:rPr>
                <w:sz w:val="20"/>
                <w:szCs w:val="20"/>
              </w:rPr>
              <w:t>5</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84242DC" w14:textId="77777777" w:rsidR="0031689B" w:rsidRPr="00FE73DE" w:rsidRDefault="0031689B" w:rsidP="0031689B">
            <w:pPr>
              <w:spacing w:before="40" w:after="40" w:line="240" w:lineRule="auto"/>
              <w:jc w:val="left"/>
              <w:rPr>
                <w:sz w:val="20"/>
                <w:szCs w:val="20"/>
              </w:rPr>
            </w:pPr>
            <w:r w:rsidRPr="00FE73DE">
              <w:rPr>
                <w:sz w:val="20"/>
                <w:szCs w:val="20"/>
              </w:rPr>
              <w:t>6</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010BCFF6" w14:textId="77777777" w:rsidR="0031689B" w:rsidRPr="00FE73DE" w:rsidRDefault="0031689B" w:rsidP="0031689B">
            <w:pPr>
              <w:spacing w:before="40" w:after="40" w:line="240" w:lineRule="auto"/>
              <w:jc w:val="left"/>
              <w:rPr>
                <w:sz w:val="20"/>
                <w:szCs w:val="20"/>
              </w:rPr>
            </w:pPr>
            <w:r w:rsidRPr="00FE73DE">
              <w:rPr>
                <w:sz w:val="20"/>
                <w:szCs w:val="20"/>
              </w:rPr>
              <w:t>7</w:t>
            </w:r>
          </w:p>
        </w:tc>
      </w:tr>
      <w:tr w:rsidR="0031689B" w:rsidRPr="00FE73DE" w14:paraId="402E09CF"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526AA9DB"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 xml:space="preserve">Business survival rates of IBA loan recipients </w:t>
            </w:r>
          </w:p>
          <w:p w14:paraId="6103253A" w14:textId="77777777" w:rsidR="0031689B" w:rsidRPr="00FE73DE" w:rsidRDefault="0031689B" w:rsidP="0031689B">
            <w:pPr>
              <w:pStyle w:val="ListParagraph"/>
              <w:spacing w:before="40" w:after="40" w:line="240" w:lineRule="auto"/>
              <w:ind w:left="360"/>
              <w:jc w:val="left"/>
              <w:rPr>
                <w:sz w:val="20"/>
                <w:szCs w:val="20"/>
              </w:rPr>
            </w:pPr>
            <w:r w:rsidRPr="00FE73DE">
              <w:rPr>
                <w:sz w:val="20"/>
                <w:szCs w:val="20"/>
              </w:rPr>
              <w:t>(1–4 employees)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50B806C6" w14:textId="77777777" w:rsidR="0031689B" w:rsidRPr="00FE73DE" w:rsidRDefault="0031689B" w:rsidP="0031689B">
            <w:pPr>
              <w:spacing w:before="40" w:after="40" w:line="240" w:lineRule="auto"/>
              <w:jc w:val="left"/>
              <w:rPr>
                <w:sz w:val="20"/>
                <w:szCs w:val="20"/>
              </w:rPr>
            </w:pPr>
            <w:r w:rsidRPr="00FE73DE">
              <w:rPr>
                <w:sz w:val="20"/>
                <w:szCs w:val="20"/>
              </w:rPr>
              <w:t>69%</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FCCCC"/>
            <w:vAlign w:val="center"/>
          </w:tcPr>
          <w:p w14:paraId="3EE8B891" w14:textId="77777777" w:rsidR="0031689B" w:rsidRPr="00FE73DE" w:rsidRDefault="0031689B" w:rsidP="0031689B">
            <w:pPr>
              <w:spacing w:before="40" w:after="40" w:line="240" w:lineRule="auto"/>
              <w:jc w:val="left"/>
              <w:rPr>
                <w:sz w:val="20"/>
                <w:szCs w:val="20"/>
              </w:rPr>
            </w:pPr>
            <w:r w:rsidRPr="00FE73DE">
              <w:rPr>
                <w:sz w:val="20"/>
                <w:szCs w:val="20"/>
              </w:rPr>
              <w:t>63%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00FD55F7" w14:textId="77777777" w:rsidR="0031689B" w:rsidRPr="00FE73DE" w:rsidRDefault="0031689B" w:rsidP="0031689B">
            <w:pPr>
              <w:spacing w:before="40" w:after="40" w:line="240" w:lineRule="auto"/>
              <w:jc w:val="left"/>
              <w:rPr>
                <w:sz w:val="20"/>
                <w:szCs w:val="20"/>
              </w:rPr>
            </w:pPr>
            <w:r w:rsidRPr="00FE73DE">
              <w:rPr>
                <w:sz w:val="20"/>
                <w:szCs w:val="20"/>
              </w:rPr>
              <w:t>69.3%</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FCCCC"/>
            <w:vAlign w:val="center"/>
          </w:tcPr>
          <w:p w14:paraId="11D79C8E" w14:textId="77777777" w:rsidR="0031689B" w:rsidRPr="00FE73DE" w:rsidRDefault="0031689B" w:rsidP="0031689B">
            <w:pPr>
              <w:spacing w:before="40" w:after="40" w:line="240" w:lineRule="auto"/>
              <w:jc w:val="left"/>
              <w:rPr>
                <w:sz w:val="20"/>
                <w:szCs w:val="20"/>
              </w:rPr>
            </w:pPr>
            <w:r w:rsidRPr="00FE73DE">
              <w:rPr>
                <w:sz w:val="20"/>
                <w:szCs w:val="20"/>
              </w:rPr>
              <w:t>54%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179DB36E" w14:textId="77777777" w:rsidR="0031689B" w:rsidRPr="00FE73DE" w:rsidRDefault="0031689B" w:rsidP="0031689B">
            <w:pPr>
              <w:spacing w:before="40" w:after="40" w:line="240" w:lineRule="auto"/>
              <w:jc w:val="left"/>
              <w:rPr>
                <w:sz w:val="20"/>
                <w:szCs w:val="20"/>
              </w:rPr>
            </w:pPr>
            <w:r w:rsidRPr="00FE73DE">
              <w:rPr>
                <w:sz w:val="20"/>
                <w:szCs w:val="20"/>
              </w:rPr>
              <w:t>63%</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17F938A6" w14:textId="77777777" w:rsidR="0031689B" w:rsidRPr="00FE73DE" w:rsidRDefault="0031689B" w:rsidP="0031689B">
            <w:pPr>
              <w:spacing w:before="40" w:after="40" w:line="240" w:lineRule="auto"/>
              <w:jc w:val="left"/>
              <w:rPr>
                <w:sz w:val="20"/>
                <w:szCs w:val="20"/>
              </w:rPr>
            </w:pPr>
            <w:r w:rsidRPr="00FE73DE">
              <w:rPr>
                <w:sz w:val="20"/>
                <w:szCs w:val="20"/>
              </w:rPr>
              <w:t>65%</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4EFF048B" w14:textId="77777777" w:rsidR="0031689B" w:rsidRPr="00FE73DE" w:rsidRDefault="0031689B" w:rsidP="0031689B">
            <w:pPr>
              <w:spacing w:before="40" w:after="40" w:line="240" w:lineRule="auto"/>
              <w:jc w:val="left"/>
              <w:rPr>
                <w:sz w:val="20"/>
                <w:szCs w:val="20"/>
              </w:rPr>
            </w:pPr>
            <w:r w:rsidRPr="00FE73DE">
              <w:rPr>
                <w:sz w:val="20"/>
                <w:szCs w:val="20"/>
              </w:rPr>
              <w:t>63%</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285E2E96" w14:textId="77777777" w:rsidR="0031689B" w:rsidRPr="00FE73DE" w:rsidRDefault="0031689B" w:rsidP="0031689B">
            <w:pPr>
              <w:spacing w:before="40" w:after="40" w:line="240" w:lineRule="auto"/>
              <w:jc w:val="left"/>
              <w:rPr>
                <w:sz w:val="20"/>
                <w:szCs w:val="20"/>
              </w:rPr>
            </w:pPr>
            <w:r w:rsidRPr="00FE73DE">
              <w:rPr>
                <w:sz w:val="20"/>
                <w:szCs w:val="20"/>
              </w:rPr>
              <w:t>75%</w:t>
            </w:r>
          </w:p>
        </w:tc>
      </w:tr>
      <w:tr w:rsidR="0031689B" w:rsidRPr="00FE73DE" w14:paraId="534C5790" w14:textId="77777777" w:rsidTr="00D77856">
        <w:trPr>
          <w:cantSplit/>
        </w:trPr>
        <w:tc>
          <w:tcPr>
            <w:tcW w:w="0" w:type="auto"/>
            <w:tcBorders>
              <w:top w:val="single" w:sz="4" w:space="0" w:color="6B818C" w:themeColor="accent5"/>
              <w:bottom w:val="single" w:sz="4" w:space="0" w:color="6B818C" w:themeColor="accent5"/>
            </w:tcBorders>
            <w:shd w:val="clear" w:color="auto" w:fill="FFFFFF" w:themeFill="background1"/>
            <w:vAlign w:val="center"/>
          </w:tcPr>
          <w:p w14:paraId="413B1175"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 xml:space="preserve">Business survival rates of IBA loan recipients </w:t>
            </w:r>
          </w:p>
          <w:p w14:paraId="12198561" w14:textId="77777777" w:rsidR="0031689B" w:rsidRPr="00FE73DE" w:rsidRDefault="0031689B" w:rsidP="0031689B">
            <w:pPr>
              <w:pStyle w:val="ListParagraph"/>
              <w:spacing w:before="40" w:after="40" w:line="240" w:lineRule="auto"/>
              <w:ind w:left="360"/>
              <w:jc w:val="left"/>
              <w:rPr>
                <w:sz w:val="20"/>
                <w:szCs w:val="20"/>
              </w:rPr>
            </w:pPr>
            <w:r w:rsidRPr="00FE73DE">
              <w:rPr>
                <w:sz w:val="20"/>
                <w:szCs w:val="20"/>
              </w:rPr>
              <w:t>(5–19 employees)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781EA5D6" w14:textId="77777777" w:rsidR="0031689B" w:rsidRPr="00FE73DE" w:rsidRDefault="0031689B" w:rsidP="0031689B">
            <w:pPr>
              <w:spacing w:before="40" w:after="40" w:line="240" w:lineRule="auto"/>
              <w:jc w:val="left"/>
              <w:rPr>
                <w:sz w:val="20"/>
                <w:szCs w:val="20"/>
              </w:rPr>
            </w:pPr>
            <w:r w:rsidRPr="00FE73DE">
              <w:rPr>
                <w:sz w:val="20"/>
                <w:szCs w:val="20"/>
              </w:rPr>
              <w:t>77.8%</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4ACD0D82" w14:textId="77777777" w:rsidR="0031689B" w:rsidRPr="00FE73DE" w:rsidRDefault="0031689B" w:rsidP="0031689B">
            <w:pPr>
              <w:spacing w:before="40" w:after="40" w:line="240" w:lineRule="auto"/>
              <w:jc w:val="left"/>
              <w:rPr>
                <w:sz w:val="20"/>
                <w:szCs w:val="20"/>
              </w:rPr>
            </w:pPr>
            <w:r w:rsidRPr="00FE73DE">
              <w:rPr>
                <w:sz w:val="20"/>
                <w:szCs w:val="20"/>
              </w:rPr>
              <w:t>94.3%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78C1D5A" w14:textId="77777777" w:rsidR="0031689B" w:rsidRPr="00FE73DE" w:rsidRDefault="0031689B" w:rsidP="0031689B">
            <w:pPr>
              <w:spacing w:before="40" w:after="40" w:line="240" w:lineRule="auto"/>
              <w:jc w:val="left"/>
              <w:rPr>
                <w:sz w:val="20"/>
                <w:szCs w:val="20"/>
              </w:rPr>
            </w:pPr>
            <w:r w:rsidRPr="00FE73DE">
              <w:rPr>
                <w:sz w:val="20"/>
                <w:szCs w:val="20"/>
              </w:rPr>
              <w:t>77.6%</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154ED978" w14:textId="77777777" w:rsidR="0031689B" w:rsidRPr="00FE73DE" w:rsidRDefault="0031689B" w:rsidP="0031689B">
            <w:pPr>
              <w:spacing w:before="40" w:after="40" w:line="240" w:lineRule="auto"/>
              <w:jc w:val="left"/>
              <w:rPr>
                <w:sz w:val="20"/>
                <w:szCs w:val="20"/>
              </w:rPr>
            </w:pPr>
            <w:r w:rsidRPr="00FE73DE">
              <w:rPr>
                <w:sz w:val="20"/>
                <w:szCs w:val="20"/>
              </w:rPr>
              <w:t>94%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0CF986EC" w14:textId="77777777" w:rsidR="0031689B" w:rsidRPr="00FE73DE" w:rsidRDefault="0031689B" w:rsidP="0031689B">
            <w:pPr>
              <w:spacing w:before="40" w:after="40" w:line="240" w:lineRule="auto"/>
              <w:jc w:val="left"/>
              <w:rPr>
                <w:sz w:val="20"/>
                <w:szCs w:val="20"/>
              </w:rPr>
            </w:pPr>
            <w:r w:rsidRPr="00FE73DE">
              <w:rPr>
                <w:sz w:val="20"/>
                <w:szCs w:val="20"/>
              </w:rPr>
              <w:t>78%</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5BB9B34C" w14:textId="77777777" w:rsidR="0031689B" w:rsidRPr="00FE73DE" w:rsidRDefault="0031689B" w:rsidP="0031689B">
            <w:pPr>
              <w:spacing w:before="40" w:after="40" w:line="240" w:lineRule="auto"/>
              <w:jc w:val="left"/>
              <w:rPr>
                <w:sz w:val="20"/>
                <w:szCs w:val="20"/>
              </w:rPr>
            </w:pPr>
            <w:r w:rsidRPr="00FE73DE">
              <w:rPr>
                <w:sz w:val="20"/>
                <w:szCs w:val="20"/>
              </w:rPr>
              <w:t>94%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7E2040D9" w14:textId="77777777" w:rsidR="0031689B" w:rsidRPr="00FE73DE" w:rsidRDefault="0031689B" w:rsidP="0031689B">
            <w:pPr>
              <w:spacing w:before="40" w:after="40" w:line="240" w:lineRule="auto"/>
              <w:jc w:val="left"/>
              <w:rPr>
                <w:sz w:val="20"/>
                <w:szCs w:val="20"/>
              </w:rPr>
            </w:pPr>
            <w:r w:rsidRPr="00FE73DE">
              <w:rPr>
                <w:sz w:val="20"/>
                <w:szCs w:val="20"/>
              </w:rPr>
              <w:t>77.6%</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3664C7A8" w14:textId="77777777" w:rsidR="0031689B" w:rsidRPr="00FE73DE" w:rsidRDefault="0031689B" w:rsidP="0031689B">
            <w:pPr>
              <w:spacing w:before="40" w:after="40" w:line="240" w:lineRule="auto"/>
              <w:jc w:val="left"/>
              <w:rPr>
                <w:sz w:val="20"/>
                <w:szCs w:val="20"/>
              </w:rPr>
            </w:pPr>
            <w:r w:rsidRPr="00FE73DE">
              <w:rPr>
                <w:sz w:val="20"/>
                <w:szCs w:val="20"/>
              </w:rPr>
              <w:t>95%</w:t>
            </w:r>
          </w:p>
        </w:tc>
      </w:tr>
      <w:tr w:rsidR="0031689B" w:rsidRPr="00FE73DE" w14:paraId="4000FAAB"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32C81FDB"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 xml:space="preserve">Business survival rates of IBA loan recipients </w:t>
            </w:r>
          </w:p>
          <w:p w14:paraId="427AE7A7" w14:textId="77777777" w:rsidR="0031689B" w:rsidRPr="00FE73DE" w:rsidRDefault="0031689B" w:rsidP="0031689B">
            <w:pPr>
              <w:pStyle w:val="ListParagraph"/>
              <w:spacing w:before="40" w:after="40" w:line="240" w:lineRule="auto"/>
              <w:ind w:left="360"/>
              <w:jc w:val="left"/>
              <w:rPr>
                <w:sz w:val="20"/>
                <w:szCs w:val="20"/>
              </w:rPr>
            </w:pPr>
            <w:r w:rsidRPr="00FE73DE">
              <w:rPr>
                <w:sz w:val="20"/>
                <w:szCs w:val="20"/>
              </w:rPr>
              <w:t>(20–199 employees)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0015DC5F" w14:textId="77777777" w:rsidR="0031689B" w:rsidRPr="00FE73DE" w:rsidRDefault="0031689B" w:rsidP="0031689B">
            <w:pPr>
              <w:spacing w:before="40" w:after="40" w:line="240" w:lineRule="auto"/>
              <w:jc w:val="left"/>
              <w:rPr>
                <w:sz w:val="20"/>
                <w:szCs w:val="20"/>
              </w:rPr>
            </w:pPr>
            <w:r w:rsidRPr="00FE73DE">
              <w:rPr>
                <w:sz w:val="20"/>
                <w:szCs w:val="20"/>
              </w:rPr>
              <w:t>82.2%</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1B3CECC" w14:textId="77777777" w:rsidR="0031689B" w:rsidRPr="00FE73DE" w:rsidRDefault="0031689B" w:rsidP="0031689B">
            <w:pPr>
              <w:spacing w:before="40" w:after="40" w:line="240" w:lineRule="auto"/>
              <w:jc w:val="left"/>
              <w:rPr>
                <w:sz w:val="20"/>
                <w:szCs w:val="20"/>
              </w:rPr>
            </w:pPr>
            <w:r w:rsidRPr="00FE73DE">
              <w:rPr>
                <w:sz w:val="20"/>
                <w:szCs w:val="20"/>
              </w:rPr>
              <w:t>100%</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4A116158" w14:textId="77777777" w:rsidR="0031689B" w:rsidRPr="00FE73DE" w:rsidRDefault="0031689B" w:rsidP="0031689B">
            <w:pPr>
              <w:spacing w:before="40" w:after="40" w:line="240" w:lineRule="auto"/>
              <w:jc w:val="left"/>
              <w:rPr>
                <w:sz w:val="20"/>
                <w:szCs w:val="20"/>
              </w:rPr>
            </w:pPr>
            <w:r w:rsidRPr="00FE73DE">
              <w:rPr>
                <w:sz w:val="20"/>
                <w:szCs w:val="20"/>
              </w:rPr>
              <w:t>82.2%</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17D05067" w14:textId="77777777" w:rsidR="0031689B" w:rsidRPr="00FE73DE" w:rsidRDefault="0031689B" w:rsidP="0031689B">
            <w:pPr>
              <w:spacing w:before="40" w:after="40" w:line="240" w:lineRule="auto"/>
              <w:jc w:val="left"/>
              <w:rPr>
                <w:sz w:val="20"/>
                <w:szCs w:val="20"/>
              </w:rPr>
            </w:pPr>
            <w:r w:rsidRPr="00FE73DE">
              <w:rPr>
                <w:sz w:val="20"/>
                <w:szCs w:val="20"/>
              </w:rPr>
              <w:t>100%</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2DA93452" w14:textId="77777777" w:rsidR="0031689B" w:rsidRPr="00FE73DE" w:rsidRDefault="0031689B" w:rsidP="0031689B">
            <w:pPr>
              <w:spacing w:before="40" w:after="40" w:line="240" w:lineRule="auto"/>
              <w:jc w:val="left"/>
              <w:rPr>
                <w:sz w:val="20"/>
                <w:szCs w:val="20"/>
              </w:rPr>
            </w:pPr>
            <w:r w:rsidRPr="00FE73DE">
              <w:rPr>
                <w:sz w:val="20"/>
                <w:szCs w:val="20"/>
              </w:rPr>
              <w:t>82%</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4F48EA68" w14:textId="77777777" w:rsidR="0031689B" w:rsidRPr="00FE73DE" w:rsidRDefault="0031689B" w:rsidP="0031689B">
            <w:pPr>
              <w:spacing w:before="40" w:after="40" w:line="240" w:lineRule="auto"/>
              <w:jc w:val="left"/>
              <w:rPr>
                <w:sz w:val="20"/>
                <w:szCs w:val="20"/>
              </w:rPr>
            </w:pPr>
            <w:r w:rsidRPr="00FE73DE">
              <w:rPr>
                <w:sz w:val="20"/>
                <w:szCs w:val="20"/>
              </w:rPr>
              <w:t>100%</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B556F99" w14:textId="77777777" w:rsidR="0031689B" w:rsidRPr="00FE73DE" w:rsidRDefault="0031689B" w:rsidP="0031689B">
            <w:pPr>
              <w:spacing w:before="40" w:after="40" w:line="240" w:lineRule="auto"/>
              <w:jc w:val="left"/>
              <w:rPr>
                <w:sz w:val="20"/>
                <w:szCs w:val="20"/>
              </w:rPr>
            </w:pPr>
            <w:r w:rsidRPr="00FE73DE">
              <w:rPr>
                <w:sz w:val="20"/>
                <w:szCs w:val="20"/>
              </w:rPr>
              <w:t>82.2%</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57A715ED" w14:textId="77777777" w:rsidR="0031689B" w:rsidRPr="00FE73DE" w:rsidRDefault="0031689B" w:rsidP="0031689B">
            <w:pPr>
              <w:spacing w:before="40" w:after="40" w:line="240" w:lineRule="auto"/>
              <w:jc w:val="left"/>
              <w:rPr>
                <w:sz w:val="20"/>
                <w:szCs w:val="20"/>
              </w:rPr>
            </w:pPr>
            <w:r w:rsidRPr="00FE73DE">
              <w:rPr>
                <w:sz w:val="20"/>
                <w:szCs w:val="20"/>
              </w:rPr>
              <w:t>100%</w:t>
            </w:r>
          </w:p>
        </w:tc>
      </w:tr>
      <w:tr w:rsidR="0031689B" w:rsidRPr="00FE73DE" w14:paraId="29FF4629"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009D363C"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 xml:space="preserve">Business survival rates of IBA loan recipients </w:t>
            </w:r>
          </w:p>
          <w:p w14:paraId="2A36538C" w14:textId="77777777" w:rsidR="0031689B" w:rsidRPr="00FE73DE" w:rsidRDefault="0031689B" w:rsidP="0031689B">
            <w:pPr>
              <w:pStyle w:val="ListParagraph"/>
              <w:spacing w:before="40" w:after="40" w:line="240" w:lineRule="auto"/>
              <w:ind w:left="360"/>
              <w:jc w:val="left"/>
              <w:rPr>
                <w:sz w:val="20"/>
                <w:szCs w:val="20"/>
              </w:rPr>
            </w:pPr>
            <w:r w:rsidRPr="00FE73DE">
              <w:rPr>
                <w:sz w:val="20"/>
                <w:szCs w:val="20"/>
              </w:rPr>
              <w:t>(200 employees)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012FDABC" w14:textId="77777777" w:rsidR="0031689B" w:rsidRPr="00FE73DE" w:rsidRDefault="0031689B" w:rsidP="0031689B">
            <w:pPr>
              <w:spacing w:before="40" w:after="40" w:line="240" w:lineRule="auto"/>
              <w:jc w:val="left"/>
              <w:rPr>
                <w:sz w:val="20"/>
                <w:szCs w:val="20"/>
              </w:rPr>
            </w:pPr>
            <w:r w:rsidRPr="00FE73DE">
              <w:rPr>
                <w:sz w:val="20"/>
                <w:szCs w:val="20"/>
              </w:rPr>
              <w:t>83.7%</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23E7181B"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73948FAC" w14:textId="77777777" w:rsidR="0031689B" w:rsidRPr="00FE73DE" w:rsidRDefault="0031689B" w:rsidP="0031689B">
            <w:pPr>
              <w:spacing w:before="40" w:after="40" w:line="240" w:lineRule="auto"/>
              <w:jc w:val="left"/>
              <w:rPr>
                <w:sz w:val="20"/>
                <w:szCs w:val="20"/>
              </w:rPr>
            </w:pPr>
            <w:r w:rsidRPr="00FE73DE">
              <w:rPr>
                <w:sz w:val="20"/>
                <w:szCs w:val="20"/>
              </w:rPr>
              <w:t>85.6%</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2558AE99"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62EF9D3" w14:textId="77777777" w:rsidR="0031689B" w:rsidRPr="00FE73DE" w:rsidRDefault="0031689B" w:rsidP="0031689B">
            <w:pPr>
              <w:spacing w:before="40" w:after="40" w:line="240" w:lineRule="auto"/>
              <w:jc w:val="left"/>
              <w:rPr>
                <w:sz w:val="20"/>
                <w:szCs w:val="20"/>
              </w:rPr>
            </w:pPr>
            <w:r w:rsidRPr="00FE73DE">
              <w:rPr>
                <w:sz w:val="20"/>
                <w:szCs w:val="20"/>
              </w:rPr>
              <w:t>87%</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6332F01D"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343267EB" w14:textId="77777777" w:rsidR="0031689B" w:rsidRPr="00FE73DE" w:rsidRDefault="0031689B" w:rsidP="0031689B">
            <w:pPr>
              <w:spacing w:before="40" w:after="40" w:line="240" w:lineRule="auto"/>
              <w:jc w:val="left"/>
              <w:rPr>
                <w:sz w:val="20"/>
                <w:szCs w:val="20"/>
              </w:rPr>
            </w:pPr>
            <w:r w:rsidRPr="00FE73DE">
              <w:rPr>
                <w:sz w:val="20"/>
                <w:szCs w:val="20"/>
              </w:rPr>
              <w:t>86.6%</w:t>
            </w:r>
          </w:p>
        </w:tc>
        <w:tc>
          <w:tcPr>
            <w:tcW w:w="0" w:type="auto"/>
            <w:tcBorders>
              <w:top w:val="single" w:sz="4" w:space="0" w:color="6B818C" w:themeColor="accent5"/>
              <w:bottom w:val="single" w:sz="4" w:space="0" w:color="6B818C" w:themeColor="accent5"/>
            </w:tcBorders>
            <w:shd w:val="clear" w:color="auto" w:fill="F2F2F2" w:themeFill="background1" w:themeFillShade="F2"/>
            <w:vAlign w:val="center"/>
          </w:tcPr>
          <w:p w14:paraId="0CC984FB" w14:textId="77777777" w:rsidR="0031689B" w:rsidRPr="00FE73DE" w:rsidRDefault="0031689B" w:rsidP="0031689B">
            <w:pPr>
              <w:spacing w:before="40" w:after="40" w:line="240" w:lineRule="auto"/>
              <w:jc w:val="left"/>
              <w:rPr>
                <w:sz w:val="20"/>
                <w:szCs w:val="20"/>
              </w:rPr>
            </w:pPr>
            <w:r w:rsidRPr="00FE73DE">
              <w:rPr>
                <w:sz w:val="20"/>
                <w:szCs w:val="20"/>
              </w:rPr>
              <w:t>NA</w:t>
            </w:r>
          </w:p>
        </w:tc>
      </w:tr>
      <w:tr w:rsidR="0031689B" w:rsidRPr="00FE73DE" w14:paraId="0B2A238F"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4133567B"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Number of gender products developed. Strong Women Strong Business Facebook users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69898060"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5B0EDEF4"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48C2F0C" w14:textId="77777777" w:rsidR="0031689B" w:rsidRPr="00FE73DE" w:rsidRDefault="0031689B" w:rsidP="0031689B">
            <w:pPr>
              <w:spacing w:before="40" w:after="40" w:line="240" w:lineRule="auto"/>
              <w:jc w:val="left"/>
              <w:rPr>
                <w:sz w:val="20"/>
                <w:szCs w:val="20"/>
              </w:rPr>
            </w:pPr>
            <w:r w:rsidRPr="00FE73DE">
              <w:rPr>
                <w:sz w:val="20"/>
                <w:szCs w:val="20"/>
              </w:rPr>
              <w:t>1200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70F5DB96" w14:textId="77777777" w:rsidR="0031689B" w:rsidRPr="00FE73DE" w:rsidRDefault="0031689B" w:rsidP="0031689B">
            <w:pPr>
              <w:spacing w:before="40" w:after="40" w:line="240" w:lineRule="auto"/>
              <w:jc w:val="left"/>
              <w:rPr>
                <w:sz w:val="20"/>
                <w:szCs w:val="20"/>
              </w:rPr>
            </w:pPr>
            <w:r w:rsidRPr="00FE73DE">
              <w:rPr>
                <w:sz w:val="20"/>
                <w:szCs w:val="20"/>
              </w:rPr>
              <w:t>1313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22F60FD7"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54CA78CE" w14:textId="77777777" w:rsidR="0031689B" w:rsidRPr="00FE73DE" w:rsidRDefault="0031689B" w:rsidP="0031689B">
            <w:pPr>
              <w:spacing w:before="40" w:after="40" w:line="240" w:lineRule="auto"/>
              <w:jc w:val="left"/>
              <w:rPr>
                <w:sz w:val="20"/>
                <w:szCs w:val="20"/>
              </w:rPr>
            </w:pPr>
            <w:r w:rsidRPr="00FE73DE">
              <w:rPr>
                <w:sz w:val="20"/>
                <w:szCs w:val="20"/>
              </w:rPr>
              <w:t>1854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76895E89" w14:textId="77777777" w:rsidR="0031689B" w:rsidRPr="00FE73DE" w:rsidRDefault="0031689B" w:rsidP="0031689B">
            <w:pPr>
              <w:spacing w:before="40" w:after="40" w:line="240" w:lineRule="auto"/>
              <w:jc w:val="left"/>
              <w:rPr>
                <w:sz w:val="20"/>
                <w:szCs w:val="20"/>
              </w:rPr>
            </w:pPr>
            <w:r w:rsidRPr="00FE73DE">
              <w:rPr>
                <w:sz w:val="20"/>
                <w:szCs w:val="20"/>
              </w:rPr>
              <w:t>1600</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0EFC9699" w14:textId="77777777" w:rsidR="0031689B" w:rsidRPr="00FE73DE" w:rsidRDefault="0031689B" w:rsidP="0031689B">
            <w:pPr>
              <w:spacing w:before="40" w:after="40" w:line="240" w:lineRule="auto"/>
              <w:jc w:val="left"/>
              <w:rPr>
                <w:sz w:val="20"/>
                <w:szCs w:val="20"/>
              </w:rPr>
            </w:pPr>
            <w:r w:rsidRPr="00FE73DE">
              <w:rPr>
                <w:sz w:val="20"/>
                <w:szCs w:val="20"/>
              </w:rPr>
              <w:t>2220</w:t>
            </w:r>
          </w:p>
        </w:tc>
      </w:tr>
      <w:tr w:rsidR="0031689B" w:rsidRPr="00FE73DE" w14:paraId="07E5C504"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6AA2CC5C"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Number of gender products developed. Strong Women Strong Business Platform registered users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0286D418"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09835B10"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0F492D17" w14:textId="77777777" w:rsidR="0031689B" w:rsidRPr="00FE73DE" w:rsidRDefault="0031689B" w:rsidP="0031689B">
            <w:pPr>
              <w:spacing w:before="40" w:after="40" w:line="240" w:lineRule="auto"/>
              <w:jc w:val="left"/>
              <w:rPr>
                <w:sz w:val="20"/>
                <w:szCs w:val="20"/>
              </w:rPr>
            </w:pPr>
            <w:r w:rsidRPr="00FE73DE">
              <w:rPr>
                <w:sz w:val="20"/>
                <w:szCs w:val="20"/>
              </w:rPr>
              <w:t>150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05537F46" w14:textId="77777777" w:rsidR="0031689B" w:rsidRPr="00FE73DE" w:rsidRDefault="0031689B" w:rsidP="0031689B">
            <w:pPr>
              <w:spacing w:before="40" w:after="40" w:line="240" w:lineRule="auto"/>
              <w:jc w:val="left"/>
              <w:rPr>
                <w:sz w:val="20"/>
                <w:szCs w:val="20"/>
              </w:rPr>
            </w:pPr>
            <w:r w:rsidRPr="00FE73DE">
              <w:rPr>
                <w:sz w:val="20"/>
                <w:szCs w:val="20"/>
              </w:rPr>
              <w:t>176</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F46664C" w14:textId="77777777" w:rsidR="0031689B" w:rsidRPr="00FE73DE" w:rsidRDefault="0031689B"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7ACF6D33" w14:textId="77777777" w:rsidR="0031689B" w:rsidRPr="00FE73DE" w:rsidRDefault="0031689B" w:rsidP="0031689B">
            <w:pPr>
              <w:spacing w:before="40" w:after="40" w:line="240" w:lineRule="auto"/>
              <w:jc w:val="left"/>
              <w:rPr>
                <w:sz w:val="20"/>
                <w:szCs w:val="20"/>
              </w:rPr>
            </w:pPr>
            <w:r w:rsidRPr="00FE73DE">
              <w:rPr>
                <w:sz w:val="20"/>
                <w:szCs w:val="20"/>
              </w:rPr>
              <w:t>494</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029D423B" w14:textId="77777777" w:rsidR="0031689B" w:rsidRPr="00FE73DE" w:rsidRDefault="0031689B" w:rsidP="0031689B">
            <w:pPr>
              <w:spacing w:before="40" w:after="40" w:line="240" w:lineRule="auto"/>
              <w:jc w:val="left"/>
              <w:rPr>
                <w:sz w:val="20"/>
                <w:szCs w:val="20"/>
              </w:rPr>
            </w:pPr>
            <w:r w:rsidRPr="00FE73DE">
              <w:rPr>
                <w:sz w:val="20"/>
                <w:szCs w:val="20"/>
              </w:rPr>
              <w:t>150</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660278EB" w14:textId="77777777" w:rsidR="0031689B" w:rsidRPr="00FE73DE" w:rsidRDefault="0031689B" w:rsidP="0031689B">
            <w:pPr>
              <w:spacing w:before="40" w:after="40" w:line="240" w:lineRule="auto"/>
              <w:jc w:val="left"/>
              <w:rPr>
                <w:sz w:val="20"/>
                <w:szCs w:val="20"/>
              </w:rPr>
            </w:pPr>
            <w:r w:rsidRPr="00FE73DE">
              <w:rPr>
                <w:sz w:val="20"/>
                <w:szCs w:val="20"/>
              </w:rPr>
              <w:t>607</w:t>
            </w:r>
          </w:p>
        </w:tc>
      </w:tr>
      <w:tr w:rsidR="0031689B" w:rsidRPr="00FE73DE" w14:paraId="43F029DD" w14:textId="77777777" w:rsidTr="00290561">
        <w:tc>
          <w:tcPr>
            <w:tcW w:w="0" w:type="auto"/>
            <w:tcBorders>
              <w:top w:val="single" w:sz="4" w:space="0" w:color="6B818C" w:themeColor="accent5"/>
              <w:bottom w:val="single" w:sz="4" w:space="0" w:color="6B818C" w:themeColor="accent5"/>
            </w:tcBorders>
            <w:shd w:val="clear" w:color="auto" w:fill="FFFFFF" w:themeFill="background1"/>
            <w:vAlign w:val="center"/>
          </w:tcPr>
          <w:p w14:paraId="14C3D551"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Quality of Support (customer satisfaction)</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37DB3402"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F66F150" w14:textId="77777777" w:rsidR="0031689B" w:rsidRPr="00FE73DE" w:rsidRDefault="0031689B" w:rsidP="0031689B">
            <w:pPr>
              <w:spacing w:before="40" w:after="40" w:line="240" w:lineRule="auto"/>
              <w:jc w:val="left"/>
              <w:rPr>
                <w:sz w:val="20"/>
                <w:szCs w:val="20"/>
              </w:rPr>
            </w:pPr>
            <w:r w:rsidRPr="00FE73DE">
              <w:rPr>
                <w:sz w:val="20"/>
                <w:szCs w:val="20"/>
              </w:rPr>
              <w:t>92%</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B4479EE"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D0680A4" w14:textId="77777777" w:rsidR="0031689B" w:rsidRPr="00FE73DE" w:rsidRDefault="0031689B" w:rsidP="0031689B">
            <w:pPr>
              <w:spacing w:before="40" w:after="40" w:line="240" w:lineRule="auto"/>
              <w:jc w:val="left"/>
              <w:rPr>
                <w:sz w:val="20"/>
                <w:szCs w:val="20"/>
              </w:rPr>
            </w:pPr>
            <w:r w:rsidRPr="00FE73DE">
              <w:rPr>
                <w:sz w:val="20"/>
                <w:szCs w:val="20"/>
              </w:rPr>
              <w:t>85%</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2D8203F9"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6FDF2C9D" w14:textId="77777777" w:rsidR="0031689B" w:rsidRPr="00FE73DE" w:rsidRDefault="0031689B" w:rsidP="0031689B">
            <w:pPr>
              <w:spacing w:before="40" w:after="40" w:line="240" w:lineRule="auto"/>
              <w:jc w:val="left"/>
              <w:rPr>
                <w:sz w:val="20"/>
                <w:szCs w:val="20"/>
              </w:rPr>
            </w:pPr>
            <w:r w:rsidRPr="00FE73DE">
              <w:rPr>
                <w:sz w:val="20"/>
                <w:szCs w:val="20"/>
              </w:rPr>
              <w:t>91%</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5FBF75F9"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tcBorders>
            <w:shd w:val="clear" w:color="auto" w:fill="FFCCCC"/>
            <w:vAlign w:val="center"/>
          </w:tcPr>
          <w:p w14:paraId="4F1DC3DF" w14:textId="77777777" w:rsidR="0031689B" w:rsidRPr="00FE73DE" w:rsidRDefault="0031689B" w:rsidP="0031689B">
            <w:pPr>
              <w:spacing w:before="40" w:after="40" w:line="240" w:lineRule="auto"/>
              <w:jc w:val="left"/>
              <w:rPr>
                <w:sz w:val="20"/>
                <w:szCs w:val="20"/>
              </w:rPr>
            </w:pPr>
            <w:r w:rsidRPr="00FE73DE">
              <w:rPr>
                <w:sz w:val="20"/>
                <w:szCs w:val="20"/>
              </w:rPr>
              <w:t>78%</w:t>
            </w:r>
          </w:p>
        </w:tc>
      </w:tr>
      <w:tr w:rsidR="0031689B" w:rsidRPr="00FE73DE" w14:paraId="14C7134B" w14:textId="77777777" w:rsidTr="005756D1">
        <w:tc>
          <w:tcPr>
            <w:tcW w:w="0" w:type="auto"/>
            <w:tcBorders>
              <w:top w:val="single" w:sz="4" w:space="0" w:color="6B818C" w:themeColor="accent5"/>
              <w:bottom w:val="single" w:sz="4" w:space="0" w:color="6B818C" w:themeColor="accent5"/>
            </w:tcBorders>
            <w:shd w:val="clear" w:color="auto" w:fill="FFFFFF" w:themeFill="background1"/>
            <w:vAlign w:val="center"/>
          </w:tcPr>
          <w:p w14:paraId="6F82D3AE" w14:textId="77777777" w:rsidR="0031689B" w:rsidRPr="00FE73DE" w:rsidRDefault="0031689B">
            <w:pPr>
              <w:pStyle w:val="ListParagraph"/>
              <w:numPr>
                <w:ilvl w:val="0"/>
                <w:numId w:val="24"/>
              </w:numPr>
              <w:spacing w:before="40" w:after="40" w:line="240" w:lineRule="auto"/>
              <w:jc w:val="left"/>
              <w:rPr>
                <w:sz w:val="20"/>
                <w:szCs w:val="20"/>
              </w:rPr>
            </w:pPr>
            <w:r w:rsidRPr="00FE73DE">
              <w:rPr>
                <w:sz w:val="20"/>
                <w:szCs w:val="20"/>
              </w:rPr>
              <w:t>Participation in services by customers defined as Early Stage customers or pre-bank customers</w:t>
            </w:r>
          </w:p>
        </w:tc>
        <w:tc>
          <w:tcPr>
            <w:tcW w:w="0" w:type="auto"/>
            <w:tcBorders>
              <w:top w:val="single" w:sz="4" w:space="0" w:color="6B818C" w:themeColor="accent5"/>
              <w:bottom w:val="single" w:sz="4" w:space="0" w:color="6B818C" w:themeColor="accent5"/>
            </w:tcBorders>
            <w:shd w:val="clear" w:color="auto" w:fill="FFFFFF" w:themeFill="background1"/>
            <w:vAlign w:val="center"/>
          </w:tcPr>
          <w:p w14:paraId="08FFB698"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F2F2F2" w:themeFill="background1" w:themeFillShade="F2"/>
            <w:vAlign w:val="center"/>
          </w:tcPr>
          <w:p w14:paraId="550CACC6" w14:textId="0C701EBD" w:rsidR="0031689B" w:rsidRPr="00FE73DE" w:rsidRDefault="005756D1" w:rsidP="0031689B">
            <w:pPr>
              <w:spacing w:before="40" w:after="40" w:line="240" w:lineRule="auto"/>
              <w:jc w:val="left"/>
              <w:rPr>
                <w:sz w:val="20"/>
                <w:szCs w:val="20"/>
              </w:rPr>
            </w:pPr>
            <w:r w:rsidRPr="00FE73DE">
              <w:rPr>
                <w:sz w:val="20"/>
                <w:szCs w:val="20"/>
              </w:rPr>
              <w:t>NA</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624D13AD"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41F8B554" w14:textId="77777777" w:rsidR="0031689B" w:rsidRPr="00FE73DE" w:rsidRDefault="0031689B" w:rsidP="0031689B">
            <w:pPr>
              <w:spacing w:before="40" w:after="40" w:line="240" w:lineRule="auto"/>
              <w:jc w:val="left"/>
              <w:rPr>
                <w:sz w:val="20"/>
                <w:szCs w:val="20"/>
              </w:rPr>
            </w:pPr>
            <w:r w:rsidRPr="00FE73DE">
              <w:rPr>
                <w:sz w:val="20"/>
                <w:szCs w:val="20"/>
              </w:rPr>
              <w:t>83%</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7D513D6A"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right w:val="single" w:sz="18" w:space="0" w:color="6B818C" w:themeColor="accent5"/>
            </w:tcBorders>
            <w:shd w:val="clear" w:color="auto" w:fill="E1F1D7" w:themeFill="accent2" w:themeFillTint="33"/>
            <w:vAlign w:val="center"/>
          </w:tcPr>
          <w:p w14:paraId="30AE0CE9" w14:textId="77777777" w:rsidR="0031689B" w:rsidRPr="00FE73DE" w:rsidRDefault="0031689B" w:rsidP="0031689B">
            <w:pPr>
              <w:spacing w:before="40" w:after="40" w:line="240" w:lineRule="auto"/>
              <w:jc w:val="left"/>
              <w:rPr>
                <w:sz w:val="20"/>
                <w:szCs w:val="20"/>
              </w:rPr>
            </w:pPr>
            <w:r w:rsidRPr="00FE73DE">
              <w:rPr>
                <w:sz w:val="20"/>
                <w:szCs w:val="20"/>
              </w:rPr>
              <w:t>92%</w:t>
            </w:r>
          </w:p>
        </w:tc>
        <w:tc>
          <w:tcPr>
            <w:tcW w:w="0" w:type="auto"/>
            <w:tcBorders>
              <w:top w:val="single" w:sz="4" w:space="0" w:color="6B818C" w:themeColor="accent5"/>
              <w:left w:val="single" w:sz="18" w:space="0" w:color="6B818C" w:themeColor="accent5"/>
              <w:bottom w:val="single" w:sz="4" w:space="0" w:color="6B818C" w:themeColor="accent5"/>
            </w:tcBorders>
            <w:shd w:val="clear" w:color="auto" w:fill="FFFFFF" w:themeFill="background1"/>
            <w:vAlign w:val="center"/>
          </w:tcPr>
          <w:p w14:paraId="203214CC" w14:textId="77777777" w:rsidR="0031689B" w:rsidRPr="00FE73DE" w:rsidRDefault="0031689B" w:rsidP="0031689B">
            <w:pPr>
              <w:spacing w:before="40" w:after="40" w:line="240" w:lineRule="auto"/>
              <w:jc w:val="left"/>
              <w:rPr>
                <w:sz w:val="20"/>
                <w:szCs w:val="20"/>
              </w:rPr>
            </w:pPr>
            <w:r w:rsidRPr="00FE73DE">
              <w:rPr>
                <w:sz w:val="20"/>
                <w:szCs w:val="20"/>
              </w:rPr>
              <w:t>80%</w:t>
            </w:r>
          </w:p>
        </w:tc>
        <w:tc>
          <w:tcPr>
            <w:tcW w:w="0" w:type="auto"/>
            <w:tcBorders>
              <w:top w:val="single" w:sz="4" w:space="0" w:color="6B818C" w:themeColor="accent5"/>
              <w:bottom w:val="single" w:sz="4" w:space="0" w:color="6B818C" w:themeColor="accent5"/>
            </w:tcBorders>
            <w:shd w:val="clear" w:color="auto" w:fill="E1F1D7" w:themeFill="accent2" w:themeFillTint="33"/>
            <w:vAlign w:val="center"/>
          </w:tcPr>
          <w:p w14:paraId="3C549AE5" w14:textId="77777777" w:rsidR="0031689B" w:rsidRPr="00FE73DE" w:rsidRDefault="0031689B" w:rsidP="0031689B">
            <w:pPr>
              <w:spacing w:before="40" w:after="40" w:line="240" w:lineRule="auto"/>
              <w:jc w:val="left"/>
              <w:rPr>
                <w:sz w:val="20"/>
                <w:szCs w:val="20"/>
              </w:rPr>
            </w:pPr>
            <w:r w:rsidRPr="00FE73DE">
              <w:rPr>
                <w:sz w:val="20"/>
                <w:szCs w:val="20"/>
              </w:rPr>
              <w:t>91%</w:t>
            </w:r>
          </w:p>
        </w:tc>
      </w:tr>
      <w:tr w:rsidR="0031689B" w:rsidRPr="00FE73DE" w14:paraId="3AE3DC69" w14:textId="77777777" w:rsidTr="00290561">
        <w:tc>
          <w:tcPr>
            <w:tcW w:w="0" w:type="auto"/>
            <w:gridSpan w:val="9"/>
            <w:tcBorders>
              <w:top w:val="single" w:sz="4" w:space="0" w:color="6B818C" w:themeColor="accent5"/>
            </w:tcBorders>
            <w:shd w:val="clear" w:color="auto" w:fill="FFFFFF" w:themeFill="background1"/>
            <w:vAlign w:val="center"/>
          </w:tcPr>
          <w:p w14:paraId="343BDE64" w14:textId="77777777" w:rsidR="0031689B" w:rsidRPr="00FE73DE" w:rsidRDefault="0031689B" w:rsidP="0031689B">
            <w:pPr>
              <w:spacing w:before="40" w:after="40" w:line="240" w:lineRule="auto"/>
              <w:jc w:val="left"/>
              <w:rPr>
                <w:b/>
                <w:bCs/>
                <w:sz w:val="20"/>
                <w:szCs w:val="20"/>
              </w:rPr>
            </w:pPr>
            <w:r w:rsidRPr="00FE73DE">
              <w:rPr>
                <w:b/>
                <w:bCs/>
                <w:sz w:val="20"/>
                <w:szCs w:val="20"/>
              </w:rPr>
              <w:t>KEY</w:t>
            </w:r>
          </w:p>
          <w:p w14:paraId="77CF7A5E" w14:textId="138EE6F1" w:rsidR="0031689B" w:rsidRPr="00FE73DE" w:rsidRDefault="0031689B" w:rsidP="0031689B">
            <w:pPr>
              <w:spacing w:before="40" w:after="40" w:line="240" w:lineRule="auto"/>
              <w:jc w:val="left"/>
              <w:rPr>
                <w:sz w:val="20"/>
                <w:szCs w:val="20"/>
              </w:rPr>
            </w:pPr>
            <w:r w:rsidRPr="00FE73DE">
              <w:rPr>
                <w:color w:val="E1F1D7" w:themeColor="accent2" w:themeTint="33"/>
                <w:sz w:val="32"/>
                <w:szCs w:val="32"/>
              </w:rPr>
              <w:sym w:font="Wingdings" w:char="F06C"/>
            </w:r>
            <w:r w:rsidR="00E77CAB">
              <w:rPr>
                <w:color w:val="E1F1D7" w:themeColor="accent2" w:themeTint="33"/>
                <w:sz w:val="32"/>
                <w:szCs w:val="32"/>
              </w:rPr>
              <w:t xml:space="preserve"> </w:t>
            </w:r>
            <w:r w:rsidRPr="00FE73DE">
              <w:rPr>
                <w:sz w:val="20"/>
                <w:szCs w:val="20"/>
              </w:rPr>
              <w:t>= Target met</w:t>
            </w:r>
          </w:p>
          <w:p w14:paraId="6D965265" w14:textId="1ADEA601" w:rsidR="0031689B" w:rsidRPr="00FE73DE" w:rsidRDefault="0031689B" w:rsidP="0031689B">
            <w:pPr>
              <w:spacing w:before="40" w:after="40" w:line="240" w:lineRule="auto"/>
              <w:jc w:val="left"/>
              <w:rPr>
                <w:sz w:val="20"/>
                <w:szCs w:val="20"/>
              </w:rPr>
            </w:pPr>
            <w:r w:rsidRPr="00FE73DE">
              <w:rPr>
                <w:color w:val="FFCCCC"/>
                <w:sz w:val="32"/>
                <w:szCs w:val="32"/>
              </w:rPr>
              <w:sym w:font="Wingdings" w:char="F06C"/>
            </w:r>
            <w:r w:rsidR="00E77CAB">
              <w:rPr>
                <w:color w:val="E1F1D7" w:themeColor="accent2" w:themeTint="33"/>
                <w:sz w:val="32"/>
                <w:szCs w:val="32"/>
              </w:rPr>
              <w:t xml:space="preserve"> </w:t>
            </w:r>
            <w:r w:rsidRPr="00FE73DE">
              <w:rPr>
                <w:sz w:val="20"/>
                <w:szCs w:val="20"/>
              </w:rPr>
              <w:t>= Target not met</w:t>
            </w:r>
          </w:p>
        </w:tc>
      </w:tr>
    </w:tbl>
    <w:p w14:paraId="23CA850D" w14:textId="77777777" w:rsidR="00916026" w:rsidRPr="00FE73DE" w:rsidRDefault="00916026" w:rsidP="00E77CAB">
      <w:pPr>
        <w:pStyle w:val="TableNote"/>
      </w:pPr>
      <w:r w:rsidRPr="00FE73DE">
        <w:t>Source: Sustineo analysis of IBA performance reporting</w:t>
      </w:r>
    </w:p>
    <w:p w14:paraId="303C5ACE" w14:textId="28AEA3D9" w:rsidR="00290561" w:rsidRPr="00FE73DE" w:rsidRDefault="00290561" w:rsidP="003F1A6E">
      <w:pPr>
        <w:rPr>
          <w:szCs w:val="24"/>
        </w:rPr>
      </w:pPr>
    </w:p>
    <w:p w14:paraId="6FB6D26E" w14:textId="77777777" w:rsidR="00290561" w:rsidRPr="00FE73DE" w:rsidRDefault="00290561" w:rsidP="003F1A6E">
      <w:pPr>
        <w:rPr>
          <w:szCs w:val="24"/>
        </w:rPr>
        <w:sectPr w:rsidR="00290561" w:rsidRPr="00FE73DE" w:rsidSect="0042558A">
          <w:pgSz w:w="16838" w:h="11906" w:orient="landscape" w:code="9"/>
          <w:pgMar w:top="1503" w:right="1701" w:bottom="1503" w:left="1135" w:header="680" w:footer="567" w:gutter="0"/>
          <w:cols w:space="708"/>
          <w:docGrid w:linePitch="360"/>
        </w:sectPr>
      </w:pPr>
    </w:p>
    <w:p w14:paraId="5DD56A06" w14:textId="77777777" w:rsidR="00E77CAB" w:rsidRPr="00FE73DE" w:rsidRDefault="00E77CAB" w:rsidP="00E77CAB">
      <w:pPr>
        <w:rPr>
          <w:szCs w:val="24"/>
        </w:rPr>
      </w:pPr>
      <w:bookmarkStart w:id="64" w:name="_Toc108632453"/>
      <w:bookmarkStart w:id="65" w:name="_Toc109569498"/>
      <w:r w:rsidRPr="00FE73DE">
        <w:rPr>
          <w:szCs w:val="24"/>
        </w:rPr>
        <w:t>For each of the key program design elements (</w:t>
      </w:r>
      <w:r>
        <w:rPr>
          <w:szCs w:val="24"/>
        </w:rPr>
        <w:t>r</w:t>
      </w:r>
      <w:r w:rsidRPr="00FE73DE">
        <w:rPr>
          <w:szCs w:val="24"/>
        </w:rPr>
        <w:t xml:space="preserve">efer </w:t>
      </w:r>
      <w:r>
        <w:rPr>
          <w:szCs w:val="24"/>
        </w:rPr>
        <w:t>s</w:t>
      </w:r>
      <w:r w:rsidRPr="00FE73DE">
        <w:rPr>
          <w:szCs w:val="24"/>
        </w:rPr>
        <w:t>ection 3) the rest of this section analyses in more detail the performance against the targets</w:t>
      </w:r>
      <w:r w:rsidRPr="00FE73DE">
        <w:rPr>
          <w:rStyle w:val="CommentReference"/>
          <w:color w:val="14425D" w:themeColor="text2"/>
          <w:kern w:val="10"/>
        </w:rPr>
        <w:t>.</w:t>
      </w:r>
      <w:r w:rsidRPr="00FE73DE">
        <w:rPr>
          <w:szCs w:val="24"/>
        </w:rPr>
        <w:t xml:space="preserve"> </w:t>
      </w:r>
    </w:p>
    <w:p w14:paraId="7EAB09F2" w14:textId="1211F212" w:rsidR="005A3FB1" w:rsidRPr="00FE73DE" w:rsidRDefault="005A3FB1">
      <w:pPr>
        <w:pStyle w:val="Heading3"/>
      </w:pPr>
      <w:r w:rsidRPr="00FE73DE">
        <w:t xml:space="preserve">Customer </w:t>
      </w:r>
      <w:r w:rsidR="001C5FBE" w:rsidRPr="00FE73DE">
        <w:t>e</w:t>
      </w:r>
      <w:r w:rsidRPr="00FE73DE">
        <w:t xml:space="preserve">ligibility for </w:t>
      </w:r>
      <w:r w:rsidR="001C5FBE" w:rsidRPr="00FE73DE">
        <w:t>b</w:t>
      </w:r>
      <w:r w:rsidRPr="00FE73DE">
        <w:t xml:space="preserve">usiness </w:t>
      </w:r>
      <w:r w:rsidR="001C5FBE" w:rsidRPr="00FE73DE">
        <w:t>s</w:t>
      </w:r>
      <w:r w:rsidRPr="00FE73DE">
        <w:t xml:space="preserve">upport and </w:t>
      </w:r>
      <w:r w:rsidR="001C5FBE" w:rsidRPr="00FE73DE">
        <w:t>f</w:t>
      </w:r>
      <w:r w:rsidRPr="00FE73DE">
        <w:t>inance</w:t>
      </w:r>
      <w:bookmarkEnd w:id="64"/>
      <w:bookmarkEnd w:id="65"/>
    </w:p>
    <w:p w14:paraId="02A97E8E" w14:textId="1D326CD7" w:rsidR="005A3FB1" w:rsidRPr="00FE73DE" w:rsidRDefault="005A3FB1" w:rsidP="005A3FB1">
      <w:pPr>
        <w:rPr>
          <w:szCs w:val="24"/>
        </w:rPr>
      </w:pPr>
      <w:r w:rsidRPr="00FE73DE">
        <w:rPr>
          <w:szCs w:val="24"/>
        </w:rPr>
        <w:t xml:space="preserve">There is currently no </w:t>
      </w:r>
      <w:r w:rsidR="00B82FFE" w:rsidRPr="00FE73DE">
        <w:rPr>
          <w:szCs w:val="24"/>
        </w:rPr>
        <w:t>KPI</w:t>
      </w:r>
      <w:r w:rsidRPr="00FE73DE">
        <w:rPr>
          <w:szCs w:val="24"/>
        </w:rPr>
        <w:t xml:space="preserve"> for understanding the level of program demand</w:t>
      </w:r>
      <w:r w:rsidR="00B82FFE" w:rsidRPr="00FE73DE">
        <w:rPr>
          <w:szCs w:val="24"/>
        </w:rPr>
        <w:t xml:space="preserve"> (i.e. as an expression of interest for business support assistance, or the number of applicants who have applied for finance and not received it)</w:t>
      </w:r>
      <w:r w:rsidRPr="00FE73DE">
        <w:rPr>
          <w:szCs w:val="24"/>
        </w:rPr>
        <w:t xml:space="preserve">, compared to the </w:t>
      </w:r>
      <w:r w:rsidR="00B82FFE" w:rsidRPr="00FE73DE">
        <w:rPr>
          <w:szCs w:val="24"/>
        </w:rPr>
        <w:t xml:space="preserve">number </w:t>
      </w:r>
      <w:r w:rsidRPr="00FE73DE">
        <w:rPr>
          <w:szCs w:val="24"/>
        </w:rPr>
        <w:t xml:space="preserve">of customers </w:t>
      </w:r>
      <w:r w:rsidR="00B82FFE" w:rsidRPr="00FE73DE">
        <w:rPr>
          <w:szCs w:val="24"/>
        </w:rPr>
        <w:t xml:space="preserve">who have </w:t>
      </w:r>
      <w:r w:rsidR="00E77CAB">
        <w:rPr>
          <w:szCs w:val="24"/>
        </w:rPr>
        <w:t>received</w:t>
      </w:r>
      <w:r w:rsidR="00B82FFE" w:rsidRPr="00FE73DE">
        <w:rPr>
          <w:szCs w:val="24"/>
        </w:rPr>
        <w:t xml:space="preserve"> </w:t>
      </w:r>
      <w:r w:rsidRPr="00FE73DE">
        <w:rPr>
          <w:szCs w:val="24"/>
        </w:rPr>
        <w:t xml:space="preserve">business support services </w:t>
      </w:r>
      <w:r w:rsidR="001454BC" w:rsidRPr="00FE73DE">
        <w:rPr>
          <w:szCs w:val="24"/>
        </w:rPr>
        <w:t>and/</w:t>
      </w:r>
      <w:r w:rsidRPr="00FE73DE">
        <w:rPr>
          <w:szCs w:val="24"/>
        </w:rPr>
        <w:t xml:space="preserve">or finance products. This would be a useful measure to track in terms of understanding the level of program demand and potential barriers to </w:t>
      </w:r>
      <w:r w:rsidR="00B82FFE" w:rsidRPr="00FE73DE">
        <w:rPr>
          <w:szCs w:val="24"/>
        </w:rPr>
        <w:t>successfully gaining access</w:t>
      </w:r>
      <w:r w:rsidRPr="00FE73DE">
        <w:rPr>
          <w:szCs w:val="24"/>
        </w:rPr>
        <w:t>. In the case of low</w:t>
      </w:r>
      <w:r w:rsidR="001454BC" w:rsidRPr="00FE73DE">
        <w:rPr>
          <w:szCs w:val="24"/>
        </w:rPr>
        <w:t xml:space="preserve"> success rates</w:t>
      </w:r>
      <w:r w:rsidR="001C5FBE" w:rsidRPr="00FE73DE">
        <w:rPr>
          <w:szCs w:val="24"/>
        </w:rPr>
        <w:t>,</w:t>
      </w:r>
      <w:r w:rsidRPr="00FE73DE">
        <w:rPr>
          <w:szCs w:val="24"/>
        </w:rPr>
        <w:t xml:space="preserve"> it could also signal a need to examine </w:t>
      </w:r>
      <w:r w:rsidR="001454BC" w:rsidRPr="00FE73DE">
        <w:rPr>
          <w:szCs w:val="24"/>
        </w:rPr>
        <w:t>the communication of selection criteria and whether there were innovative or alternate models of support available to meet this need.</w:t>
      </w:r>
    </w:p>
    <w:p w14:paraId="3B68C7F5" w14:textId="0EF8A9E2" w:rsidR="005A3FB1" w:rsidRPr="00FE73DE" w:rsidRDefault="005A3FB1" w:rsidP="005A3FB1">
      <w:pPr>
        <w:rPr>
          <w:szCs w:val="24"/>
        </w:rPr>
      </w:pPr>
      <w:r w:rsidRPr="00FE73DE">
        <w:rPr>
          <w:szCs w:val="24"/>
        </w:rPr>
        <w:t>The importance of understanding program demand is illustrated in the case of the</w:t>
      </w:r>
      <w:r w:rsidR="00C17E53" w:rsidRPr="00FE73DE">
        <w:rPr>
          <w:szCs w:val="24"/>
        </w:rPr>
        <w:t xml:space="preserve"> </w:t>
      </w:r>
      <w:r w:rsidR="00C17E53" w:rsidRPr="00FE73DE">
        <w:t>COVID-19 IBRP</w:t>
      </w:r>
      <w:r w:rsidRPr="00FE73DE">
        <w:rPr>
          <w:szCs w:val="24"/>
        </w:rPr>
        <w:t xml:space="preserve"> where capturing demand</w:t>
      </w:r>
      <w:r w:rsidR="00C17E53" w:rsidRPr="00FE73DE">
        <w:rPr>
          <w:szCs w:val="24"/>
        </w:rPr>
        <w:t xml:space="preserve"> information enabled IBA to recommend modifications to the program after the first </w:t>
      </w:r>
      <w:r w:rsidR="00F32EBA">
        <w:rPr>
          <w:szCs w:val="24"/>
        </w:rPr>
        <w:t>four</w:t>
      </w:r>
      <w:r w:rsidR="00C17E53" w:rsidRPr="00FE73DE">
        <w:rPr>
          <w:szCs w:val="24"/>
        </w:rPr>
        <w:t xml:space="preserve"> months of operation </w:t>
      </w:r>
      <w:r w:rsidR="00F603A1" w:rsidRPr="00FE73DE">
        <w:t xml:space="preserve">(refer </w:t>
      </w:r>
      <w:r w:rsidR="00886F33" w:rsidRPr="00FE73DE">
        <w:t>s</w:t>
      </w:r>
      <w:r w:rsidR="00F603A1" w:rsidRPr="00FE73DE">
        <w:t xml:space="preserve">ection </w:t>
      </w:r>
      <w:r w:rsidR="00886F33" w:rsidRPr="00FE73DE">
        <w:t>3.2.6</w:t>
      </w:r>
      <w:r w:rsidR="00F603A1" w:rsidRPr="00FE73DE">
        <w:t>)</w:t>
      </w:r>
      <w:r w:rsidR="00C17E53" w:rsidRPr="00FE73DE">
        <w:t>.</w:t>
      </w:r>
      <w:r w:rsidRPr="00FE73DE">
        <w:rPr>
          <w:szCs w:val="24"/>
        </w:rPr>
        <w:t xml:space="preserve"> I</w:t>
      </w:r>
      <w:r w:rsidR="00F603A1" w:rsidRPr="00FE73DE">
        <w:rPr>
          <w:szCs w:val="24"/>
        </w:rPr>
        <w:t xml:space="preserve">n the first </w:t>
      </w:r>
      <w:r w:rsidR="00417FE3" w:rsidRPr="00FE73DE">
        <w:rPr>
          <w:szCs w:val="24"/>
        </w:rPr>
        <w:t xml:space="preserve">year of </w:t>
      </w:r>
      <w:r w:rsidR="00F603A1" w:rsidRPr="00FE73DE">
        <w:rPr>
          <w:szCs w:val="24"/>
        </w:rPr>
        <w:t xml:space="preserve">the IBRP, tracking the initial </w:t>
      </w:r>
      <w:r w:rsidR="00E77CAB">
        <w:rPr>
          <w:szCs w:val="24"/>
        </w:rPr>
        <w:t>EOI</w:t>
      </w:r>
      <w:r w:rsidR="00417FE3" w:rsidRPr="00FE73DE">
        <w:rPr>
          <w:szCs w:val="24"/>
        </w:rPr>
        <w:t xml:space="preserve"> </w:t>
      </w:r>
      <w:r w:rsidR="00E77CAB">
        <w:rPr>
          <w:szCs w:val="24"/>
        </w:rPr>
        <w:t>against</w:t>
      </w:r>
      <w:r w:rsidR="00F603A1" w:rsidRPr="00FE73DE">
        <w:rPr>
          <w:szCs w:val="24"/>
        </w:rPr>
        <w:t xml:space="preserve"> customers that had a business impact assessment showed that over 50% of </w:t>
      </w:r>
      <w:r w:rsidR="00417FE3" w:rsidRPr="00FE73DE">
        <w:rPr>
          <w:szCs w:val="24"/>
        </w:rPr>
        <w:t xml:space="preserve">EOIs </w:t>
      </w:r>
      <w:r w:rsidR="00F603A1" w:rsidRPr="00FE73DE">
        <w:rPr>
          <w:szCs w:val="24"/>
        </w:rPr>
        <w:t xml:space="preserve">did </w:t>
      </w:r>
      <w:r w:rsidRPr="00FE73DE">
        <w:rPr>
          <w:szCs w:val="24"/>
        </w:rPr>
        <w:t>not progress</w:t>
      </w:r>
      <w:r w:rsidR="00417FE3" w:rsidRPr="00FE73DE">
        <w:rPr>
          <w:szCs w:val="24"/>
        </w:rPr>
        <w:t xml:space="preserve"> to assessment</w:t>
      </w:r>
      <w:r w:rsidRPr="00FE73DE">
        <w:rPr>
          <w:szCs w:val="24"/>
        </w:rPr>
        <w:t xml:space="preserve">. </w:t>
      </w:r>
      <w:r w:rsidR="00417FE3" w:rsidRPr="00FE73DE">
        <w:rPr>
          <w:szCs w:val="24"/>
        </w:rPr>
        <w:t>Of those who were assessed, some 14% received external business support, and 44% of assessed businesses were approve</w:t>
      </w:r>
      <w:r w:rsidR="00E77CAB">
        <w:rPr>
          <w:szCs w:val="24"/>
        </w:rPr>
        <w:t>d for</w:t>
      </w:r>
      <w:r w:rsidR="00417FE3" w:rsidRPr="00FE73DE">
        <w:rPr>
          <w:szCs w:val="24"/>
        </w:rPr>
        <w:t xml:space="preserve"> a loan/grant package. </w:t>
      </w:r>
    </w:p>
    <w:p w14:paraId="74A3E4AC" w14:textId="582F9D4C" w:rsidR="009C76D8" w:rsidRPr="00FE73DE" w:rsidRDefault="005A3FB1" w:rsidP="005A3FB1">
      <w:pPr>
        <w:rPr>
          <w:szCs w:val="24"/>
        </w:rPr>
      </w:pPr>
      <w:r w:rsidRPr="00FE73DE">
        <w:rPr>
          <w:szCs w:val="24"/>
        </w:rPr>
        <w:t>The unintended consequence of not capturing this information</w:t>
      </w:r>
      <w:r w:rsidR="00CB1BEF" w:rsidRPr="00FE73DE">
        <w:rPr>
          <w:szCs w:val="24"/>
        </w:rPr>
        <w:t xml:space="preserve"> for the BSP</w:t>
      </w:r>
      <w:r w:rsidRPr="00FE73DE">
        <w:rPr>
          <w:szCs w:val="24"/>
        </w:rPr>
        <w:t xml:space="preserve"> </w:t>
      </w:r>
      <w:r w:rsidR="00E77CAB">
        <w:rPr>
          <w:szCs w:val="24"/>
        </w:rPr>
        <w:t>is</w:t>
      </w:r>
      <w:r w:rsidR="008A6B7D" w:rsidRPr="00FE73DE">
        <w:rPr>
          <w:szCs w:val="24"/>
        </w:rPr>
        <w:t xml:space="preserve"> that notwithstanding the BSP satisfying the policy intent and meeting </w:t>
      </w:r>
      <w:r w:rsidR="00206347" w:rsidRPr="00FE73DE">
        <w:rPr>
          <w:szCs w:val="24"/>
        </w:rPr>
        <w:t>KPIs</w:t>
      </w:r>
      <w:r w:rsidR="008A6B7D" w:rsidRPr="00FE73DE">
        <w:rPr>
          <w:szCs w:val="24"/>
        </w:rPr>
        <w:t xml:space="preserve">, there could be a large cohort of Indigenous businesses still unable to access necessary business support and finance. </w:t>
      </w:r>
      <w:r w:rsidR="001454BC" w:rsidRPr="00FE73DE">
        <w:rPr>
          <w:szCs w:val="24"/>
        </w:rPr>
        <w:t>Understanding the gap is the first step to identifying the nature of support being requested. Clearer communication on the nature and type of support available under the BSP</w:t>
      </w:r>
      <w:r w:rsidR="00295D4F" w:rsidRPr="00FE73DE">
        <w:rPr>
          <w:szCs w:val="24"/>
        </w:rPr>
        <w:t xml:space="preserve">, including with any </w:t>
      </w:r>
      <w:r w:rsidR="001454BC" w:rsidRPr="00FE73DE">
        <w:rPr>
          <w:szCs w:val="24"/>
        </w:rPr>
        <w:t>eligibility requirements</w:t>
      </w:r>
      <w:r w:rsidR="00295D4F" w:rsidRPr="00FE73DE">
        <w:rPr>
          <w:szCs w:val="24"/>
        </w:rPr>
        <w:t>,</w:t>
      </w:r>
      <w:r w:rsidR="001454BC" w:rsidRPr="00FE73DE">
        <w:rPr>
          <w:szCs w:val="24"/>
        </w:rPr>
        <w:t xml:space="preserve"> would assist </w:t>
      </w:r>
      <w:r w:rsidR="00295D4F" w:rsidRPr="00FE73DE">
        <w:rPr>
          <w:szCs w:val="24"/>
        </w:rPr>
        <w:t>customer expectations and broader coordination across the business support ecosystem.</w:t>
      </w:r>
      <w:r w:rsidR="00417FE3" w:rsidRPr="00FE73DE">
        <w:rPr>
          <w:szCs w:val="24"/>
        </w:rPr>
        <w:t xml:space="preserve"> </w:t>
      </w:r>
    </w:p>
    <w:p w14:paraId="45E6C46D" w14:textId="6D9FE450" w:rsidR="00C76745" w:rsidRPr="00FE73DE" w:rsidRDefault="00197D86">
      <w:pPr>
        <w:pStyle w:val="Heading3"/>
      </w:pPr>
      <w:r w:rsidRPr="00FE73DE">
        <w:t xml:space="preserve">Business </w:t>
      </w:r>
      <w:r w:rsidR="00AA4CEB" w:rsidRPr="00FE73DE">
        <w:t>s</w:t>
      </w:r>
      <w:r w:rsidRPr="00FE73DE">
        <w:t>upport</w:t>
      </w:r>
    </w:p>
    <w:p w14:paraId="39FC5921" w14:textId="7CEB9496" w:rsidR="001920EE" w:rsidRPr="00FE73DE" w:rsidRDefault="001920EE" w:rsidP="00381BB7">
      <w:pPr>
        <w:rPr>
          <w:szCs w:val="24"/>
        </w:rPr>
      </w:pPr>
      <w:r w:rsidRPr="00FE73DE">
        <w:rPr>
          <w:szCs w:val="24"/>
        </w:rPr>
        <w:t xml:space="preserve">The core KPIs </w:t>
      </w:r>
      <w:r w:rsidR="001454BC" w:rsidRPr="00FE73DE">
        <w:rPr>
          <w:szCs w:val="24"/>
        </w:rPr>
        <w:t xml:space="preserve">for business support </w:t>
      </w:r>
      <w:r w:rsidR="00CD2005">
        <w:rPr>
          <w:szCs w:val="24"/>
        </w:rPr>
        <w:t xml:space="preserve">are </w:t>
      </w:r>
      <w:r w:rsidR="001005E1" w:rsidRPr="00FE73DE">
        <w:rPr>
          <w:szCs w:val="24"/>
        </w:rPr>
        <w:t xml:space="preserve">the number of customers who are provided </w:t>
      </w:r>
      <w:r w:rsidRPr="00FE73DE">
        <w:rPr>
          <w:szCs w:val="24"/>
        </w:rPr>
        <w:t>internal or external support</w:t>
      </w:r>
      <w:r w:rsidR="001005E1" w:rsidRPr="00FE73DE">
        <w:rPr>
          <w:szCs w:val="24"/>
        </w:rPr>
        <w:t>.</w:t>
      </w:r>
      <w:r w:rsidR="00777394">
        <w:rPr>
          <w:szCs w:val="24"/>
        </w:rPr>
        <w:t xml:space="preserve"> </w:t>
      </w:r>
      <w:r w:rsidR="001005E1" w:rsidRPr="00FE73DE">
        <w:rPr>
          <w:szCs w:val="24"/>
        </w:rPr>
        <w:t>The level of remoteness of customers is</w:t>
      </w:r>
      <w:r w:rsidR="0078059C" w:rsidRPr="00FE73DE">
        <w:rPr>
          <w:szCs w:val="24"/>
        </w:rPr>
        <w:t xml:space="preserve"> included in</w:t>
      </w:r>
      <w:r w:rsidR="001005E1" w:rsidRPr="00FE73DE">
        <w:rPr>
          <w:szCs w:val="24"/>
        </w:rPr>
        <w:t xml:space="preserve"> an overarching KPI</w:t>
      </w:r>
      <w:r w:rsidR="00777394">
        <w:rPr>
          <w:szCs w:val="24"/>
        </w:rPr>
        <w:t xml:space="preserve"> (covering business support and access to finance)</w:t>
      </w:r>
      <w:r w:rsidR="001005E1" w:rsidRPr="00FE73DE">
        <w:rPr>
          <w:szCs w:val="24"/>
        </w:rPr>
        <w:t xml:space="preserve">, as is overall </w:t>
      </w:r>
      <w:r w:rsidRPr="00FE73DE">
        <w:rPr>
          <w:szCs w:val="24"/>
        </w:rPr>
        <w:t>level of customer satisfaction (80% target).</w:t>
      </w:r>
    </w:p>
    <w:p w14:paraId="55DA1AFA" w14:textId="08617666" w:rsidR="005A3FB1" w:rsidRPr="00FE73DE" w:rsidRDefault="000C5C5F" w:rsidP="00381BB7">
      <w:r w:rsidRPr="00FE73DE">
        <w:rPr>
          <w:szCs w:val="24"/>
        </w:rPr>
        <w:t xml:space="preserve">As outlined in </w:t>
      </w:r>
      <w:r w:rsidRPr="00FE73DE">
        <w:rPr>
          <w:szCs w:val="24"/>
        </w:rPr>
        <w:fldChar w:fldCharType="begin"/>
      </w:r>
      <w:r w:rsidRPr="00FE73DE">
        <w:rPr>
          <w:szCs w:val="24"/>
        </w:rPr>
        <w:instrText xml:space="preserve"> REF _Ref110608936 \h </w:instrText>
      </w:r>
      <w:r w:rsidRPr="00FE73DE">
        <w:rPr>
          <w:szCs w:val="24"/>
        </w:rPr>
      </w:r>
      <w:r w:rsidRPr="00FE73DE">
        <w:rPr>
          <w:szCs w:val="24"/>
        </w:rPr>
        <w:fldChar w:fldCharType="separate"/>
      </w:r>
      <w:r w:rsidR="004718C9" w:rsidRPr="00FE73DE">
        <w:t xml:space="preserve">Table </w:t>
      </w:r>
      <w:r w:rsidR="004718C9">
        <w:rPr>
          <w:noProof/>
        </w:rPr>
        <w:t>4</w:t>
      </w:r>
      <w:r w:rsidRPr="00FE73DE">
        <w:rPr>
          <w:szCs w:val="24"/>
        </w:rPr>
        <w:fldChar w:fldCharType="end"/>
      </w:r>
      <w:r w:rsidRPr="00FE73DE">
        <w:rPr>
          <w:szCs w:val="24"/>
        </w:rPr>
        <w:t xml:space="preserve">, </w:t>
      </w:r>
      <w:r w:rsidR="005A3FB1" w:rsidRPr="00FE73DE">
        <w:rPr>
          <w:szCs w:val="24"/>
        </w:rPr>
        <w:t xml:space="preserve">the performance targets </w:t>
      </w:r>
      <w:r w:rsidRPr="00FE73DE">
        <w:rPr>
          <w:szCs w:val="24"/>
        </w:rPr>
        <w:t xml:space="preserve">for internal business support </w:t>
      </w:r>
      <w:r w:rsidR="00F32EBA">
        <w:rPr>
          <w:szCs w:val="24"/>
        </w:rPr>
        <w:t xml:space="preserve">have varied over the life of the BSP, and from 2018-19 onwards were merged </w:t>
      </w:r>
      <w:r w:rsidR="005A3FB1" w:rsidRPr="00FE73DE">
        <w:t xml:space="preserve">into the one </w:t>
      </w:r>
      <w:r w:rsidRPr="00FE73DE">
        <w:t xml:space="preserve">target </w:t>
      </w:r>
      <w:r w:rsidR="005A3FB1" w:rsidRPr="00FE73DE">
        <w:t>measure</w:t>
      </w:r>
      <w:r w:rsidR="00F32EBA">
        <w:t xml:space="preserve"> for</w:t>
      </w:r>
      <w:r w:rsidRPr="00FE73DE">
        <w:t xml:space="preserve"> </w:t>
      </w:r>
      <w:r w:rsidR="005A3FB1" w:rsidRPr="00FE73DE">
        <w:t>customers receiving business support</w:t>
      </w:r>
      <w:r w:rsidRPr="00FE73DE">
        <w:t xml:space="preserve"> (both internal and external support)</w:t>
      </w:r>
      <w:r w:rsidR="005A3FB1" w:rsidRPr="00FE73DE">
        <w:t>.</w:t>
      </w:r>
      <w:r w:rsidR="00857ACF">
        <w:t xml:space="preserve"> The risk by merging the KPI target </w:t>
      </w:r>
      <w:r w:rsidR="00F32EBA">
        <w:t xml:space="preserve">for business support </w:t>
      </w:r>
      <w:r w:rsidR="00857ACF">
        <w:t xml:space="preserve">is that one business may be provided with both internal support as well as external support and it is therefore only one business being supported, not two separate businesses. This nuance can be lost by the aggregated target. </w:t>
      </w:r>
      <w:r w:rsidR="004674C8" w:rsidRPr="00FE73DE">
        <w:t xml:space="preserve">Notwithstanding the anomalies in reporting, </w:t>
      </w:r>
      <w:r w:rsidR="00857ACF">
        <w:t xml:space="preserve">the overall instances of </w:t>
      </w:r>
      <w:r w:rsidR="004674C8" w:rsidRPr="00FE73DE">
        <w:rPr>
          <w:szCs w:val="24"/>
        </w:rPr>
        <w:t>internal and external support have met the key benchmarks.</w:t>
      </w:r>
    </w:p>
    <w:p w14:paraId="23ACE8E9" w14:textId="1811DAA1" w:rsidR="00E46073" w:rsidRPr="00E77CAB" w:rsidRDefault="000C5C5F" w:rsidP="00197D86">
      <w:pPr>
        <w:rPr>
          <w:spacing w:val="-2"/>
        </w:rPr>
      </w:pPr>
      <w:r w:rsidRPr="00E77CAB">
        <w:rPr>
          <w:spacing w:val="-2"/>
        </w:rPr>
        <w:t>In addition to specific performance measures, the BSP grant agreement expected that customers were to be supported across the business lifecycle, but with an emphasis on providing support to early</w:t>
      </w:r>
      <w:r w:rsidR="0035315C" w:rsidRPr="00E77CAB">
        <w:rPr>
          <w:spacing w:val="-2"/>
        </w:rPr>
        <w:t xml:space="preserve"> </w:t>
      </w:r>
      <w:r w:rsidRPr="00E77CAB">
        <w:rPr>
          <w:spacing w:val="-2"/>
        </w:rPr>
        <w:t xml:space="preserve">stage businesses. </w:t>
      </w:r>
      <w:r w:rsidR="00E46073" w:rsidRPr="00E77CAB">
        <w:rPr>
          <w:spacing w:val="-2"/>
        </w:rPr>
        <w:t xml:space="preserve">This </w:t>
      </w:r>
      <w:r w:rsidR="005C06F2" w:rsidRPr="00E77CAB">
        <w:rPr>
          <w:spacing w:val="-2"/>
        </w:rPr>
        <w:t>emphasis is evident in the</w:t>
      </w:r>
      <w:r w:rsidR="00E46073" w:rsidRPr="00E77CAB">
        <w:rPr>
          <w:spacing w:val="-2"/>
        </w:rPr>
        <w:t xml:space="preserve"> proportion of all customers </w:t>
      </w:r>
      <w:r w:rsidR="00BB6303" w:rsidRPr="00E77CAB">
        <w:rPr>
          <w:spacing w:val="-2"/>
        </w:rPr>
        <w:t xml:space="preserve">receiving internal and external business </w:t>
      </w:r>
      <w:r w:rsidR="00E46073" w:rsidRPr="00E77CAB">
        <w:rPr>
          <w:spacing w:val="-2"/>
        </w:rPr>
        <w:t>support since 2017</w:t>
      </w:r>
      <w:r w:rsidR="00E77CAB" w:rsidRPr="00E77CAB">
        <w:rPr>
          <w:spacing w:val="-2"/>
        </w:rPr>
        <w:t>–</w:t>
      </w:r>
      <w:r w:rsidR="00E46073" w:rsidRPr="00E77CAB">
        <w:rPr>
          <w:spacing w:val="-2"/>
        </w:rPr>
        <w:t>18</w:t>
      </w:r>
      <w:r w:rsidR="005C06F2" w:rsidRPr="00E77CAB">
        <w:rPr>
          <w:spacing w:val="-2"/>
        </w:rPr>
        <w:t>. As shown in</w:t>
      </w:r>
      <w:r w:rsidR="005C06F2" w:rsidRPr="00E77CAB">
        <w:rPr>
          <w:spacing w:val="-4"/>
        </w:rPr>
        <w:t xml:space="preserve"> </w:t>
      </w:r>
      <w:r w:rsidR="00566B22" w:rsidRPr="00E77CAB">
        <w:rPr>
          <w:spacing w:val="-4"/>
        </w:rPr>
        <w:fldChar w:fldCharType="begin"/>
      </w:r>
      <w:r w:rsidR="00566B22" w:rsidRPr="00E77CAB">
        <w:rPr>
          <w:spacing w:val="-4"/>
        </w:rPr>
        <w:instrText xml:space="preserve"> REF _Ref104996787 \h </w:instrText>
      </w:r>
      <w:r w:rsidR="00E77CAB" w:rsidRPr="00E77CAB">
        <w:rPr>
          <w:spacing w:val="-4"/>
        </w:rPr>
        <w:instrText xml:space="preserve"> \* MERGEFORMAT </w:instrText>
      </w:r>
      <w:r w:rsidR="00566B22" w:rsidRPr="00E77CAB">
        <w:rPr>
          <w:spacing w:val="-4"/>
        </w:rPr>
      </w:r>
      <w:r w:rsidR="00566B22" w:rsidRPr="00E77CAB">
        <w:rPr>
          <w:spacing w:val="-4"/>
        </w:rPr>
        <w:fldChar w:fldCharType="separate"/>
      </w:r>
      <w:r w:rsidR="004718C9" w:rsidRPr="004718C9">
        <w:rPr>
          <w:spacing w:val="-4"/>
        </w:rPr>
        <w:t>Figure 5</w:t>
      </w:r>
      <w:r w:rsidR="00566B22" w:rsidRPr="00E77CAB">
        <w:rPr>
          <w:spacing w:val="-4"/>
        </w:rPr>
        <w:fldChar w:fldCharType="end"/>
      </w:r>
      <w:r w:rsidR="00566B22" w:rsidRPr="00E77CAB">
        <w:rPr>
          <w:spacing w:val="-4"/>
        </w:rPr>
        <w:t>,</w:t>
      </w:r>
      <w:r w:rsidR="005C06F2" w:rsidRPr="00E77CAB">
        <w:rPr>
          <w:spacing w:val="-4"/>
        </w:rPr>
        <w:t xml:space="preserve"> </w:t>
      </w:r>
      <w:r w:rsidR="00E46073" w:rsidRPr="00E77CAB">
        <w:rPr>
          <w:spacing w:val="-4"/>
        </w:rPr>
        <w:t xml:space="preserve">the </w:t>
      </w:r>
      <w:r w:rsidR="00566B22" w:rsidRPr="00E77CAB">
        <w:rPr>
          <w:spacing w:val="-4"/>
        </w:rPr>
        <w:t xml:space="preserve">proportion of </w:t>
      </w:r>
      <w:r w:rsidR="00BB6303" w:rsidRPr="00E77CAB">
        <w:rPr>
          <w:spacing w:val="-4"/>
        </w:rPr>
        <w:t xml:space="preserve">internal business </w:t>
      </w:r>
      <w:r w:rsidR="00E46073" w:rsidRPr="00E77CAB">
        <w:rPr>
          <w:spacing w:val="-4"/>
        </w:rPr>
        <w:t xml:space="preserve">support </w:t>
      </w:r>
      <w:r w:rsidR="00566B22" w:rsidRPr="00E77CAB">
        <w:rPr>
          <w:spacing w:val="-4"/>
        </w:rPr>
        <w:t xml:space="preserve">customers categorised as </w:t>
      </w:r>
      <w:r w:rsidR="00E46073" w:rsidRPr="00E77CAB">
        <w:rPr>
          <w:spacing w:val="-4"/>
        </w:rPr>
        <w:t>early</w:t>
      </w:r>
      <w:r w:rsidR="0035315C" w:rsidRPr="00E77CAB">
        <w:rPr>
          <w:spacing w:val="-4"/>
        </w:rPr>
        <w:t xml:space="preserve"> </w:t>
      </w:r>
      <w:r w:rsidR="00E46073" w:rsidRPr="00E77CAB">
        <w:rPr>
          <w:spacing w:val="-4"/>
        </w:rPr>
        <w:t xml:space="preserve">stage </w:t>
      </w:r>
      <w:r w:rsidR="00CA2653" w:rsidRPr="00E77CAB">
        <w:rPr>
          <w:spacing w:val="-2"/>
        </w:rPr>
        <w:t xml:space="preserve">increased from 57% </w:t>
      </w:r>
      <w:r w:rsidR="00566B22" w:rsidRPr="00E77CAB">
        <w:rPr>
          <w:spacing w:val="-2"/>
        </w:rPr>
        <w:t>in 2016</w:t>
      </w:r>
      <w:r w:rsidR="00E77CAB" w:rsidRPr="00E77CAB">
        <w:rPr>
          <w:spacing w:val="-2"/>
        </w:rPr>
        <w:t>–</w:t>
      </w:r>
      <w:r w:rsidR="00566B22" w:rsidRPr="00E77CAB">
        <w:rPr>
          <w:spacing w:val="-2"/>
        </w:rPr>
        <w:t xml:space="preserve">17 </w:t>
      </w:r>
      <w:r w:rsidR="00CA2653" w:rsidRPr="00E77CAB">
        <w:rPr>
          <w:spacing w:val="-2"/>
        </w:rPr>
        <w:t xml:space="preserve">to more than 70% of customers for the last </w:t>
      </w:r>
      <w:r w:rsidR="00295C5C">
        <w:rPr>
          <w:spacing w:val="-2"/>
        </w:rPr>
        <w:t>four</w:t>
      </w:r>
      <w:r w:rsidR="00CA2653" w:rsidRPr="00E77CAB">
        <w:rPr>
          <w:spacing w:val="-2"/>
        </w:rPr>
        <w:t xml:space="preserve"> years</w:t>
      </w:r>
      <w:r w:rsidR="00566B22" w:rsidRPr="00E77CAB">
        <w:rPr>
          <w:spacing w:val="-2"/>
        </w:rPr>
        <w:t>.</w:t>
      </w:r>
      <w:r w:rsidR="00E46073" w:rsidRPr="00E77CAB">
        <w:rPr>
          <w:spacing w:val="-2"/>
        </w:rPr>
        <w:t xml:space="preserve"> </w:t>
      </w:r>
    </w:p>
    <w:p w14:paraId="3960937F" w14:textId="6151AD6B" w:rsidR="004674C8" w:rsidRPr="00FE73DE" w:rsidRDefault="00A87BEB" w:rsidP="00197D86">
      <w:r w:rsidRPr="00FE73DE">
        <w:rPr>
          <w:noProof/>
          <w:lang w:eastAsia="en-AU"/>
        </w:rPr>
        <w:drawing>
          <wp:inline distT="0" distB="0" distL="0" distR="0" wp14:anchorId="3AC1BC40" wp14:editId="45E48F42">
            <wp:extent cx="5660176" cy="30710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2140" cy="3082921"/>
                    </a:xfrm>
                    <a:prstGeom prst="rect">
                      <a:avLst/>
                    </a:prstGeom>
                    <a:noFill/>
                  </pic:spPr>
                </pic:pic>
              </a:graphicData>
            </a:graphic>
          </wp:inline>
        </w:drawing>
      </w:r>
    </w:p>
    <w:p w14:paraId="4B5A1AF3" w14:textId="148AD13C" w:rsidR="00A87BEB" w:rsidRPr="00FE73DE" w:rsidRDefault="00A87BEB" w:rsidP="00A87BEB">
      <w:pPr>
        <w:pStyle w:val="Caption"/>
        <w:keepNext/>
      </w:pPr>
      <w:bookmarkStart w:id="66" w:name="_Ref104996787"/>
      <w:r w:rsidRPr="00FE73DE">
        <w:t xml:space="preserve">Figure </w:t>
      </w:r>
      <w:fldSimple w:instr=" SEQ Figure \* ARABIC ">
        <w:r w:rsidR="004718C9">
          <w:rPr>
            <w:noProof/>
          </w:rPr>
          <w:t>5</w:t>
        </w:r>
      </w:fldSimple>
      <w:bookmarkEnd w:id="66"/>
      <w:r w:rsidRPr="00FE73DE">
        <w:t xml:space="preserve">: </w:t>
      </w:r>
      <w:r w:rsidR="00362F5F" w:rsidRPr="00FE73DE">
        <w:t>No</w:t>
      </w:r>
      <w:r w:rsidRPr="00FE73DE">
        <w:t xml:space="preserve"> of customers and percentage of internal business support customers by lifecycle 2016</w:t>
      </w:r>
      <w:r w:rsidR="00A75016">
        <w:rPr>
          <w:rFonts w:ascii="Franklin Gothic Book" w:hAnsi="Franklin Gothic Book"/>
        </w:rPr>
        <w:t>–</w:t>
      </w:r>
      <w:r w:rsidRPr="00FE73DE">
        <w:t>17 to 2020</w:t>
      </w:r>
      <w:r w:rsidR="00A75016">
        <w:rPr>
          <w:rFonts w:ascii="Franklin Gothic Book" w:hAnsi="Franklin Gothic Book"/>
        </w:rPr>
        <w:t>–</w:t>
      </w:r>
      <w:r w:rsidRPr="00FE73DE">
        <w:t>21</w:t>
      </w:r>
    </w:p>
    <w:p w14:paraId="1576D51D" w14:textId="77126EDB" w:rsidR="00A87BEB" w:rsidRPr="00FE73DE" w:rsidRDefault="00A80177" w:rsidP="00197D86">
      <w:r>
        <w:t>Since 2016-17 t</w:t>
      </w:r>
      <w:r w:rsidR="00566B22" w:rsidRPr="00FE73DE">
        <w:t>he proportion of early</w:t>
      </w:r>
      <w:r w:rsidR="0035315C" w:rsidRPr="00FE73DE">
        <w:t xml:space="preserve"> </w:t>
      </w:r>
      <w:r w:rsidR="00566B22" w:rsidRPr="00FE73DE">
        <w:t xml:space="preserve">stage customers receiving external business support </w:t>
      </w:r>
      <w:r>
        <w:t xml:space="preserve">has increased from 28% to </w:t>
      </w:r>
      <w:r w:rsidR="00F32EBA">
        <w:t xml:space="preserve">greater than </w:t>
      </w:r>
      <w:r>
        <w:t xml:space="preserve">40% </w:t>
      </w:r>
      <w:r w:rsidR="00566B22" w:rsidRPr="00FE73DE">
        <w:t xml:space="preserve">(see </w:t>
      </w:r>
      <w:r w:rsidR="00566B22" w:rsidRPr="00FE73DE">
        <w:fldChar w:fldCharType="begin"/>
      </w:r>
      <w:r w:rsidR="00566B22" w:rsidRPr="00FE73DE">
        <w:instrText xml:space="preserve"> REF _Ref104996788 \h </w:instrText>
      </w:r>
      <w:r w:rsidR="00566B22" w:rsidRPr="00FE73DE">
        <w:fldChar w:fldCharType="separate"/>
      </w:r>
      <w:r w:rsidR="004718C9" w:rsidRPr="00FE73DE">
        <w:t xml:space="preserve">Figure </w:t>
      </w:r>
      <w:r w:rsidR="004718C9">
        <w:rPr>
          <w:noProof/>
        </w:rPr>
        <w:t>6</w:t>
      </w:r>
      <w:r w:rsidR="00566B22" w:rsidRPr="00FE73DE">
        <w:fldChar w:fldCharType="end"/>
      </w:r>
      <w:r w:rsidR="00566B22" w:rsidRPr="00FE73DE">
        <w:t xml:space="preserve">). This </w:t>
      </w:r>
      <w:r w:rsidR="00B92245" w:rsidRPr="00FE73DE">
        <w:t>highlights that the provision of specialised external business support is relevant across the entire business life</w:t>
      </w:r>
      <w:r w:rsidR="0034227F" w:rsidRPr="00FE73DE">
        <w:t>c</w:t>
      </w:r>
      <w:r w:rsidR="00B92245" w:rsidRPr="00FE73DE">
        <w:t>ycle.</w:t>
      </w:r>
    </w:p>
    <w:p w14:paraId="375AAB20" w14:textId="3B6173FC" w:rsidR="009B571C" w:rsidRPr="00FE73DE" w:rsidRDefault="009B571C" w:rsidP="00197D86">
      <w:r w:rsidRPr="00FE73DE">
        <w:rPr>
          <w:noProof/>
          <w:lang w:eastAsia="en-AU"/>
        </w:rPr>
        <w:drawing>
          <wp:inline distT="0" distB="0" distL="0" distR="0" wp14:anchorId="1F6C5F05" wp14:editId="6D752673">
            <wp:extent cx="5619755" cy="2863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891" cy="2868116"/>
                    </a:xfrm>
                    <a:prstGeom prst="rect">
                      <a:avLst/>
                    </a:prstGeom>
                    <a:noFill/>
                  </pic:spPr>
                </pic:pic>
              </a:graphicData>
            </a:graphic>
          </wp:inline>
        </w:drawing>
      </w:r>
    </w:p>
    <w:p w14:paraId="17178B98" w14:textId="47DCCF44" w:rsidR="009B571C" w:rsidRPr="00FE73DE" w:rsidRDefault="009B571C" w:rsidP="009B571C">
      <w:pPr>
        <w:pStyle w:val="Caption"/>
        <w:keepLines w:val="0"/>
      </w:pPr>
      <w:bookmarkStart w:id="67" w:name="_Ref104996788"/>
      <w:r w:rsidRPr="00FE73DE">
        <w:t xml:space="preserve">Figure </w:t>
      </w:r>
      <w:fldSimple w:instr=" SEQ Figure \* ARABIC ">
        <w:r w:rsidR="004718C9">
          <w:rPr>
            <w:noProof/>
          </w:rPr>
          <w:t>6</w:t>
        </w:r>
      </w:fldSimple>
      <w:bookmarkEnd w:id="67"/>
      <w:r w:rsidRPr="00FE73DE">
        <w:t>: N</w:t>
      </w:r>
      <w:r w:rsidR="00362F5F" w:rsidRPr="00FE73DE">
        <w:t>o</w:t>
      </w:r>
      <w:r w:rsidRPr="00FE73DE">
        <w:t xml:space="preserve"> of customers and percentage of external business support customers by lifecycle 2016</w:t>
      </w:r>
      <w:r w:rsidR="00A75016">
        <w:rPr>
          <w:rFonts w:ascii="Franklin Gothic Book" w:hAnsi="Franklin Gothic Book"/>
        </w:rPr>
        <w:t>–</w:t>
      </w:r>
      <w:r w:rsidRPr="00FE73DE">
        <w:t>17 to 2020</w:t>
      </w:r>
      <w:r w:rsidR="00A75016">
        <w:rPr>
          <w:rFonts w:ascii="Franklin Gothic Book" w:hAnsi="Franklin Gothic Book"/>
        </w:rPr>
        <w:t>–</w:t>
      </w:r>
      <w:r w:rsidRPr="00FE73DE">
        <w:t>21</w:t>
      </w:r>
    </w:p>
    <w:p w14:paraId="1F321F3B" w14:textId="676E641B" w:rsidR="00197D86" w:rsidRPr="00FE73DE" w:rsidRDefault="00197D86">
      <w:pPr>
        <w:pStyle w:val="Heading3"/>
      </w:pPr>
      <w:r w:rsidRPr="00FE73DE">
        <w:t>Access to finance</w:t>
      </w:r>
    </w:p>
    <w:p w14:paraId="2B3BA559" w14:textId="776D0A2E" w:rsidR="00CB751B" w:rsidRPr="00FE73DE" w:rsidRDefault="00A75016" w:rsidP="00CB751B">
      <w:pPr>
        <w:rPr>
          <w:szCs w:val="24"/>
        </w:rPr>
      </w:pPr>
      <w:r>
        <w:rPr>
          <w:szCs w:val="24"/>
        </w:rPr>
        <w:t>The KPIs</w:t>
      </w:r>
      <w:r w:rsidR="00CB751B" w:rsidRPr="00FE73DE">
        <w:rPr>
          <w:szCs w:val="24"/>
        </w:rPr>
        <w:t xml:space="preserve"> relate</w:t>
      </w:r>
      <w:r>
        <w:rPr>
          <w:szCs w:val="24"/>
        </w:rPr>
        <w:t>d</w:t>
      </w:r>
      <w:r w:rsidR="00CB751B" w:rsidRPr="00FE73DE">
        <w:rPr>
          <w:szCs w:val="24"/>
        </w:rPr>
        <w:t xml:space="preserve"> to </w:t>
      </w:r>
      <w:r>
        <w:rPr>
          <w:szCs w:val="24"/>
        </w:rPr>
        <w:t>accessing</w:t>
      </w:r>
      <w:r w:rsidR="007370CB" w:rsidRPr="00FE73DE">
        <w:rPr>
          <w:szCs w:val="24"/>
        </w:rPr>
        <w:t xml:space="preserve"> </w:t>
      </w:r>
      <w:r w:rsidR="00CB751B" w:rsidRPr="00FE73DE">
        <w:rPr>
          <w:szCs w:val="24"/>
        </w:rPr>
        <w:t>financial support includ</w:t>
      </w:r>
      <w:r>
        <w:rPr>
          <w:szCs w:val="24"/>
        </w:rPr>
        <w:t>e</w:t>
      </w:r>
      <w:r w:rsidR="00CB751B" w:rsidRPr="00FE73DE">
        <w:rPr>
          <w:szCs w:val="24"/>
        </w:rPr>
        <w:t>:</w:t>
      </w:r>
    </w:p>
    <w:p w14:paraId="2A431C61" w14:textId="17F809FE" w:rsidR="00CB751B" w:rsidRPr="00FE73DE" w:rsidRDefault="00CB751B">
      <w:pPr>
        <w:pStyle w:val="ListBullet"/>
      </w:pPr>
      <w:r w:rsidRPr="00FE73DE">
        <w:t>Total finance and number of loans provisioned</w:t>
      </w:r>
    </w:p>
    <w:p w14:paraId="6BA46EEE" w14:textId="77777777" w:rsidR="00CB751B" w:rsidRPr="00FE73DE" w:rsidRDefault="00CB751B">
      <w:pPr>
        <w:pStyle w:val="ListBullet"/>
      </w:pPr>
      <w:r w:rsidRPr="00FE73DE">
        <w:t>Survival rates of businesses.</w:t>
      </w:r>
    </w:p>
    <w:p w14:paraId="722CE107" w14:textId="1CD79E2B" w:rsidR="007370CB" w:rsidRPr="00FE73DE" w:rsidRDefault="007370CB" w:rsidP="00CB751B">
      <w:pPr>
        <w:rPr>
          <w:szCs w:val="24"/>
        </w:rPr>
      </w:pPr>
      <w:r w:rsidRPr="00FE73DE">
        <w:rPr>
          <w:szCs w:val="24"/>
        </w:rPr>
        <w:t>In addition, the policy intent of the BSP expected that early</w:t>
      </w:r>
      <w:r w:rsidR="0035315C" w:rsidRPr="00FE73DE">
        <w:rPr>
          <w:szCs w:val="24"/>
        </w:rPr>
        <w:t xml:space="preserve"> </w:t>
      </w:r>
      <w:r w:rsidRPr="00FE73DE">
        <w:rPr>
          <w:szCs w:val="24"/>
        </w:rPr>
        <w:t xml:space="preserve">stage and pre-bank customers and those perceived to be higher risk would be able to gain access to financial support. </w:t>
      </w:r>
    </w:p>
    <w:p w14:paraId="326B07B2" w14:textId="77777777" w:rsidR="001551E5" w:rsidRPr="00FE73DE" w:rsidRDefault="001551E5" w:rsidP="001551E5">
      <w:pPr>
        <w:pStyle w:val="Heading4"/>
      </w:pPr>
      <w:r w:rsidRPr="00FE73DE">
        <w:t>Number and type of loans</w:t>
      </w:r>
    </w:p>
    <w:p w14:paraId="275EEE6B" w14:textId="521549F5" w:rsidR="001246F2" w:rsidRPr="00FE73DE" w:rsidRDefault="00A80177" w:rsidP="00CB751B">
      <w:pPr>
        <w:rPr>
          <w:szCs w:val="24"/>
        </w:rPr>
      </w:pPr>
      <w:r>
        <w:rPr>
          <w:szCs w:val="24"/>
        </w:rPr>
        <w:t>T</w:t>
      </w:r>
      <w:r w:rsidR="001246F2" w:rsidRPr="00FE73DE">
        <w:rPr>
          <w:szCs w:val="24"/>
        </w:rPr>
        <w:t xml:space="preserve">he </w:t>
      </w:r>
      <w:r w:rsidR="00C0669A" w:rsidRPr="00FE73DE">
        <w:rPr>
          <w:szCs w:val="24"/>
        </w:rPr>
        <w:t xml:space="preserve">annual </w:t>
      </w:r>
      <w:r w:rsidR="001246F2" w:rsidRPr="00FE73DE">
        <w:rPr>
          <w:szCs w:val="24"/>
        </w:rPr>
        <w:t xml:space="preserve">target for newly committed loan and grant funds </w:t>
      </w:r>
      <w:r>
        <w:rPr>
          <w:szCs w:val="24"/>
        </w:rPr>
        <w:t xml:space="preserve">has been exceeded annually, </w:t>
      </w:r>
      <w:r w:rsidR="001246F2" w:rsidRPr="00FE73DE">
        <w:rPr>
          <w:szCs w:val="24"/>
        </w:rPr>
        <w:t>with over 50% going to new BSP customers</w:t>
      </w:r>
      <w:r w:rsidR="00C0669A" w:rsidRPr="00FE73DE">
        <w:rPr>
          <w:szCs w:val="24"/>
        </w:rPr>
        <w:t xml:space="preserve"> (</w:t>
      </w:r>
      <w:r w:rsidR="00C0669A" w:rsidRPr="00FE73DE">
        <w:rPr>
          <w:szCs w:val="24"/>
        </w:rPr>
        <w:fldChar w:fldCharType="begin"/>
      </w:r>
      <w:r w:rsidR="00C0669A" w:rsidRPr="00FE73DE">
        <w:rPr>
          <w:szCs w:val="24"/>
        </w:rPr>
        <w:instrText xml:space="preserve"> REF _Ref105073869 \h </w:instrText>
      </w:r>
      <w:r w:rsidR="00C0669A" w:rsidRPr="00FE73DE">
        <w:rPr>
          <w:szCs w:val="24"/>
        </w:rPr>
      </w:r>
      <w:r w:rsidR="00C0669A" w:rsidRPr="00FE73DE">
        <w:rPr>
          <w:szCs w:val="24"/>
        </w:rPr>
        <w:fldChar w:fldCharType="separate"/>
      </w:r>
      <w:r w:rsidR="004718C9" w:rsidRPr="00FE73DE">
        <w:t xml:space="preserve">Figure </w:t>
      </w:r>
      <w:r w:rsidR="004718C9">
        <w:rPr>
          <w:noProof/>
        </w:rPr>
        <w:t>7</w:t>
      </w:r>
      <w:r w:rsidR="00C0669A" w:rsidRPr="00FE73DE">
        <w:rPr>
          <w:szCs w:val="24"/>
        </w:rPr>
        <w:fldChar w:fldCharType="end"/>
      </w:r>
      <w:r w:rsidR="00C0669A" w:rsidRPr="00FE73DE">
        <w:rPr>
          <w:szCs w:val="24"/>
        </w:rPr>
        <w:t>).</w:t>
      </w:r>
      <w:r w:rsidR="008239F9" w:rsidRPr="00FE73DE">
        <w:rPr>
          <w:szCs w:val="24"/>
        </w:rPr>
        <w:t xml:space="preserve"> </w:t>
      </w:r>
    </w:p>
    <w:p w14:paraId="3F073586" w14:textId="089436D9" w:rsidR="001246F2" w:rsidRPr="00FE73DE" w:rsidRDefault="001246F2" w:rsidP="00CB751B">
      <w:pPr>
        <w:rPr>
          <w:szCs w:val="24"/>
        </w:rPr>
      </w:pPr>
      <w:r w:rsidRPr="00FE73DE">
        <w:rPr>
          <w:noProof/>
          <w:szCs w:val="24"/>
          <w:lang w:eastAsia="en-AU"/>
        </w:rPr>
        <w:drawing>
          <wp:inline distT="0" distB="0" distL="0" distR="0" wp14:anchorId="3EF82BA4" wp14:editId="2D39E191">
            <wp:extent cx="5630198" cy="2950234"/>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5387" cy="2952953"/>
                    </a:xfrm>
                    <a:prstGeom prst="rect">
                      <a:avLst/>
                    </a:prstGeom>
                    <a:noFill/>
                  </pic:spPr>
                </pic:pic>
              </a:graphicData>
            </a:graphic>
          </wp:inline>
        </w:drawing>
      </w:r>
    </w:p>
    <w:p w14:paraId="74EA0100" w14:textId="283C355B" w:rsidR="001246F2" w:rsidRPr="00FE73DE" w:rsidRDefault="001246F2" w:rsidP="0035315C">
      <w:pPr>
        <w:pStyle w:val="Caption"/>
        <w:keepLines w:val="0"/>
      </w:pPr>
      <w:bookmarkStart w:id="68" w:name="_Ref105073869"/>
      <w:r w:rsidRPr="00FE73DE">
        <w:t xml:space="preserve">Figure </w:t>
      </w:r>
      <w:fldSimple w:instr=" SEQ Figure \* ARABIC ">
        <w:r w:rsidR="004718C9">
          <w:rPr>
            <w:noProof/>
          </w:rPr>
          <w:t>7</w:t>
        </w:r>
      </w:fldSimple>
      <w:bookmarkEnd w:id="68"/>
      <w:r w:rsidRPr="00FE73DE">
        <w:t xml:space="preserve">: </w:t>
      </w:r>
      <w:r w:rsidR="00C0669A" w:rsidRPr="00FE73DE">
        <w:t xml:space="preserve">Overall funds committed and </w:t>
      </w:r>
      <w:r w:rsidRPr="00FE73DE">
        <w:t>percentage of committed loan and grant funds by customers new or existing to BSP 201</w:t>
      </w:r>
      <w:r w:rsidR="008557E8">
        <w:t>6–</w:t>
      </w:r>
      <w:r w:rsidRPr="00FE73DE">
        <w:t>17 to 202</w:t>
      </w:r>
      <w:r w:rsidR="008557E8">
        <w:t>0–</w:t>
      </w:r>
      <w:r w:rsidRPr="00FE73DE">
        <w:t>21</w:t>
      </w:r>
    </w:p>
    <w:p w14:paraId="1B117B75" w14:textId="7F371548" w:rsidR="00A80177" w:rsidRDefault="00CB751B" w:rsidP="00CB751B">
      <w:pPr>
        <w:rPr>
          <w:spacing w:val="-2"/>
          <w:szCs w:val="24"/>
        </w:rPr>
      </w:pPr>
      <w:r w:rsidRPr="00A75016">
        <w:rPr>
          <w:spacing w:val="-2"/>
          <w:szCs w:val="24"/>
        </w:rPr>
        <w:t xml:space="preserve">In every year </w:t>
      </w:r>
      <w:r w:rsidR="00D7493B" w:rsidRPr="00A75016">
        <w:rPr>
          <w:spacing w:val="-2"/>
          <w:szCs w:val="24"/>
        </w:rPr>
        <w:t xml:space="preserve">since </w:t>
      </w:r>
      <w:r w:rsidR="00C0669A" w:rsidRPr="00A75016">
        <w:rPr>
          <w:spacing w:val="-2"/>
          <w:szCs w:val="24"/>
        </w:rPr>
        <w:t>2017</w:t>
      </w:r>
      <w:r w:rsidR="00A75016" w:rsidRPr="00A75016">
        <w:rPr>
          <w:spacing w:val="-2"/>
          <w:szCs w:val="24"/>
        </w:rPr>
        <w:t>–</w:t>
      </w:r>
      <w:r w:rsidR="00C0669A" w:rsidRPr="00A75016">
        <w:rPr>
          <w:spacing w:val="-2"/>
          <w:szCs w:val="24"/>
        </w:rPr>
        <w:t xml:space="preserve">18 (when </w:t>
      </w:r>
      <w:r w:rsidR="00D7493B" w:rsidRPr="00A75016">
        <w:rPr>
          <w:spacing w:val="-2"/>
          <w:szCs w:val="24"/>
        </w:rPr>
        <w:t>the performance measure was introduced</w:t>
      </w:r>
      <w:r w:rsidR="00C0669A" w:rsidRPr="00A75016">
        <w:rPr>
          <w:spacing w:val="-2"/>
          <w:szCs w:val="24"/>
        </w:rPr>
        <w:t>)</w:t>
      </w:r>
      <w:r w:rsidRPr="00A75016">
        <w:rPr>
          <w:spacing w:val="-2"/>
          <w:szCs w:val="24"/>
        </w:rPr>
        <w:t xml:space="preserve">, the </w:t>
      </w:r>
      <w:r w:rsidR="00D7493B" w:rsidRPr="00A75016">
        <w:rPr>
          <w:spacing w:val="-2"/>
          <w:szCs w:val="24"/>
        </w:rPr>
        <w:t xml:space="preserve">target of </w:t>
      </w:r>
      <w:r w:rsidRPr="00A75016">
        <w:rPr>
          <w:spacing w:val="-2"/>
          <w:szCs w:val="24"/>
        </w:rPr>
        <w:t>80 new loan</w:t>
      </w:r>
      <w:r w:rsidR="00D7493B" w:rsidRPr="00A75016">
        <w:rPr>
          <w:spacing w:val="-2"/>
          <w:szCs w:val="24"/>
        </w:rPr>
        <w:t>s</w:t>
      </w:r>
      <w:r w:rsidR="00A80177">
        <w:rPr>
          <w:spacing w:val="-2"/>
          <w:szCs w:val="24"/>
        </w:rPr>
        <w:t xml:space="preserve"> has been exceeded</w:t>
      </w:r>
      <w:r w:rsidR="00362F5F" w:rsidRPr="00A75016">
        <w:rPr>
          <w:spacing w:val="-2"/>
          <w:szCs w:val="24"/>
        </w:rPr>
        <w:t xml:space="preserve"> (</w:t>
      </w:r>
      <w:r w:rsidR="00362F5F" w:rsidRPr="00A75016">
        <w:rPr>
          <w:spacing w:val="-2"/>
          <w:szCs w:val="24"/>
        </w:rPr>
        <w:fldChar w:fldCharType="begin"/>
      </w:r>
      <w:r w:rsidR="00362F5F" w:rsidRPr="00A75016">
        <w:rPr>
          <w:spacing w:val="-2"/>
          <w:szCs w:val="24"/>
        </w:rPr>
        <w:instrText xml:space="preserve"> REF _Ref105073274 \h </w:instrText>
      </w:r>
      <w:r w:rsidR="00A75016">
        <w:rPr>
          <w:spacing w:val="-2"/>
          <w:szCs w:val="24"/>
        </w:rPr>
        <w:instrText xml:space="preserve"> \* MERGEFORMAT </w:instrText>
      </w:r>
      <w:r w:rsidR="00362F5F" w:rsidRPr="00A75016">
        <w:rPr>
          <w:spacing w:val="-2"/>
          <w:szCs w:val="24"/>
        </w:rPr>
      </w:r>
      <w:r w:rsidR="00362F5F" w:rsidRPr="00A75016">
        <w:rPr>
          <w:spacing w:val="-2"/>
          <w:szCs w:val="24"/>
        </w:rPr>
        <w:fldChar w:fldCharType="separate"/>
      </w:r>
      <w:r w:rsidR="004718C9" w:rsidRPr="004718C9">
        <w:rPr>
          <w:spacing w:val="-2"/>
        </w:rPr>
        <w:t>Figure 8</w:t>
      </w:r>
      <w:r w:rsidR="00362F5F" w:rsidRPr="00A75016">
        <w:rPr>
          <w:spacing w:val="-2"/>
          <w:szCs w:val="24"/>
        </w:rPr>
        <w:fldChar w:fldCharType="end"/>
      </w:r>
      <w:r w:rsidR="00362F5F" w:rsidRPr="00A75016">
        <w:rPr>
          <w:spacing w:val="-2"/>
          <w:szCs w:val="24"/>
        </w:rPr>
        <w:t>)</w:t>
      </w:r>
      <w:r w:rsidRPr="00A75016">
        <w:rPr>
          <w:spacing w:val="-2"/>
          <w:szCs w:val="24"/>
        </w:rPr>
        <w:t xml:space="preserve">. The majority of loans have gone to </w:t>
      </w:r>
      <w:r w:rsidR="00A80177">
        <w:rPr>
          <w:spacing w:val="-2"/>
          <w:szCs w:val="24"/>
        </w:rPr>
        <w:t xml:space="preserve">new </w:t>
      </w:r>
      <w:r w:rsidR="00D310BA">
        <w:rPr>
          <w:spacing w:val="-2"/>
          <w:szCs w:val="24"/>
        </w:rPr>
        <w:t xml:space="preserve">BSP </w:t>
      </w:r>
      <w:r w:rsidRPr="00A75016">
        <w:rPr>
          <w:spacing w:val="-2"/>
          <w:szCs w:val="24"/>
        </w:rPr>
        <w:t>customers</w:t>
      </w:r>
      <w:r w:rsidR="00D7493B" w:rsidRPr="00A75016">
        <w:rPr>
          <w:spacing w:val="-2"/>
          <w:szCs w:val="24"/>
        </w:rPr>
        <w:t xml:space="preserve">, </w:t>
      </w:r>
      <w:r w:rsidRPr="00A75016">
        <w:rPr>
          <w:spacing w:val="-2"/>
          <w:szCs w:val="24"/>
        </w:rPr>
        <w:t>particularly in the latter years of the program</w:t>
      </w:r>
      <w:r w:rsidR="00D310BA">
        <w:rPr>
          <w:rStyle w:val="FootnoteReference"/>
          <w:spacing w:val="-2"/>
          <w:szCs w:val="24"/>
        </w:rPr>
        <w:footnoteReference w:id="29"/>
      </w:r>
      <w:r w:rsidRPr="00A75016">
        <w:rPr>
          <w:spacing w:val="-2"/>
          <w:szCs w:val="24"/>
        </w:rPr>
        <w:t>.</w:t>
      </w:r>
      <w:r w:rsidR="00C0669A" w:rsidRPr="00A75016">
        <w:rPr>
          <w:spacing w:val="-2"/>
          <w:szCs w:val="24"/>
        </w:rPr>
        <w:t xml:space="preserve"> </w:t>
      </w:r>
    </w:p>
    <w:p w14:paraId="11035BF8" w14:textId="339C5B75" w:rsidR="00CB751B" w:rsidRPr="00FE73DE" w:rsidRDefault="00D7493B" w:rsidP="00CB751B">
      <w:r w:rsidRPr="00FE73DE">
        <w:rPr>
          <w:noProof/>
          <w:lang w:eastAsia="en-AU"/>
        </w:rPr>
        <w:drawing>
          <wp:inline distT="0" distB="0" distL="0" distR="0" wp14:anchorId="5CCD040A" wp14:editId="225A1DD3">
            <wp:extent cx="5617133" cy="307657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2729" cy="3090594"/>
                    </a:xfrm>
                    <a:prstGeom prst="rect">
                      <a:avLst/>
                    </a:prstGeom>
                    <a:noFill/>
                  </pic:spPr>
                </pic:pic>
              </a:graphicData>
            </a:graphic>
          </wp:inline>
        </w:drawing>
      </w:r>
    </w:p>
    <w:p w14:paraId="769CAE84" w14:textId="73A3B9E7" w:rsidR="00D7493B" w:rsidRPr="00FE73DE" w:rsidRDefault="00D7493B" w:rsidP="00D7493B">
      <w:pPr>
        <w:pStyle w:val="Caption"/>
        <w:keepNext/>
      </w:pPr>
      <w:bookmarkStart w:id="69" w:name="_Ref105073274"/>
      <w:r w:rsidRPr="00FE73DE">
        <w:t xml:space="preserve">Figure </w:t>
      </w:r>
      <w:fldSimple w:instr=" SEQ Figure \* ARABIC ">
        <w:r w:rsidR="004718C9">
          <w:rPr>
            <w:noProof/>
          </w:rPr>
          <w:t>8</w:t>
        </w:r>
      </w:fldSimple>
      <w:bookmarkEnd w:id="69"/>
      <w:r w:rsidRPr="00FE73DE">
        <w:t xml:space="preserve">: </w:t>
      </w:r>
      <w:r w:rsidR="00362F5F" w:rsidRPr="00FE73DE">
        <w:t>No of c</w:t>
      </w:r>
      <w:r w:rsidRPr="00FE73DE">
        <w:t>ustomer and percentage of new BSP loan products granted to new or existing loan customers 201</w:t>
      </w:r>
      <w:r w:rsidR="008557E8">
        <w:t>6–</w:t>
      </w:r>
      <w:r w:rsidRPr="00FE73DE">
        <w:t>17 to 202</w:t>
      </w:r>
      <w:r w:rsidR="008557E8">
        <w:t>0–</w:t>
      </w:r>
      <w:r w:rsidRPr="00FE73DE">
        <w:t>21</w:t>
      </w:r>
    </w:p>
    <w:p w14:paraId="45C013C8" w14:textId="545F542D" w:rsidR="00D310BA" w:rsidRDefault="00F16D18" w:rsidP="00D310BA">
      <w:r w:rsidRPr="00A75016">
        <w:rPr>
          <w:spacing w:val="-2"/>
        </w:rPr>
        <w:t xml:space="preserve">IBA measures and reports on the </w:t>
      </w:r>
      <w:r w:rsidR="00435BD7" w:rsidRPr="00A75016">
        <w:rPr>
          <w:spacing w:val="-2"/>
        </w:rPr>
        <w:t>total value of business finance products approached within the financial year against an annual target</w:t>
      </w:r>
      <w:r w:rsidRPr="00A75016">
        <w:rPr>
          <w:spacing w:val="-2"/>
        </w:rPr>
        <w:t xml:space="preserve"> (as outlined in IBA’s </w:t>
      </w:r>
      <w:r w:rsidR="00F97600">
        <w:rPr>
          <w:spacing w:val="-2"/>
        </w:rPr>
        <w:t>c</w:t>
      </w:r>
      <w:r w:rsidRPr="00A75016">
        <w:rPr>
          <w:spacing w:val="-2"/>
        </w:rPr>
        <w:t xml:space="preserve">orporate </w:t>
      </w:r>
      <w:r w:rsidR="00F97600">
        <w:rPr>
          <w:spacing w:val="-2"/>
        </w:rPr>
        <w:t>p</w:t>
      </w:r>
      <w:r w:rsidRPr="00A75016">
        <w:rPr>
          <w:spacing w:val="-2"/>
        </w:rPr>
        <w:t>lan and its PBS). In 2020</w:t>
      </w:r>
      <w:r w:rsidR="00A75016" w:rsidRPr="00A75016">
        <w:rPr>
          <w:spacing w:val="-2"/>
        </w:rPr>
        <w:t>–</w:t>
      </w:r>
      <w:r w:rsidRPr="00A75016">
        <w:rPr>
          <w:spacing w:val="-2"/>
        </w:rPr>
        <w:t xml:space="preserve">21, IBA’s annual </w:t>
      </w:r>
      <w:r w:rsidR="00A80177">
        <w:rPr>
          <w:spacing w:val="-2"/>
        </w:rPr>
        <w:t xml:space="preserve">corporate plan </w:t>
      </w:r>
      <w:r w:rsidRPr="00A75016">
        <w:rPr>
          <w:spacing w:val="-2"/>
        </w:rPr>
        <w:t xml:space="preserve">target </w:t>
      </w:r>
      <w:r w:rsidR="00A80177">
        <w:rPr>
          <w:spacing w:val="-2"/>
        </w:rPr>
        <w:t xml:space="preserve">for finance </w:t>
      </w:r>
      <w:r w:rsidRPr="00A75016">
        <w:rPr>
          <w:spacing w:val="-2"/>
        </w:rPr>
        <w:t xml:space="preserve">was </w:t>
      </w:r>
      <w:r w:rsidR="00435BD7" w:rsidRPr="00A75016">
        <w:rPr>
          <w:spacing w:val="-2"/>
        </w:rPr>
        <w:t>$45 million</w:t>
      </w:r>
      <w:r w:rsidR="00435BD7" w:rsidRPr="00A75016">
        <w:rPr>
          <w:rStyle w:val="FootnoteReference"/>
          <w:spacing w:val="-2"/>
        </w:rPr>
        <w:footnoteReference w:id="30"/>
      </w:r>
      <w:r w:rsidR="00435BD7" w:rsidRPr="00A75016">
        <w:rPr>
          <w:spacing w:val="-2"/>
        </w:rPr>
        <w:t xml:space="preserve">. </w:t>
      </w:r>
      <w:r w:rsidR="00F97600">
        <w:rPr>
          <w:spacing w:val="-2"/>
        </w:rPr>
        <w:t>By comparison, t</w:t>
      </w:r>
      <w:r w:rsidR="00435BD7" w:rsidRPr="00A75016">
        <w:rPr>
          <w:spacing w:val="-2"/>
        </w:rPr>
        <w:t xml:space="preserve">he $10 million new capital provided under the BSP each year is a relatively small proportion of the total </w:t>
      </w:r>
      <w:r w:rsidR="002920FA" w:rsidRPr="00A75016">
        <w:rPr>
          <w:spacing w:val="-2"/>
        </w:rPr>
        <w:t xml:space="preserve">level of approved business finance by IBA </w:t>
      </w:r>
      <w:r w:rsidR="00435BD7" w:rsidRPr="00A75016">
        <w:rPr>
          <w:spacing w:val="-2"/>
        </w:rPr>
        <w:t>within the year. While the recycled BSP funds are not included in annual BSP targets</w:t>
      </w:r>
      <w:r w:rsidR="00A75016" w:rsidRPr="00A75016">
        <w:rPr>
          <w:spacing w:val="-2"/>
        </w:rPr>
        <w:t>,</w:t>
      </w:r>
      <w:r w:rsidR="00435BD7" w:rsidRPr="00A75016">
        <w:rPr>
          <w:spacing w:val="-2"/>
        </w:rPr>
        <w:t xml:space="preserve"> they are included in both BSP and overall finance results. </w:t>
      </w:r>
      <w:r w:rsidR="00D310BA">
        <w:rPr>
          <w:spacing w:val="-2"/>
        </w:rPr>
        <w:t xml:space="preserve">As noted under section 3.2.2, this has meant that the BSP is continuing to provide capital funding over and above the </w:t>
      </w:r>
      <w:r w:rsidR="00F97600">
        <w:rPr>
          <w:spacing w:val="-2"/>
        </w:rPr>
        <w:t>target but the extent of available funds</w:t>
      </w:r>
      <w:r w:rsidR="00D310BA">
        <w:t xml:space="preserve"> is not visible in quarterly performance reports or broader IBA reporting. </w:t>
      </w:r>
    </w:p>
    <w:p w14:paraId="0804AB90" w14:textId="30818C5E" w:rsidR="00526EF7" w:rsidRPr="00FE73DE" w:rsidRDefault="00526EF7" w:rsidP="00526EF7">
      <w:r w:rsidRPr="00FE73DE">
        <w:t xml:space="preserve">As noted in </w:t>
      </w:r>
      <w:r w:rsidRPr="00FE73DE">
        <w:fldChar w:fldCharType="begin"/>
      </w:r>
      <w:r w:rsidRPr="00FE73DE">
        <w:instrText xml:space="preserve"> REF _Ref108368613 \h </w:instrText>
      </w:r>
      <w:r w:rsidRPr="00FE73DE">
        <w:fldChar w:fldCharType="separate"/>
      </w:r>
      <w:r w:rsidR="004718C9" w:rsidRPr="00FE73DE">
        <w:t xml:space="preserve">Figure </w:t>
      </w:r>
      <w:r w:rsidR="004718C9">
        <w:rPr>
          <w:noProof/>
        </w:rPr>
        <w:t>1</w:t>
      </w:r>
      <w:r w:rsidRPr="00FE73DE">
        <w:fldChar w:fldCharType="end"/>
      </w:r>
      <w:r w:rsidRPr="00FE73DE">
        <w:t xml:space="preserve">, IBA provides a variety of business finance products. The predominate </w:t>
      </w:r>
      <w:r w:rsidR="00F97600">
        <w:t xml:space="preserve">finance products delivered under the BSP are </w:t>
      </w:r>
      <w:r w:rsidRPr="00FE73DE">
        <w:t xml:space="preserve">the start-up loan package, and standard business loans (see </w:t>
      </w:r>
      <w:r w:rsidRPr="00FE73DE">
        <w:fldChar w:fldCharType="begin"/>
      </w:r>
      <w:r w:rsidRPr="00FE73DE">
        <w:instrText xml:space="preserve"> REF _Ref105074392 \h </w:instrText>
      </w:r>
      <w:r w:rsidRPr="00FE73DE">
        <w:fldChar w:fldCharType="separate"/>
      </w:r>
      <w:r w:rsidR="004718C9" w:rsidRPr="00FE73DE">
        <w:t xml:space="preserve">Figure </w:t>
      </w:r>
      <w:r w:rsidR="004718C9">
        <w:rPr>
          <w:noProof/>
        </w:rPr>
        <w:t>9</w:t>
      </w:r>
      <w:r w:rsidRPr="00FE73DE">
        <w:fldChar w:fldCharType="end"/>
      </w:r>
      <w:r w:rsidRPr="00FE73DE">
        <w:t xml:space="preserve">). The BSP start-up package </w:t>
      </w:r>
      <w:r w:rsidR="00A75016">
        <w:t xml:space="preserve">is </w:t>
      </w:r>
      <w:r w:rsidRPr="00FE73DE">
        <w:t xml:space="preserve">up to $100,000, with a grant component of up to $30,000 (30%). The grant component can only be used for purchasing capital items (such as cars, </w:t>
      </w:r>
      <w:r w:rsidR="00A75016" w:rsidRPr="00FE73DE">
        <w:t>machinery,</w:t>
      </w:r>
      <w:r w:rsidRPr="00FE73DE">
        <w:t xml:space="preserve"> or other tangible asset</w:t>
      </w:r>
      <w:r w:rsidR="00A75016">
        <w:t>s</w:t>
      </w:r>
      <w:r w:rsidRPr="00FE73DE">
        <w:t xml:space="preserve">) where IBA then holds security of the item(s) purchased for the duration of the overall loan, with the balance of the start-up package being considered as working capital. Should a customer require more than the $100,000 available under this package, an additional business loan is then entered into for the balance of required funds. As expected, the start-up loan package is predominately taken up by new customers, with business loans being committed for both new and existing customers. </w:t>
      </w:r>
    </w:p>
    <w:p w14:paraId="363656E8" w14:textId="77777777" w:rsidR="00526EF7" w:rsidRPr="00FE73DE" w:rsidRDefault="00526EF7" w:rsidP="00526EF7">
      <w:r w:rsidRPr="00FE73DE">
        <w:rPr>
          <w:noProof/>
          <w:lang w:eastAsia="en-AU"/>
        </w:rPr>
        <w:drawing>
          <wp:inline distT="0" distB="0" distL="0" distR="0" wp14:anchorId="60D4B2A7" wp14:editId="34A34E95">
            <wp:extent cx="5582285" cy="29847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6688" cy="3003134"/>
                    </a:xfrm>
                    <a:prstGeom prst="rect">
                      <a:avLst/>
                    </a:prstGeom>
                    <a:noFill/>
                  </pic:spPr>
                </pic:pic>
              </a:graphicData>
            </a:graphic>
          </wp:inline>
        </w:drawing>
      </w:r>
    </w:p>
    <w:p w14:paraId="5DB0C078" w14:textId="10E5E3F6" w:rsidR="00526EF7" w:rsidRPr="00FE73DE" w:rsidRDefault="00526EF7" w:rsidP="000D5381">
      <w:pPr>
        <w:pStyle w:val="Caption"/>
        <w:keepLines w:val="0"/>
      </w:pPr>
      <w:bookmarkStart w:id="70" w:name="_Ref105074392"/>
      <w:r w:rsidRPr="00FE73DE">
        <w:t xml:space="preserve">Figure </w:t>
      </w:r>
      <w:fldSimple w:instr=" SEQ Figure \* ARABIC ">
        <w:r w:rsidR="004718C9">
          <w:rPr>
            <w:noProof/>
          </w:rPr>
          <w:t>9</w:t>
        </w:r>
      </w:fldSimple>
      <w:bookmarkEnd w:id="70"/>
      <w:r w:rsidRPr="00FE73DE">
        <w:t>: N</w:t>
      </w:r>
      <w:r w:rsidR="00362F5F" w:rsidRPr="00FE73DE">
        <w:t>o</w:t>
      </w:r>
      <w:r w:rsidRPr="00FE73DE">
        <w:t xml:space="preserve"> of customers and percentage of loan customers by type of loan 201</w:t>
      </w:r>
      <w:r w:rsidR="008557E8">
        <w:t>6–</w:t>
      </w:r>
      <w:r w:rsidRPr="00FE73DE">
        <w:t>17 to 202</w:t>
      </w:r>
      <w:r w:rsidR="008557E8">
        <w:t>0–</w:t>
      </w:r>
      <w:r w:rsidRPr="00FE73DE">
        <w:t>21</w:t>
      </w:r>
    </w:p>
    <w:p w14:paraId="7D2F3705" w14:textId="380D42B4" w:rsidR="001A2F9F" w:rsidRPr="00FE73DE" w:rsidRDefault="001551E5" w:rsidP="001551E5">
      <w:pPr>
        <w:pStyle w:val="Heading4"/>
      </w:pPr>
      <w:r w:rsidRPr="00FE73DE">
        <w:t>Risk</w:t>
      </w:r>
    </w:p>
    <w:p w14:paraId="78455EEB" w14:textId="0295CC41" w:rsidR="00F609F3" w:rsidRPr="00FE73DE" w:rsidRDefault="00F609F3" w:rsidP="000D5381">
      <w:r w:rsidRPr="00FE73DE">
        <w:t xml:space="preserve">While there </w:t>
      </w:r>
      <w:r w:rsidR="00A75016">
        <w:t>are no</w:t>
      </w:r>
      <w:r w:rsidRPr="00FE73DE">
        <w:t xml:space="preserve"> specific BSP </w:t>
      </w:r>
      <w:r w:rsidR="00F97600">
        <w:t>KPIs</w:t>
      </w:r>
      <w:r w:rsidRPr="00FE73DE">
        <w:t xml:space="preserve"> related to risk ratings attached to loan customers or grants funded, </w:t>
      </w:r>
      <w:r w:rsidR="00F97600">
        <w:t xml:space="preserve">consideration of </w:t>
      </w:r>
      <w:r w:rsidR="007560EE" w:rsidRPr="00FE73DE">
        <w:t xml:space="preserve">the </w:t>
      </w:r>
      <w:r w:rsidRPr="00FE73DE">
        <w:t xml:space="preserve">risk rating </w:t>
      </w:r>
      <w:r w:rsidR="007560EE" w:rsidRPr="00FE73DE">
        <w:t xml:space="preserve">of loan customers </w:t>
      </w:r>
      <w:r w:rsidRPr="00FE73DE">
        <w:t xml:space="preserve">is appropriate to assess given the policy intent to support </w:t>
      </w:r>
      <w:r w:rsidR="00A75016" w:rsidRPr="00FE73DE">
        <w:t>higher</w:t>
      </w:r>
      <w:r w:rsidR="00A75016">
        <w:t>-</w:t>
      </w:r>
      <w:r w:rsidR="00A75016" w:rsidRPr="00FE73DE">
        <w:t xml:space="preserve">risk </w:t>
      </w:r>
      <w:r w:rsidRPr="00FE73DE">
        <w:t xml:space="preserve">businesses. </w:t>
      </w:r>
    </w:p>
    <w:p w14:paraId="1420AAC1" w14:textId="1F90E042" w:rsidR="001C138F" w:rsidRPr="00FE73DE" w:rsidRDefault="000D5381" w:rsidP="000D5381">
      <w:pPr>
        <w:rPr>
          <w:szCs w:val="24"/>
        </w:rPr>
      </w:pPr>
      <w:r w:rsidRPr="00FE73DE">
        <w:rPr>
          <w:szCs w:val="24"/>
        </w:rPr>
        <w:t xml:space="preserve">The risk profile of BSP </w:t>
      </w:r>
      <w:r w:rsidR="00F609F3" w:rsidRPr="00FE73DE">
        <w:rPr>
          <w:szCs w:val="24"/>
        </w:rPr>
        <w:t xml:space="preserve">loan </w:t>
      </w:r>
      <w:r w:rsidRPr="00FE73DE">
        <w:rPr>
          <w:szCs w:val="24"/>
        </w:rPr>
        <w:t>customers</w:t>
      </w:r>
      <w:r w:rsidR="00F609F3" w:rsidRPr="00FE73DE">
        <w:rPr>
          <w:szCs w:val="24"/>
        </w:rPr>
        <w:t xml:space="preserve"> shows</w:t>
      </w:r>
      <w:r w:rsidRPr="00FE73DE">
        <w:rPr>
          <w:szCs w:val="24"/>
        </w:rPr>
        <w:t xml:space="preserve"> IBA’s capacity to provide finance to perceived higher-risk businesses</w:t>
      </w:r>
      <w:r w:rsidR="00642EBF" w:rsidRPr="00FE73DE">
        <w:rPr>
          <w:szCs w:val="24"/>
        </w:rPr>
        <w:t xml:space="preserve"> (</w:t>
      </w:r>
      <w:r w:rsidR="001A0DBF" w:rsidRPr="00FE73DE">
        <w:rPr>
          <w:szCs w:val="24"/>
        </w:rPr>
        <w:t xml:space="preserve">that is, </w:t>
      </w:r>
      <w:r w:rsidR="00642EBF" w:rsidRPr="00FE73DE">
        <w:rPr>
          <w:szCs w:val="24"/>
        </w:rPr>
        <w:t>businesses assessed</w:t>
      </w:r>
      <w:r w:rsidR="0063590D" w:rsidRPr="00FE73DE">
        <w:rPr>
          <w:szCs w:val="24"/>
        </w:rPr>
        <w:t xml:space="preserve"> by IBA</w:t>
      </w:r>
      <w:r w:rsidR="00642EBF" w:rsidRPr="00FE73DE">
        <w:rPr>
          <w:szCs w:val="24"/>
        </w:rPr>
        <w:t xml:space="preserve"> as being high, very high</w:t>
      </w:r>
      <w:r w:rsidR="002F71E4">
        <w:rPr>
          <w:szCs w:val="24"/>
        </w:rPr>
        <w:t>,</w:t>
      </w:r>
      <w:r w:rsidR="00642EBF" w:rsidRPr="00FE73DE">
        <w:rPr>
          <w:szCs w:val="24"/>
        </w:rPr>
        <w:t xml:space="preserve"> or extreme risk</w:t>
      </w:r>
      <w:r w:rsidR="0063590D" w:rsidRPr="00FE73DE">
        <w:rPr>
          <w:szCs w:val="24"/>
        </w:rPr>
        <w:t xml:space="preserve"> against its risk matrix</w:t>
      </w:r>
      <w:r w:rsidR="00642EBF" w:rsidRPr="00FE73DE">
        <w:rPr>
          <w:szCs w:val="24"/>
        </w:rPr>
        <w:t>)</w:t>
      </w:r>
      <w:r w:rsidRPr="00FE73DE">
        <w:rPr>
          <w:szCs w:val="24"/>
        </w:rPr>
        <w:t xml:space="preserve">, with </w:t>
      </w:r>
      <w:r w:rsidR="00642EBF" w:rsidRPr="00FE73DE">
        <w:rPr>
          <w:szCs w:val="24"/>
        </w:rPr>
        <w:t>more than</w:t>
      </w:r>
      <w:r w:rsidRPr="00FE73DE">
        <w:rPr>
          <w:szCs w:val="24"/>
        </w:rPr>
        <w:t xml:space="preserve"> three</w:t>
      </w:r>
      <w:r w:rsidR="008C79C8">
        <w:rPr>
          <w:szCs w:val="24"/>
        </w:rPr>
        <w:t>-</w:t>
      </w:r>
      <w:r w:rsidRPr="00FE73DE">
        <w:rPr>
          <w:szCs w:val="24"/>
        </w:rPr>
        <w:t>quarters of loan</w:t>
      </w:r>
      <w:r w:rsidR="00F609F3" w:rsidRPr="00FE73DE">
        <w:rPr>
          <w:szCs w:val="24"/>
        </w:rPr>
        <w:t>s</w:t>
      </w:r>
      <w:r w:rsidRPr="00FE73DE">
        <w:rPr>
          <w:szCs w:val="24"/>
        </w:rPr>
        <w:t xml:space="preserve"> </w:t>
      </w:r>
      <w:r w:rsidR="00642EBF" w:rsidRPr="00FE73DE">
        <w:rPr>
          <w:szCs w:val="24"/>
        </w:rPr>
        <w:t xml:space="preserve">committed each year </w:t>
      </w:r>
      <w:r w:rsidRPr="00FE73DE">
        <w:rPr>
          <w:szCs w:val="24"/>
        </w:rPr>
        <w:t>provide</w:t>
      </w:r>
      <w:r w:rsidR="002F71E4">
        <w:rPr>
          <w:szCs w:val="24"/>
        </w:rPr>
        <w:t>d</w:t>
      </w:r>
      <w:r w:rsidRPr="00FE73DE">
        <w:rPr>
          <w:szCs w:val="24"/>
        </w:rPr>
        <w:t xml:space="preserve"> to th</w:t>
      </w:r>
      <w:r w:rsidR="00642EBF" w:rsidRPr="00FE73DE">
        <w:rPr>
          <w:szCs w:val="24"/>
        </w:rPr>
        <w:t>is cohort</w:t>
      </w:r>
      <w:r w:rsidR="00362F5F" w:rsidRPr="00FE73DE">
        <w:rPr>
          <w:szCs w:val="24"/>
        </w:rPr>
        <w:t xml:space="preserve"> (</w:t>
      </w:r>
      <w:r w:rsidR="00362F5F" w:rsidRPr="00FE73DE">
        <w:rPr>
          <w:szCs w:val="24"/>
        </w:rPr>
        <w:fldChar w:fldCharType="begin"/>
      </w:r>
      <w:r w:rsidR="00362F5F" w:rsidRPr="00FE73DE">
        <w:rPr>
          <w:szCs w:val="24"/>
        </w:rPr>
        <w:instrText xml:space="preserve"> REF _Ref110771006 \h </w:instrText>
      </w:r>
      <w:r w:rsidR="00362F5F" w:rsidRPr="00FE73DE">
        <w:rPr>
          <w:szCs w:val="24"/>
        </w:rPr>
      </w:r>
      <w:r w:rsidR="00362F5F" w:rsidRPr="00FE73DE">
        <w:rPr>
          <w:szCs w:val="24"/>
        </w:rPr>
        <w:fldChar w:fldCharType="separate"/>
      </w:r>
      <w:r w:rsidR="004718C9" w:rsidRPr="00FE73DE">
        <w:t xml:space="preserve">Figure </w:t>
      </w:r>
      <w:r w:rsidR="004718C9">
        <w:rPr>
          <w:noProof/>
        </w:rPr>
        <w:t>10</w:t>
      </w:r>
      <w:r w:rsidR="00362F5F" w:rsidRPr="00FE73DE">
        <w:rPr>
          <w:szCs w:val="24"/>
        </w:rPr>
        <w:fldChar w:fldCharType="end"/>
      </w:r>
      <w:r w:rsidR="00362F5F" w:rsidRPr="00FE73DE">
        <w:rPr>
          <w:szCs w:val="24"/>
        </w:rPr>
        <w:t>)</w:t>
      </w:r>
      <w:r w:rsidR="00642EBF" w:rsidRPr="00FE73DE">
        <w:rPr>
          <w:szCs w:val="24"/>
        </w:rPr>
        <w:t>.</w:t>
      </w:r>
      <w:r w:rsidRPr="00FE73DE">
        <w:rPr>
          <w:szCs w:val="24"/>
        </w:rPr>
        <w:t xml:space="preserve"> </w:t>
      </w:r>
    </w:p>
    <w:p w14:paraId="26A6855A" w14:textId="60C83DC6" w:rsidR="001C138F" w:rsidRPr="00FE73DE" w:rsidRDefault="001C138F" w:rsidP="000D5381">
      <w:pPr>
        <w:rPr>
          <w:szCs w:val="24"/>
        </w:rPr>
      </w:pPr>
      <w:r w:rsidRPr="00FE73DE">
        <w:rPr>
          <w:noProof/>
          <w:szCs w:val="24"/>
          <w:lang w:eastAsia="en-AU"/>
        </w:rPr>
        <w:drawing>
          <wp:inline distT="0" distB="0" distL="0" distR="0" wp14:anchorId="7C847A7C" wp14:editId="6F28BD8F">
            <wp:extent cx="5669306" cy="310515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306" cy="3105150"/>
                    </a:xfrm>
                    <a:prstGeom prst="rect">
                      <a:avLst/>
                    </a:prstGeom>
                    <a:noFill/>
                  </pic:spPr>
                </pic:pic>
              </a:graphicData>
            </a:graphic>
          </wp:inline>
        </w:drawing>
      </w:r>
    </w:p>
    <w:p w14:paraId="434C06AC" w14:textId="2CDB89C8" w:rsidR="001C138F" w:rsidRPr="00FE73DE" w:rsidRDefault="001C138F" w:rsidP="0035315C">
      <w:pPr>
        <w:pStyle w:val="Caption"/>
        <w:keepLines w:val="0"/>
      </w:pPr>
      <w:bookmarkStart w:id="71" w:name="_Ref110771006"/>
      <w:r w:rsidRPr="00FE73DE">
        <w:t xml:space="preserve">Figure </w:t>
      </w:r>
      <w:fldSimple w:instr=" SEQ Figure \* ARABIC ">
        <w:r w:rsidR="004718C9">
          <w:rPr>
            <w:noProof/>
          </w:rPr>
          <w:t>10</w:t>
        </w:r>
      </w:fldSimple>
      <w:bookmarkEnd w:id="71"/>
      <w:r w:rsidRPr="00FE73DE">
        <w:t>: No of customers and percentage of loan customers by risk rating 201</w:t>
      </w:r>
      <w:r w:rsidR="008557E8">
        <w:t>6–</w:t>
      </w:r>
      <w:r w:rsidRPr="00FE73DE">
        <w:t>17 to 202</w:t>
      </w:r>
      <w:r w:rsidR="008557E8">
        <w:t>0–</w:t>
      </w:r>
      <w:r w:rsidRPr="00FE73DE">
        <w:t>21</w:t>
      </w:r>
    </w:p>
    <w:p w14:paraId="3FB3A39E" w14:textId="6B6801F4" w:rsidR="000D5381" w:rsidRPr="00FE73DE" w:rsidRDefault="00642EBF" w:rsidP="000D5381">
      <w:pPr>
        <w:rPr>
          <w:szCs w:val="24"/>
        </w:rPr>
      </w:pPr>
      <w:r w:rsidRPr="00FE73DE">
        <w:rPr>
          <w:szCs w:val="24"/>
        </w:rPr>
        <w:t>When the customer risk categorisation is considered across new or existing customers (</w:t>
      </w:r>
      <w:r w:rsidRPr="00FE73DE">
        <w:rPr>
          <w:szCs w:val="24"/>
        </w:rPr>
        <w:fldChar w:fldCharType="begin"/>
      </w:r>
      <w:r w:rsidRPr="00FE73DE">
        <w:rPr>
          <w:szCs w:val="24"/>
        </w:rPr>
        <w:instrText xml:space="preserve"> REF _Ref110770639 \h </w:instrText>
      </w:r>
      <w:r w:rsidRPr="00FE73DE">
        <w:rPr>
          <w:szCs w:val="24"/>
        </w:rPr>
      </w:r>
      <w:r w:rsidRPr="00FE73DE">
        <w:rPr>
          <w:szCs w:val="24"/>
        </w:rPr>
        <w:fldChar w:fldCharType="separate"/>
      </w:r>
      <w:r w:rsidR="004718C9" w:rsidRPr="00FE73DE">
        <w:t xml:space="preserve">Figure </w:t>
      </w:r>
      <w:r w:rsidR="004718C9">
        <w:rPr>
          <w:noProof/>
        </w:rPr>
        <w:t>11</w:t>
      </w:r>
      <w:r w:rsidRPr="00FE73DE">
        <w:rPr>
          <w:szCs w:val="24"/>
        </w:rPr>
        <w:fldChar w:fldCharType="end"/>
      </w:r>
      <w:r w:rsidRPr="00FE73DE">
        <w:rPr>
          <w:szCs w:val="24"/>
        </w:rPr>
        <w:t xml:space="preserve">), </w:t>
      </w:r>
      <w:r w:rsidR="001C138F" w:rsidRPr="00FE73DE">
        <w:rPr>
          <w:szCs w:val="24"/>
        </w:rPr>
        <w:t>the higher</w:t>
      </w:r>
      <w:r w:rsidR="00F609F3" w:rsidRPr="00FE73DE">
        <w:rPr>
          <w:szCs w:val="24"/>
        </w:rPr>
        <w:t>-</w:t>
      </w:r>
      <w:r w:rsidR="001C138F" w:rsidRPr="00FE73DE">
        <w:rPr>
          <w:szCs w:val="24"/>
        </w:rPr>
        <w:t>risk cohort is eviden</w:t>
      </w:r>
      <w:r w:rsidR="00362F5F" w:rsidRPr="00FE73DE">
        <w:rPr>
          <w:szCs w:val="24"/>
        </w:rPr>
        <w:t>t</w:t>
      </w:r>
      <w:r w:rsidR="001C138F" w:rsidRPr="00FE73DE">
        <w:rPr>
          <w:szCs w:val="24"/>
        </w:rPr>
        <w:t xml:space="preserve"> in both groups, </w:t>
      </w:r>
      <w:r w:rsidR="00F609F3" w:rsidRPr="00FE73DE">
        <w:rPr>
          <w:szCs w:val="24"/>
        </w:rPr>
        <w:t>with</w:t>
      </w:r>
      <w:r w:rsidR="001C138F" w:rsidRPr="00FE73DE">
        <w:rPr>
          <w:szCs w:val="24"/>
        </w:rPr>
        <w:t xml:space="preserve"> the existing customer group </w:t>
      </w:r>
      <w:r w:rsidR="00995B6C" w:rsidRPr="00FE73DE">
        <w:rPr>
          <w:szCs w:val="24"/>
        </w:rPr>
        <w:t>containing</w:t>
      </w:r>
      <w:r w:rsidR="001C138F" w:rsidRPr="00FE73DE">
        <w:rPr>
          <w:szCs w:val="24"/>
        </w:rPr>
        <w:t xml:space="preserve"> </w:t>
      </w:r>
      <w:r w:rsidR="00362F5F" w:rsidRPr="00FE73DE">
        <w:rPr>
          <w:szCs w:val="24"/>
        </w:rPr>
        <w:t xml:space="preserve">a </w:t>
      </w:r>
      <w:r w:rsidR="00995B6C">
        <w:rPr>
          <w:szCs w:val="24"/>
        </w:rPr>
        <w:t xml:space="preserve">greater </w:t>
      </w:r>
      <w:r w:rsidR="001C138F" w:rsidRPr="00FE73DE">
        <w:rPr>
          <w:szCs w:val="24"/>
        </w:rPr>
        <w:t>proportion</w:t>
      </w:r>
      <w:r w:rsidR="00362F5F" w:rsidRPr="00FE73DE">
        <w:rPr>
          <w:szCs w:val="24"/>
        </w:rPr>
        <w:t xml:space="preserve"> of</w:t>
      </w:r>
      <w:r w:rsidR="001C138F" w:rsidRPr="00FE73DE">
        <w:rPr>
          <w:szCs w:val="24"/>
        </w:rPr>
        <w:t xml:space="preserve"> higher</w:t>
      </w:r>
      <w:r w:rsidR="00362F5F" w:rsidRPr="00FE73DE">
        <w:rPr>
          <w:szCs w:val="24"/>
        </w:rPr>
        <w:t>-</w:t>
      </w:r>
      <w:r w:rsidR="001C138F" w:rsidRPr="00FE73DE">
        <w:rPr>
          <w:szCs w:val="24"/>
        </w:rPr>
        <w:t xml:space="preserve">risk </w:t>
      </w:r>
      <w:r w:rsidR="00C52B53" w:rsidRPr="00FE73DE">
        <w:rPr>
          <w:szCs w:val="24"/>
        </w:rPr>
        <w:t>loans</w:t>
      </w:r>
      <w:r w:rsidR="001C138F" w:rsidRPr="00FE73DE">
        <w:rPr>
          <w:szCs w:val="24"/>
        </w:rPr>
        <w:t xml:space="preserve">.  </w:t>
      </w:r>
    </w:p>
    <w:p w14:paraId="6FC4C68F" w14:textId="7969A372" w:rsidR="001551E5" w:rsidRPr="00FE73DE" w:rsidRDefault="00C47831" w:rsidP="001551E5">
      <w:r w:rsidRPr="00FE73DE">
        <w:rPr>
          <w:noProof/>
          <w:lang w:eastAsia="en-AU"/>
        </w:rPr>
        <w:drawing>
          <wp:inline distT="0" distB="0" distL="0" distR="0" wp14:anchorId="0C452B44" wp14:editId="36A8DE1B">
            <wp:extent cx="5632205" cy="3084830"/>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2205" cy="3084830"/>
                    </a:xfrm>
                    <a:prstGeom prst="rect">
                      <a:avLst/>
                    </a:prstGeom>
                    <a:noFill/>
                  </pic:spPr>
                </pic:pic>
              </a:graphicData>
            </a:graphic>
          </wp:inline>
        </w:drawing>
      </w:r>
    </w:p>
    <w:p w14:paraId="1C91F0D6" w14:textId="048EFACE" w:rsidR="00642EBF" w:rsidRPr="00FE73DE" w:rsidRDefault="00642EBF" w:rsidP="00642EBF">
      <w:pPr>
        <w:pStyle w:val="Caption"/>
        <w:keepNext/>
      </w:pPr>
      <w:bookmarkStart w:id="72" w:name="_Ref110770639"/>
      <w:r w:rsidRPr="00FE73DE">
        <w:t xml:space="preserve">Figure </w:t>
      </w:r>
      <w:fldSimple w:instr=" SEQ Figure \* ARABIC ">
        <w:r w:rsidR="004718C9">
          <w:rPr>
            <w:noProof/>
          </w:rPr>
          <w:t>11</w:t>
        </w:r>
      </w:fldSimple>
      <w:bookmarkEnd w:id="72"/>
      <w:r w:rsidRPr="00FE73DE">
        <w:t>: New or existing customers by percentage of loan customers by risk rating 201</w:t>
      </w:r>
      <w:r w:rsidR="008557E8">
        <w:t>6–</w:t>
      </w:r>
      <w:r w:rsidRPr="00FE73DE">
        <w:t>17 to 202</w:t>
      </w:r>
      <w:r w:rsidR="008557E8">
        <w:t>0–</w:t>
      </w:r>
      <w:r w:rsidRPr="00FE73DE">
        <w:t>21</w:t>
      </w:r>
    </w:p>
    <w:p w14:paraId="26ED34E7" w14:textId="703F5672" w:rsidR="00F609F3" w:rsidRPr="00FE73DE" w:rsidRDefault="00995B6C" w:rsidP="00F609F3">
      <w:r>
        <w:t>T</w:t>
      </w:r>
      <w:r w:rsidR="007560EE" w:rsidRPr="00FE73DE">
        <w:t>he higher</w:t>
      </w:r>
      <w:r w:rsidR="00066D27">
        <w:t>-</w:t>
      </w:r>
      <w:r w:rsidR="007560EE" w:rsidRPr="00FE73DE">
        <w:t xml:space="preserve">risk loans tend to be for smaller amounts. </w:t>
      </w:r>
      <w:r w:rsidR="00362F5F" w:rsidRPr="00FE73DE">
        <w:rPr>
          <w:szCs w:val="24"/>
        </w:rPr>
        <w:t>In terms of funds committed</w:t>
      </w:r>
      <w:r w:rsidR="000254A9" w:rsidRPr="00FE73DE">
        <w:rPr>
          <w:szCs w:val="24"/>
        </w:rPr>
        <w:t xml:space="preserve"> compared to customer numbers</w:t>
      </w:r>
      <w:r w:rsidR="00362F5F" w:rsidRPr="00FE73DE">
        <w:rPr>
          <w:szCs w:val="24"/>
        </w:rPr>
        <w:t>, lower</w:t>
      </w:r>
      <w:r w:rsidR="00066D27">
        <w:rPr>
          <w:szCs w:val="24"/>
        </w:rPr>
        <w:t>-</w:t>
      </w:r>
      <w:r w:rsidR="00362F5F" w:rsidRPr="00FE73DE">
        <w:rPr>
          <w:szCs w:val="24"/>
        </w:rPr>
        <w:t>risk loans secure</w:t>
      </w:r>
      <w:r w:rsidR="00066D27">
        <w:rPr>
          <w:szCs w:val="24"/>
        </w:rPr>
        <w:t>d</w:t>
      </w:r>
      <w:r w:rsidR="00362F5F" w:rsidRPr="00FE73DE">
        <w:rPr>
          <w:szCs w:val="24"/>
        </w:rPr>
        <w:t xml:space="preserve"> a larger proportion of the financial allocation</w:t>
      </w:r>
      <w:r w:rsidR="00D91F2B" w:rsidRPr="00FE73DE">
        <w:rPr>
          <w:szCs w:val="24"/>
        </w:rPr>
        <w:t xml:space="preserve"> (</w:t>
      </w:r>
      <w:r w:rsidR="00F642FD" w:rsidRPr="00FE73DE">
        <w:rPr>
          <w:szCs w:val="24"/>
        </w:rPr>
        <w:fldChar w:fldCharType="begin"/>
      </w:r>
      <w:r w:rsidR="00F642FD" w:rsidRPr="00FE73DE">
        <w:rPr>
          <w:szCs w:val="24"/>
        </w:rPr>
        <w:instrText xml:space="preserve"> REF _Ref110772654 \h </w:instrText>
      </w:r>
      <w:r w:rsidR="00F642FD" w:rsidRPr="00FE73DE">
        <w:rPr>
          <w:szCs w:val="24"/>
        </w:rPr>
      </w:r>
      <w:r w:rsidR="00F642FD" w:rsidRPr="00FE73DE">
        <w:rPr>
          <w:szCs w:val="24"/>
        </w:rPr>
        <w:fldChar w:fldCharType="separate"/>
      </w:r>
      <w:r w:rsidR="004718C9" w:rsidRPr="00FE73DE">
        <w:t xml:space="preserve">Figure </w:t>
      </w:r>
      <w:r w:rsidR="004718C9">
        <w:rPr>
          <w:noProof/>
        </w:rPr>
        <w:t>12</w:t>
      </w:r>
      <w:r w:rsidR="00F642FD" w:rsidRPr="00FE73DE">
        <w:rPr>
          <w:szCs w:val="24"/>
        </w:rPr>
        <w:fldChar w:fldCharType="end"/>
      </w:r>
      <w:r w:rsidR="000254A9" w:rsidRPr="00FE73DE">
        <w:rPr>
          <w:szCs w:val="24"/>
        </w:rPr>
        <w:t xml:space="preserve"> and </w:t>
      </w:r>
      <w:r w:rsidR="000254A9" w:rsidRPr="00FE73DE">
        <w:rPr>
          <w:szCs w:val="24"/>
        </w:rPr>
        <w:fldChar w:fldCharType="begin"/>
      </w:r>
      <w:r w:rsidR="000254A9" w:rsidRPr="00FE73DE">
        <w:rPr>
          <w:szCs w:val="24"/>
        </w:rPr>
        <w:instrText xml:space="preserve"> REF _Ref110773586 \h </w:instrText>
      </w:r>
      <w:r w:rsidR="000254A9" w:rsidRPr="00FE73DE">
        <w:rPr>
          <w:szCs w:val="24"/>
        </w:rPr>
      </w:r>
      <w:r w:rsidR="000254A9" w:rsidRPr="00FE73DE">
        <w:rPr>
          <w:szCs w:val="24"/>
        </w:rPr>
        <w:fldChar w:fldCharType="separate"/>
      </w:r>
      <w:r w:rsidR="004718C9" w:rsidRPr="00FE73DE">
        <w:t xml:space="preserve">Figure </w:t>
      </w:r>
      <w:r w:rsidR="004718C9">
        <w:rPr>
          <w:noProof/>
        </w:rPr>
        <w:t>13</w:t>
      </w:r>
      <w:r w:rsidR="000254A9" w:rsidRPr="00FE73DE">
        <w:rPr>
          <w:szCs w:val="24"/>
        </w:rPr>
        <w:fldChar w:fldCharType="end"/>
      </w:r>
      <w:r w:rsidR="00DA59B9" w:rsidRPr="00FE73DE">
        <w:rPr>
          <w:szCs w:val="24"/>
        </w:rPr>
        <w:t>)</w:t>
      </w:r>
      <w:r w:rsidR="00362F5F" w:rsidRPr="00FE73DE">
        <w:rPr>
          <w:szCs w:val="24"/>
        </w:rPr>
        <w:t xml:space="preserve">. </w:t>
      </w:r>
    </w:p>
    <w:p w14:paraId="69642996" w14:textId="39378AD5" w:rsidR="00F642FD" w:rsidRPr="00FE73DE" w:rsidRDefault="00F642FD" w:rsidP="001551E5">
      <w:r w:rsidRPr="00FE73DE">
        <w:rPr>
          <w:noProof/>
          <w:lang w:eastAsia="en-AU"/>
        </w:rPr>
        <w:drawing>
          <wp:inline distT="0" distB="0" distL="0" distR="0" wp14:anchorId="15F7AB60" wp14:editId="4F4405F2">
            <wp:extent cx="5788452" cy="30364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7079" cy="3067254"/>
                    </a:xfrm>
                    <a:prstGeom prst="rect">
                      <a:avLst/>
                    </a:prstGeom>
                    <a:noFill/>
                  </pic:spPr>
                </pic:pic>
              </a:graphicData>
            </a:graphic>
          </wp:inline>
        </w:drawing>
      </w:r>
    </w:p>
    <w:p w14:paraId="0D109C96" w14:textId="7C8C1F82" w:rsidR="00F642FD" w:rsidRPr="00FE73DE" w:rsidRDefault="00F642FD" w:rsidP="0035315C">
      <w:pPr>
        <w:pStyle w:val="Caption"/>
        <w:keepLines w:val="0"/>
      </w:pPr>
      <w:bookmarkStart w:id="73" w:name="_Ref110772654"/>
      <w:r w:rsidRPr="00FE73DE">
        <w:t xml:space="preserve">Figure </w:t>
      </w:r>
      <w:fldSimple w:instr=" SEQ Figure \* ARABIC ">
        <w:r w:rsidR="004718C9">
          <w:rPr>
            <w:noProof/>
          </w:rPr>
          <w:t>12</w:t>
        </w:r>
      </w:fldSimple>
      <w:bookmarkEnd w:id="73"/>
      <w:r w:rsidRPr="00FE73DE">
        <w:t>: Value and percentage of committed loan and grant funds by risk rating 201</w:t>
      </w:r>
      <w:r w:rsidR="008557E8">
        <w:t>6–</w:t>
      </w:r>
      <w:r w:rsidRPr="00FE73DE">
        <w:t>17 to 202</w:t>
      </w:r>
      <w:r w:rsidR="008557E8">
        <w:t>0–</w:t>
      </w:r>
      <w:r w:rsidRPr="00FE73DE">
        <w:t>21</w:t>
      </w:r>
    </w:p>
    <w:p w14:paraId="72BE6254" w14:textId="66113D5A" w:rsidR="000254A9" w:rsidRPr="00FE73DE" w:rsidRDefault="00F13D1A" w:rsidP="000254A9">
      <w:r>
        <w:t>W</w:t>
      </w:r>
      <w:r w:rsidR="009B55A1" w:rsidRPr="00FE73DE">
        <w:t xml:space="preserve">hen considering the </w:t>
      </w:r>
      <w:r w:rsidR="000254A9" w:rsidRPr="00FE73DE">
        <w:t>average amount of funds committed by risk rating, those customers assessed as lower</w:t>
      </w:r>
      <w:r w:rsidR="00066D27">
        <w:t>-</w:t>
      </w:r>
      <w:r w:rsidR="000254A9" w:rsidRPr="00FE73DE">
        <w:t>risk</w:t>
      </w:r>
      <w:r w:rsidR="00066D27">
        <w:rPr>
          <w:rFonts w:ascii="Franklin Gothic Book" w:hAnsi="Franklin Gothic Book"/>
        </w:rPr>
        <w:t>—</w:t>
      </w:r>
      <w:r w:rsidR="000254A9" w:rsidRPr="00FE73DE">
        <w:t>inc</w:t>
      </w:r>
      <w:r w:rsidR="009B55A1" w:rsidRPr="00FE73DE">
        <w:t>luding</w:t>
      </w:r>
      <w:r w:rsidR="000254A9" w:rsidRPr="00FE73DE">
        <w:t xml:space="preserve"> both moderate and low risk categories</w:t>
      </w:r>
      <w:r w:rsidR="00066D27">
        <w:rPr>
          <w:rFonts w:ascii="Franklin Gothic Book" w:hAnsi="Franklin Gothic Book"/>
        </w:rPr>
        <w:t>—</w:t>
      </w:r>
      <w:r w:rsidR="000254A9" w:rsidRPr="00FE73DE">
        <w:t>tend</w:t>
      </w:r>
      <w:r w:rsidR="00066D27">
        <w:t>ed</w:t>
      </w:r>
      <w:r w:rsidR="000254A9" w:rsidRPr="00FE73DE">
        <w:t xml:space="preserve"> to receive a higher average amount of funds </w:t>
      </w:r>
      <w:r w:rsidR="009B55A1" w:rsidRPr="00FE73DE">
        <w:t xml:space="preserve">(including grant and loan) </w:t>
      </w:r>
      <w:r w:rsidR="000254A9" w:rsidRPr="00FE73DE">
        <w:t>compared to those assessed in higher</w:t>
      </w:r>
      <w:r w:rsidR="009B55A1" w:rsidRPr="00FE73DE">
        <w:t>-</w:t>
      </w:r>
      <w:r w:rsidR="000254A9" w:rsidRPr="00FE73DE">
        <w:t xml:space="preserve">risk categories. </w:t>
      </w:r>
      <w:r w:rsidR="0034320F">
        <w:t>T</w:t>
      </w:r>
      <w:r w:rsidR="009C3D2A" w:rsidRPr="00FE73DE">
        <w:t>he</w:t>
      </w:r>
      <w:r w:rsidR="0034320F">
        <w:t>se</w:t>
      </w:r>
      <w:r w:rsidR="009C3D2A" w:rsidRPr="00FE73DE">
        <w:t xml:space="preserve"> customers </w:t>
      </w:r>
      <w:r w:rsidR="0034320F">
        <w:t xml:space="preserve">may </w:t>
      </w:r>
      <w:r w:rsidR="009C3D2A" w:rsidRPr="00FE73DE">
        <w:t>meet other eligibility attributes such as being early stage or pre-bank</w:t>
      </w:r>
      <w:r w:rsidR="00995B6C">
        <w:t>, though this is not necessary to be eligible under the BSP</w:t>
      </w:r>
      <w:r w:rsidR="009C3D2A" w:rsidRPr="00FE73DE">
        <w:t>. Consistent with IBA policy, lower</w:t>
      </w:r>
      <w:r w:rsidR="00066D27">
        <w:t>-</w:t>
      </w:r>
      <w:r w:rsidR="009C3D2A" w:rsidRPr="00FE73DE">
        <w:t xml:space="preserve">risk loans can be of higher value. </w:t>
      </w:r>
    </w:p>
    <w:p w14:paraId="29750DAF" w14:textId="77777777" w:rsidR="000254A9" w:rsidRPr="00FE73DE" w:rsidRDefault="000254A9" w:rsidP="000254A9">
      <w:pPr>
        <w:rPr>
          <w:sz w:val="22"/>
        </w:rPr>
      </w:pPr>
      <w:r w:rsidRPr="00FE73DE">
        <w:rPr>
          <w:noProof/>
          <w:lang w:eastAsia="en-AU"/>
        </w:rPr>
        <w:drawing>
          <wp:inline distT="0" distB="0" distL="0" distR="0" wp14:anchorId="6F3674F6" wp14:editId="17320026">
            <wp:extent cx="5648325" cy="3181350"/>
            <wp:effectExtent l="0" t="0" r="9525"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3181350"/>
                    </a:xfrm>
                    <a:prstGeom prst="rect">
                      <a:avLst/>
                    </a:prstGeom>
                    <a:noFill/>
                    <a:ln>
                      <a:noFill/>
                    </a:ln>
                  </pic:spPr>
                </pic:pic>
              </a:graphicData>
            </a:graphic>
          </wp:inline>
        </w:drawing>
      </w:r>
    </w:p>
    <w:p w14:paraId="0A9AC9A5" w14:textId="7AEBB997" w:rsidR="000254A9" w:rsidRPr="00FE73DE" w:rsidRDefault="000254A9" w:rsidP="00D30CC4">
      <w:pPr>
        <w:pStyle w:val="Caption"/>
        <w:keepLines w:val="0"/>
      </w:pPr>
      <w:bookmarkStart w:id="74" w:name="_Ref110773586"/>
      <w:r w:rsidRPr="00FE73DE">
        <w:t xml:space="preserve">Figure </w:t>
      </w:r>
      <w:fldSimple w:instr=" SEQ Figure \* ARABIC ">
        <w:r w:rsidR="004718C9">
          <w:rPr>
            <w:noProof/>
          </w:rPr>
          <w:t>13</w:t>
        </w:r>
      </w:fldSimple>
      <w:bookmarkEnd w:id="74"/>
      <w:r w:rsidRPr="00FE73DE">
        <w:t>: Average funds committed (loan and grant) by customer risk rating 201</w:t>
      </w:r>
      <w:r w:rsidR="008557E8">
        <w:t>6–</w:t>
      </w:r>
      <w:r w:rsidRPr="00FE73DE">
        <w:t>17 to 202</w:t>
      </w:r>
      <w:r w:rsidR="008557E8">
        <w:t>0–</w:t>
      </w:r>
      <w:r w:rsidRPr="00FE73DE">
        <w:t>21</w:t>
      </w:r>
    </w:p>
    <w:p w14:paraId="00316741" w14:textId="3DC50DFC" w:rsidR="00D30CC4" w:rsidRPr="00FE73DE" w:rsidRDefault="002B5E13" w:rsidP="00D30CC4">
      <w:pPr>
        <w:spacing w:after="200" w:line="276" w:lineRule="auto"/>
      </w:pPr>
      <w:r>
        <w:t>A</w:t>
      </w:r>
      <w:r w:rsidR="00D30CC4" w:rsidRPr="00FE73DE">
        <w:t>nalysis was</w:t>
      </w:r>
      <w:r>
        <w:t xml:space="preserve"> undertaken</w:t>
      </w:r>
      <w:r w:rsidR="00D30CC4" w:rsidRPr="00FE73DE">
        <w:t xml:space="preserve"> to determine whether or not the </w:t>
      </w:r>
      <w:r w:rsidR="00E04323">
        <w:t>KPI</w:t>
      </w:r>
      <w:r w:rsidR="00995B6C">
        <w:t xml:space="preserve"> </w:t>
      </w:r>
      <w:r w:rsidR="00D30CC4" w:rsidRPr="00FE73DE">
        <w:t>of 80% of customers who receive</w:t>
      </w:r>
      <w:r w:rsidR="00066D27">
        <w:t>d</w:t>
      </w:r>
      <w:r w:rsidR="00D30CC4" w:rsidRPr="00FE73DE">
        <w:t xml:space="preserve"> IBA business support and/or capital </w:t>
      </w:r>
      <w:r w:rsidR="00066D27">
        <w:t>were</w:t>
      </w:r>
      <w:r w:rsidR="00D30CC4" w:rsidRPr="00FE73DE">
        <w:t xml:space="preserve"> defined as early stage or pre-bank customers.</w:t>
      </w:r>
      <w:r w:rsidR="00995B6C">
        <w:rPr>
          <w:rStyle w:val="FootnoteReference"/>
        </w:rPr>
        <w:footnoteReference w:id="31"/>
      </w:r>
    </w:p>
    <w:p w14:paraId="1800DC35" w14:textId="7572D332" w:rsidR="00A557BD" w:rsidRPr="00FE73DE" w:rsidRDefault="00A557BD" w:rsidP="00A557BD">
      <w:r w:rsidRPr="00FE73DE">
        <w:t>Over the period 2017</w:t>
      </w:r>
      <w:r w:rsidR="00FF09C9">
        <w:rPr>
          <w:rFonts w:ascii="Franklin Gothic Book" w:hAnsi="Franklin Gothic Book"/>
        </w:rPr>
        <w:t>–</w:t>
      </w:r>
      <w:r w:rsidRPr="00FE73DE">
        <w:t>18 to 2020</w:t>
      </w:r>
      <w:r w:rsidR="00FF09C9">
        <w:rPr>
          <w:rFonts w:ascii="Franklin Gothic Book" w:hAnsi="Franklin Gothic Book"/>
        </w:rPr>
        <w:t>–</w:t>
      </w:r>
      <w:r w:rsidRPr="00FE73DE">
        <w:t>21, the number of loan customers defined as high</w:t>
      </w:r>
      <w:r w:rsidR="00FF09C9">
        <w:t>er-</w:t>
      </w:r>
      <w:r w:rsidRPr="00FE73DE">
        <w:t xml:space="preserve">risk (pre-bank and bankable) and </w:t>
      </w:r>
      <w:r w:rsidR="00FF09C9">
        <w:t>lower-</w:t>
      </w:r>
      <w:r w:rsidRPr="00FE73DE">
        <w:t>risk pre-bank exceeded 90</w:t>
      </w:r>
      <w:r w:rsidR="00FF09C9">
        <w:t>%</w:t>
      </w:r>
      <w:r w:rsidRPr="00FE73DE">
        <w:t xml:space="preserve"> of all customers</w:t>
      </w:r>
      <w:r w:rsidR="00643BC6">
        <w:t xml:space="preserve"> thereby exceeding the 80% benchmark</w:t>
      </w:r>
      <w:r w:rsidRPr="00FE73DE">
        <w:t xml:space="preserve">. In the same period, the value of loans </w:t>
      </w:r>
      <w:r w:rsidR="00090807">
        <w:t>for this cohort</w:t>
      </w:r>
      <w:r w:rsidR="00FF09C9">
        <w:t xml:space="preserve"> made up</w:t>
      </w:r>
      <w:r w:rsidRPr="00FE73DE">
        <w:t xml:space="preserve"> between 69</w:t>
      </w:r>
      <w:r w:rsidR="00FF09C9">
        <w:t>%</w:t>
      </w:r>
      <w:r w:rsidRPr="00FE73DE">
        <w:t xml:space="preserve"> and 93</w:t>
      </w:r>
      <w:r w:rsidR="00FF09C9">
        <w:t>%</w:t>
      </w:r>
      <w:r w:rsidR="00090807">
        <w:t xml:space="preserve"> of the total value of all loans</w:t>
      </w:r>
      <w:r w:rsidRPr="00FE73DE">
        <w:t>.</w:t>
      </w:r>
      <w:r w:rsidR="00995B6C">
        <w:rPr>
          <w:rStyle w:val="FootnoteReference"/>
        </w:rPr>
        <w:footnoteReference w:id="32"/>
      </w:r>
      <w:r w:rsidRPr="00FE73DE">
        <w:t xml:space="preserve"> </w:t>
      </w:r>
    </w:p>
    <w:p w14:paraId="740C8E41" w14:textId="77777777" w:rsidR="00A557BD" w:rsidRPr="00FE73DE" w:rsidRDefault="00A557BD" w:rsidP="00A557BD">
      <w:r w:rsidRPr="00FE73DE">
        <w:rPr>
          <w:noProof/>
          <w:lang w:eastAsia="en-AU"/>
        </w:rPr>
        <w:drawing>
          <wp:inline distT="0" distB="0" distL="0" distR="0" wp14:anchorId="4B1C8632" wp14:editId="2055113F">
            <wp:extent cx="5654988" cy="29450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16047" cy="2976880"/>
                    </a:xfrm>
                    <a:prstGeom prst="rect">
                      <a:avLst/>
                    </a:prstGeom>
                    <a:noFill/>
                  </pic:spPr>
                </pic:pic>
              </a:graphicData>
            </a:graphic>
          </wp:inline>
        </w:drawing>
      </w:r>
    </w:p>
    <w:p w14:paraId="20BA4BE0" w14:textId="248306A6" w:rsidR="00A557BD" w:rsidRPr="00FE73DE" w:rsidRDefault="00A557BD" w:rsidP="00A557BD">
      <w:pPr>
        <w:pStyle w:val="Caption"/>
        <w:keepLines w:val="0"/>
      </w:pPr>
      <w:bookmarkStart w:id="75" w:name="_Ref105430630"/>
      <w:r w:rsidRPr="00FE73DE">
        <w:t xml:space="preserve">Figure </w:t>
      </w:r>
      <w:fldSimple w:instr=" SEQ Figure \* ARABIC ">
        <w:r w:rsidR="004718C9">
          <w:rPr>
            <w:noProof/>
          </w:rPr>
          <w:t>14</w:t>
        </w:r>
      </w:fldSimple>
      <w:bookmarkEnd w:id="75"/>
      <w:r w:rsidRPr="00FE73DE">
        <w:t>: Value of loans in each financial year for pre-bank and bankable customers with high and low risk ratings</w:t>
      </w:r>
    </w:p>
    <w:p w14:paraId="25FD9862" w14:textId="77777777" w:rsidR="00A557BD" w:rsidRPr="00FE73DE" w:rsidRDefault="00A557BD" w:rsidP="00A557BD">
      <w:r w:rsidRPr="00FE73DE">
        <w:rPr>
          <w:noProof/>
          <w:lang w:eastAsia="en-AU"/>
        </w:rPr>
        <w:drawing>
          <wp:inline distT="0" distB="0" distL="0" distR="0" wp14:anchorId="7A8352A2" wp14:editId="1B060C43">
            <wp:extent cx="5645276" cy="29578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658495" cy="2964812"/>
                    </a:xfrm>
                    <a:prstGeom prst="rect">
                      <a:avLst/>
                    </a:prstGeom>
                    <a:noFill/>
                  </pic:spPr>
                </pic:pic>
              </a:graphicData>
            </a:graphic>
          </wp:inline>
        </w:drawing>
      </w:r>
    </w:p>
    <w:p w14:paraId="0CCBB06F" w14:textId="487BB3E1" w:rsidR="00A557BD" w:rsidRPr="00FE73DE" w:rsidRDefault="00A557BD" w:rsidP="00A557BD">
      <w:pPr>
        <w:pStyle w:val="Caption"/>
        <w:keepNext/>
      </w:pPr>
      <w:bookmarkStart w:id="76" w:name="_Ref105430638"/>
      <w:r w:rsidRPr="00FE73DE">
        <w:t xml:space="preserve">Figure </w:t>
      </w:r>
      <w:fldSimple w:instr=" SEQ Figure \* ARABIC ">
        <w:r w:rsidR="004718C9">
          <w:rPr>
            <w:noProof/>
          </w:rPr>
          <w:t>15</w:t>
        </w:r>
      </w:fldSimple>
      <w:bookmarkEnd w:id="76"/>
      <w:r w:rsidRPr="00FE73DE">
        <w:t>:</w:t>
      </w:r>
      <w:r w:rsidRPr="00FE73DE">
        <w:rPr>
          <w:b/>
          <w:bCs/>
        </w:rPr>
        <w:t xml:space="preserve"> </w:t>
      </w:r>
      <w:r w:rsidRPr="00FE73DE">
        <w:t>Total number of loans in each financial year for pre-bank and bankable customers with high and low risk ratings</w:t>
      </w:r>
    </w:p>
    <w:p w14:paraId="7D3C5B14" w14:textId="77777777" w:rsidR="00A557BD" w:rsidRPr="00FE73DE" w:rsidRDefault="00A557BD" w:rsidP="00A557BD"/>
    <w:p w14:paraId="0F7EF66B" w14:textId="77777777" w:rsidR="00A557BD" w:rsidRPr="00FE73DE" w:rsidRDefault="00A557BD" w:rsidP="00A557BD">
      <w:pPr>
        <w:rPr>
          <w:b/>
          <w:bCs/>
        </w:rPr>
      </w:pPr>
      <w:r w:rsidRPr="00FE73DE">
        <w:rPr>
          <w:b/>
          <w:bCs/>
          <w:noProof/>
          <w:lang w:eastAsia="en-AU"/>
        </w:rPr>
        <w:drawing>
          <wp:inline distT="0" distB="0" distL="0" distR="0" wp14:anchorId="5211201C" wp14:editId="7609ADBB">
            <wp:extent cx="5649208" cy="26906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663135" cy="2697235"/>
                    </a:xfrm>
                    <a:prstGeom prst="rect">
                      <a:avLst/>
                    </a:prstGeom>
                    <a:noFill/>
                  </pic:spPr>
                </pic:pic>
              </a:graphicData>
            </a:graphic>
          </wp:inline>
        </w:drawing>
      </w:r>
    </w:p>
    <w:p w14:paraId="14C02CEF" w14:textId="6FF6C216" w:rsidR="00A557BD" w:rsidRPr="00FE73DE" w:rsidRDefault="00A557BD" w:rsidP="00A557BD">
      <w:pPr>
        <w:pStyle w:val="Caption"/>
        <w:keepLines w:val="0"/>
      </w:pPr>
      <w:bookmarkStart w:id="77" w:name="_Ref105430645"/>
      <w:r w:rsidRPr="00FE73DE">
        <w:t xml:space="preserve">Figure </w:t>
      </w:r>
      <w:fldSimple w:instr=" SEQ Figure \* ARABIC ">
        <w:r w:rsidR="004718C9">
          <w:rPr>
            <w:noProof/>
          </w:rPr>
          <w:t>16</w:t>
        </w:r>
      </w:fldSimple>
      <w:bookmarkEnd w:id="77"/>
      <w:r w:rsidRPr="00FE73DE">
        <w:t>: Pre-bank and bankable customers with high and low risk ratings as a percentage of total loan count for each financial year</w:t>
      </w:r>
    </w:p>
    <w:p w14:paraId="2DBA86A3" w14:textId="361D9257" w:rsidR="00A557BD" w:rsidRPr="00FE73DE" w:rsidRDefault="00A557BD" w:rsidP="00A557BD">
      <w:bookmarkStart w:id="78" w:name="_Hlk105684745"/>
      <w:r w:rsidRPr="00FE73DE">
        <w:t>Excluding risk ratings, where data is available for those loans funded under the BSP, pre-bank customers made up between 60</w:t>
      </w:r>
      <w:r w:rsidR="00090807">
        <w:t>%</w:t>
      </w:r>
      <w:r w:rsidRPr="00FE73DE">
        <w:t xml:space="preserve"> and 82</w:t>
      </w:r>
      <w:r w:rsidR="00090807">
        <w:t>%</w:t>
      </w:r>
      <w:r w:rsidRPr="00FE73DE">
        <w:t xml:space="preserve"> of all loans by financial year </w:t>
      </w:r>
      <w:bookmarkEnd w:id="78"/>
      <w:r w:rsidRPr="00FE73DE">
        <w:t>(</w:t>
      </w:r>
      <w:r w:rsidRPr="00FE73DE">
        <w:fldChar w:fldCharType="begin"/>
      </w:r>
      <w:r w:rsidRPr="00FE73DE">
        <w:instrText xml:space="preserve"> REF _Ref105430612 \h </w:instrText>
      </w:r>
      <w:r w:rsidRPr="00FE73DE">
        <w:fldChar w:fldCharType="separate"/>
      </w:r>
      <w:r w:rsidR="004718C9" w:rsidRPr="00FE73DE">
        <w:t xml:space="preserve">Figure </w:t>
      </w:r>
      <w:r w:rsidR="004718C9">
        <w:rPr>
          <w:noProof/>
        </w:rPr>
        <w:t>17</w:t>
      </w:r>
      <w:r w:rsidRPr="00FE73DE">
        <w:fldChar w:fldCharType="end"/>
      </w:r>
      <w:r w:rsidRPr="00FE73DE">
        <w:t>).</w:t>
      </w:r>
    </w:p>
    <w:p w14:paraId="67CBF99F" w14:textId="77777777" w:rsidR="00A557BD" w:rsidRPr="00FE73DE" w:rsidRDefault="00A557BD" w:rsidP="00A557BD">
      <w:pPr>
        <w:keepNext/>
        <w:rPr>
          <w:b/>
          <w:bCs/>
        </w:rPr>
      </w:pPr>
      <w:r w:rsidRPr="00FE73DE">
        <w:rPr>
          <w:b/>
          <w:bCs/>
          <w:noProof/>
          <w:lang w:eastAsia="en-AU"/>
        </w:rPr>
        <w:drawing>
          <wp:inline distT="0" distB="0" distL="0" distR="0" wp14:anchorId="6C5ADDC9" wp14:editId="74FB55C9">
            <wp:extent cx="5693133" cy="29235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13261" cy="2933935"/>
                    </a:xfrm>
                    <a:prstGeom prst="rect">
                      <a:avLst/>
                    </a:prstGeom>
                    <a:noFill/>
                  </pic:spPr>
                </pic:pic>
              </a:graphicData>
            </a:graphic>
          </wp:inline>
        </w:drawing>
      </w:r>
    </w:p>
    <w:p w14:paraId="5514F66B" w14:textId="0A76455B" w:rsidR="00A557BD" w:rsidRPr="00FE73DE" w:rsidRDefault="00A557BD" w:rsidP="009C76D8">
      <w:pPr>
        <w:pStyle w:val="Caption"/>
        <w:keepNext/>
      </w:pPr>
      <w:bookmarkStart w:id="79" w:name="_Ref105430612"/>
      <w:r w:rsidRPr="00FE73DE">
        <w:t xml:space="preserve">Figure </w:t>
      </w:r>
      <w:fldSimple w:instr=" SEQ Figure \* ARABIC ">
        <w:r w:rsidR="004718C9">
          <w:rPr>
            <w:noProof/>
          </w:rPr>
          <w:t>17</w:t>
        </w:r>
      </w:fldSimple>
      <w:bookmarkEnd w:id="79"/>
      <w:r w:rsidRPr="00FE73DE">
        <w:t>: Pre-bank and bankable customers as a percentage of total loan customers for each financial year</w:t>
      </w:r>
    </w:p>
    <w:p w14:paraId="45F3D8B3" w14:textId="7FA4FCFC" w:rsidR="001551E5" w:rsidRPr="00FE73DE" w:rsidRDefault="001551E5" w:rsidP="001551E5">
      <w:pPr>
        <w:pStyle w:val="Heading4"/>
      </w:pPr>
      <w:r w:rsidRPr="00FE73DE">
        <w:t>Survivability</w:t>
      </w:r>
    </w:p>
    <w:p w14:paraId="31A72733" w14:textId="1B5EC732" w:rsidR="002919CC" w:rsidRPr="00090807" w:rsidRDefault="002919CC" w:rsidP="001551E5">
      <w:pPr>
        <w:rPr>
          <w:spacing w:val="-2"/>
          <w:szCs w:val="24"/>
        </w:rPr>
      </w:pPr>
      <w:r w:rsidRPr="00090807">
        <w:rPr>
          <w:spacing w:val="-2"/>
          <w:szCs w:val="24"/>
        </w:rPr>
        <w:t xml:space="preserve">In the years prior to the grant arrangement and in </w:t>
      </w:r>
      <w:r w:rsidR="00F44306" w:rsidRPr="00090807">
        <w:rPr>
          <w:spacing w:val="-2"/>
          <w:szCs w:val="24"/>
        </w:rPr>
        <w:t>2016</w:t>
      </w:r>
      <w:r w:rsidR="00090807" w:rsidRPr="00090807">
        <w:rPr>
          <w:spacing w:val="-2"/>
          <w:szCs w:val="24"/>
        </w:rPr>
        <w:t>–</w:t>
      </w:r>
      <w:r w:rsidR="00F44306" w:rsidRPr="00090807">
        <w:rPr>
          <w:spacing w:val="-2"/>
          <w:szCs w:val="24"/>
        </w:rPr>
        <w:t>17</w:t>
      </w:r>
      <w:r w:rsidR="00090807" w:rsidRPr="00090807">
        <w:rPr>
          <w:spacing w:val="-2"/>
          <w:szCs w:val="24"/>
        </w:rPr>
        <w:t>,</w:t>
      </w:r>
      <w:r w:rsidR="00F44306" w:rsidRPr="00090807">
        <w:rPr>
          <w:spacing w:val="-2"/>
          <w:szCs w:val="24"/>
        </w:rPr>
        <w:t xml:space="preserve"> </w:t>
      </w:r>
      <w:r w:rsidRPr="00090807">
        <w:rPr>
          <w:spacing w:val="-2"/>
          <w:szCs w:val="24"/>
        </w:rPr>
        <w:t>there was a requirement to report on the</w:t>
      </w:r>
      <w:r w:rsidRPr="00090807">
        <w:rPr>
          <w:spacing w:val="-2"/>
        </w:rPr>
        <w:t xml:space="preserve"> business survival rates of IBA loan recipients in </w:t>
      </w:r>
      <w:r w:rsidR="00D30648" w:rsidRPr="00090807">
        <w:rPr>
          <w:spacing w:val="-2"/>
        </w:rPr>
        <w:t xml:space="preserve">each of </w:t>
      </w:r>
      <w:r w:rsidRPr="00090807">
        <w:rPr>
          <w:spacing w:val="-2"/>
        </w:rPr>
        <w:t xml:space="preserve">their first </w:t>
      </w:r>
      <w:r w:rsidR="00C0486F">
        <w:rPr>
          <w:spacing w:val="-2"/>
        </w:rPr>
        <w:t>three</w:t>
      </w:r>
      <w:r w:rsidRPr="00090807">
        <w:rPr>
          <w:spacing w:val="-2"/>
        </w:rPr>
        <w:t xml:space="preserve"> years of operation. In the development of the 2017 agreement, the KPIs were changed to meet or exceed the </w:t>
      </w:r>
      <w:r w:rsidR="00090807" w:rsidRPr="00090807">
        <w:rPr>
          <w:spacing w:val="-2"/>
        </w:rPr>
        <w:t>ABS</w:t>
      </w:r>
      <w:r w:rsidRPr="00090807">
        <w:rPr>
          <w:spacing w:val="-2"/>
        </w:rPr>
        <w:t xml:space="preserve"> approach to business survival for businesses of a comparable size.</w:t>
      </w:r>
      <w:r w:rsidR="00857ACF">
        <w:rPr>
          <w:rStyle w:val="FootnoteReference"/>
          <w:spacing w:val="-2"/>
        </w:rPr>
        <w:footnoteReference w:id="33"/>
      </w:r>
    </w:p>
    <w:p w14:paraId="706187AD" w14:textId="3E286309" w:rsidR="001551E5" w:rsidRPr="00FE73DE" w:rsidRDefault="001551E5" w:rsidP="001551E5">
      <w:pPr>
        <w:rPr>
          <w:szCs w:val="24"/>
        </w:rPr>
      </w:pPr>
      <w:r w:rsidRPr="00FE73DE">
        <w:rPr>
          <w:szCs w:val="24"/>
        </w:rPr>
        <w:t xml:space="preserve">In terms of business survivability, the </w:t>
      </w:r>
      <w:r w:rsidR="00F44306" w:rsidRPr="00FE73DE">
        <w:rPr>
          <w:szCs w:val="24"/>
        </w:rPr>
        <w:t>KPI</w:t>
      </w:r>
      <w:r w:rsidRPr="00FE73DE">
        <w:rPr>
          <w:szCs w:val="24"/>
        </w:rPr>
        <w:t xml:space="preserve"> examine</w:t>
      </w:r>
      <w:r w:rsidR="00F44306" w:rsidRPr="00FE73DE">
        <w:rPr>
          <w:szCs w:val="24"/>
        </w:rPr>
        <w:t>s</w:t>
      </w:r>
      <w:r w:rsidRPr="00FE73DE">
        <w:rPr>
          <w:szCs w:val="24"/>
        </w:rPr>
        <w:t xml:space="preserve"> business survivability over a </w:t>
      </w:r>
      <w:r w:rsidR="002B5E13">
        <w:rPr>
          <w:szCs w:val="24"/>
        </w:rPr>
        <w:t>four</w:t>
      </w:r>
      <w:r w:rsidR="006274F0" w:rsidRPr="00FE73DE">
        <w:rPr>
          <w:szCs w:val="24"/>
        </w:rPr>
        <w:t>-year</w:t>
      </w:r>
      <w:r w:rsidRPr="00FE73DE">
        <w:rPr>
          <w:szCs w:val="24"/>
        </w:rPr>
        <w:t xml:space="preserve"> time horizon up to the given reporting period</w:t>
      </w:r>
      <w:r w:rsidR="00DD459B" w:rsidRPr="00FE73DE">
        <w:rPr>
          <w:rStyle w:val="FootnoteReference"/>
          <w:szCs w:val="24"/>
        </w:rPr>
        <w:footnoteReference w:id="34"/>
      </w:r>
      <w:r w:rsidRPr="00FE73DE">
        <w:rPr>
          <w:szCs w:val="24"/>
        </w:rPr>
        <w:t xml:space="preserve">. Based on this </w:t>
      </w:r>
      <w:r w:rsidR="00B73B1C" w:rsidRPr="00FE73DE">
        <w:rPr>
          <w:szCs w:val="24"/>
        </w:rPr>
        <w:t xml:space="preserve">ABS </w:t>
      </w:r>
      <w:r w:rsidRPr="00FE73DE">
        <w:rPr>
          <w:szCs w:val="24"/>
        </w:rPr>
        <w:t>benchmark</w:t>
      </w:r>
      <w:r w:rsidR="003A67EA" w:rsidRPr="00FE73DE">
        <w:rPr>
          <w:szCs w:val="24"/>
        </w:rPr>
        <w:t xml:space="preserve"> target</w:t>
      </w:r>
      <w:r w:rsidR="00282A6B" w:rsidRPr="00FE73DE">
        <w:rPr>
          <w:szCs w:val="24"/>
        </w:rPr>
        <w:t>, broken down by business size</w:t>
      </w:r>
      <w:r w:rsidRPr="00FE73DE">
        <w:rPr>
          <w:szCs w:val="24"/>
        </w:rPr>
        <w:t xml:space="preserve">, the </w:t>
      </w:r>
      <w:r w:rsidR="003A67EA" w:rsidRPr="00FE73DE">
        <w:rPr>
          <w:szCs w:val="24"/>
        </w:rPr>
        <w:t xml:space="preserve">reported </w:t>
      </w:r>
      <w:r w:rsidRPr="00FE73DE">
        <w:rPr>
          <w:szCs w:val="24"/>
        </w:rPr>
        <w:t>business survivability was in general higher than the industry average based on ABS figures</w:t>
      </w:r>
      <w:r w:rsidR="00282A6B" w:rsidRPr="00FE73DE">
        <w:rPr>
          <w:szCs w:val="24"/>
        </w:rPr>
        <w:t xml:space="preserve"> (</w:t>
      </w:r>
      <w:r w:rsidR="00282A6B" w:rsidRPr="00FE73DE">
        <w:rPr>
          <w:szCs w:val="24"/>
        </w:rPr>
        <w:fldChar w:fldCharType="begin"/>
      </w:r>
      <w:r w:rsidR="00282A6B" w:rsidRPr="00FE73DE">
        <w:rPr>
          <w:szCs w:val="24"/>
        </w:rPr>
        <w:instrText xml:space="preserve"> REF _Ref110785444 \h </w:instrText>
      </w:r>
      <w:r w:rsidR="00282A6B" w:rsidRPr="00FE73DE">
        <w:rPr>
          <w:szCs w:val="24"/>
        </w:rPr>
      </w:r>
      <w:r w:rsidR="00282A6B" w:rsidRPr="00FE73DE">
        <w:rPr>
          <w:szCs w:val="24"/>
        </w:rPr>
        <w:fldChar w:fldCharType="separate"/>
      </w:r>
      <w:r w:rsidR="004718C9" w:rsidRPr="00FE73DE">
        <w:t xml:space="preserve">Figure </w:t>
      </w:r>
      <w:r w:rsidR="004718C9">
        <w:rPr>
          <w:noProof/>
        </w:rPr>
        <w:t>18</w:t>
      </w:r>
      <w:r w:rsidR="00282A6B" w:rsidRPr="00FE73DE">
        <w:rPr>
          <w:szCs w:val="24"/>
        </w:rPr>
        <w:fldChar w:fldCharType="end"/>
      </w:r>
      <w:r w:rsidR="00282A6B" w:rsidRPr="00FE73DE">
        <w:rPr>
          <w:szCs w:val="24"/>
        </w:rPr>
        <w:t>)</w:t>
      </w:r>
      <w:r w:rsidRPr="00FE73DE">
        <w:rPr>
          <w:szCs w:val="24"/>
        </w:rPr>
        <w:t xml:space="preserve">. The </w:t>
      </w:r>
      <w:r w:rsidR="00282A6B" w:rsidRPr="00FE73DE">
        <w:rPr>
          <w:szCs w:val="24"/>
        </w:rPr>
        <w:t>business size ‘</w:t>
      </w:r>
      <w:r w:rsidRPr="00FE73DE">
        <w:rPr>
          <w:szCs w:val="24"/>
        </w:rPr>
        <w:t>0</w:t>
      </w:r>
      <w:r w:rsidR="006274F0">
        <w:rPr>
          <w:rFonts w:ascii="Franklin Gothic Book" w:hAnsi="Franklin Gothic Book"/>
          <w:szCs w:val="24"/>
        </w:rPr>
        <w:t>–</w:t>
      </w:r>
      <w:r w:rsidRPr="00FE73DE">
        <w:rPr>
          <w:szCs w:val="24"/>
        </w:rPr>
        <w:t>4 employees</w:t>
      </w:r>
      <w:r w:rsidR="00282A6B" w:rsidRPr="00FE73DE">
        <w:rPr>
          <w:szCs w:val="24"/>
        </w:rPr>
        <w:t>’</w:t>
      </w:r>
      <w:r w:rsidRPr="00FE73DE">
        <w:rPr>
          <w:szCs w:val="24"/>
        </w:rPr>
        <w:t xml:space="preserve"> showed the worst trends</w:t>
      </w:r>
      <w:r w:rsidR="00D44F6F">
        <w:rPr>
          <w:szCs w:val="24"/>
        </w:rPr>
        <w:t xml:space="preserve"> in survivability rates</w:t>
      </w:r>
      <w:r w:rsidR="00DF1DEC" w:rsidRPr="00FE73DE">
        <w:rPr>
          <w:szCs w:val="24"/>
        </w:rPr>
        <w:t>,</w:t>
      </w:r>
      <w:r w:rsidR="00B50C11" w:rsidRPr="00FE73DE">
        <w:rPr>
          <w:szCs w:val="24"/>
        </w:rPr>
        <w:t xml:space="preserve"> with</w:t>
      </w:r>
      <w:r w:rsidRPr="00FE73DE">
        <w:rPr>
          <w:szCs w:val="24"/>
        </w:rPr>
        <w:t xml:space="preserve"> </w:t>
      </w:r>
      <w:r w:rsidR="00F44306" w:rsidRPr="00FE73DE">
        <w:rPr>
          <w:szCs w:val="24"/>
        </w:rPr>
        <w:t>very mixed</w:t>
      </w:r>
      <w:r w:rsidR="0034227F" w:rsidRPr="00FE73DE">
        <w:rPr>
          <w:szCs w:val="24"/>
        </w:rPr>
        <w:t xml:space="preserve"> results</w:t>
      </w:r>
      <w:r w:rsidR="00F44306" w:rsidRPr="00FE73DE">
        <w:rPr>
          <w:szCs w:val="24"/>
        </w:rPr>
        <w:t xml:space="preserve"> over</w:t>
      </w:r>
      <w:r w:rsidRPr="00FE73DE">
        <w:rPr>
          <w:szCs w:val="24"/>
        </w:rPr>
        <w:t xml:space="preserve"> the life of the program. By 2020</w:t>
      </w:r>
      <w:r w:rsidR="006274F0">
        <w:rPr>
          <w:rFonts w:ascii="Franklin Gothic Book" w:hAnsi="Franklin Gothic Book"/>
          <w:szCs w:val="24"/>
        </w:rPr>
        <w:t>–</w:t>
      </w:r>
      <w:r w:rsidRPr="00FE73DE">
        <w:rPr>
          <w:szCs w:val="24"/>
        </w:rPr>
        <w:t>21</w:t>
      </w:r>
      <w:r w:rsidR="006274F0">
        <w:rPr>
          <w:szCs w:val="24"/>
        </w:rPr>
        <w:t>,</w:t>
      </w:r>
      <w:r w:rsidRPr="00FE73DE">
        <w:rPr>
          <w:szCs w:val="24"/>
        </w:rPr>
        <w:t xml:space="preserve"> rates of survivability </w:t>
      </w:r>
      <w:r w:rsidR="00DF1DEC" w:rsidRPr="00FE73DE">
        <w:rPr>
          <w:szCs w:val="24"/>
        </w:rPr>
        <w:t xml:space="preserve">of </w:t>
      </w:r>
      <w:r w:rsidR="003A67EA" w:rsidRPr="00FE73DE">
        <w:rPr>
          <w:szCs w:val="24"/>
        </w:rPr>
        <w:t>IBA</w:t>
      </w:r>
      <w:r w:rsidR="00DF1DEC" w:rsidRPr="00FE73DE">
        <w:rPr>
          <w:szCs w:val="24"/>
        </w:rPr>
        <w:t xml:space="preserve"> loan recipients </w:t>
      </w:r>
      <w:r w:rsidR="00ED5D1B" w:rsidRPr="00FE73DE">
        <w:rPr>
          <w:szCs w:val="24"/>
        </w:rPr>
        <w:t>were</w:t>
      </w:r>
      <w:r w:rsidR="00DF1DEC" w:rsidRPr="00FE73DE">
        <w:rPr>
          <w:szCs w:val="24"/>
        </w:rPr>
        <w:t xml:space="preserve"> greater than comparable businesses across all </w:t>
      </w:r>
      <w:r w:rsidR="00DD459B" w:rsidRPr="00FE73DE">
        <w:rPr>
          <w:szCs w:val="24"/>
        </w:rPr>
        <w:t>business sizes</w:t>
      </w:r>
      <w:r w:rsidRPr="00FE73DE">
        <w:rPr>
          <w:szCs w:val="24"/>
        </w:rPr>
        <w:t xml:space="preserve">. </w:t>
      </w:r>
    </w:p>
    <w:p w14:paraId="66147545" w14:textId="02EC4463" w:rsidR="001551E5" w:rsidRPr="00FE73DE" w:rsidRDefault="003A67EA" w:rsidP="00E46073">
      <w:r w:rsidRPr="00FE73DE">
        <w:rPr>
          <w:noProof/>
          <w:lang w:eastAsia="en-AU"/>
        </w:rPr>
        <w:drawing>
          <wp:inline distT="0" distB="0" distL="0" distR="0" wp14:anchorId="3F2F42C8" wp14:editId="67A217D6">
            <wp:extent cx="5598160" cy="3482262"/>
            <wp:effectExtent l="0" t="0" r="254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1118" cy="3490322"/>
                    </a:xfrm>
                    <a:prstGeom prst="rect">
                      <a:avLst/>
                    </a:prstGeom>
                    <a:noFill/>
                  </pic:spPr>
                </pic:pic>
              </a:graphicData>
            </a:graphic>
          </wp:inline>
        </w:drawing>
      </w:r>
    </w:p>
    <w:p w14:paraId="101B538C" w14:textId="2688FE53" w:rsidR="00DF1DEC" w:rsidRPr="00FE73DE" w:rsidRDefault="00DF1DEC" w:rsidP="00DF1DEC">
      <w:pPr>
        <w:pStyle w:val="Caption"/>
        <w:keepNext/>
      </w:pPr>
      <w:bookmarkStart w:id="80" w:name="_Ref110785444"/>
      <w:r w:rsidRPr="00FE73DE">
        <w:t xml:space="preserve">Figure </w:t>
      </w:r>
      <w:fldSimple w:instr=" SEQ Figure \* ARABIC ">
        <w:r w:rsidR="004718C9">
          <w:rPr>
            <w:noProof/>
          </w:rPr>
          <w:t>18</w:t>
        </w:r>
      </w:fldSimple>
      <w:bookmarkEnd w:id="80"/>
      <w:r w:rsidRPr="00FE73DE">
        <w:t>: Business survivability results 201</w:t>
      </w:r>
      <w:r w:rsidR="008557E8">
        <w:t>7–</w:t>
      </w:r>
      <w:r w:rsidRPr="00FE73DE">
        <w:t>18 to 202</w:t>
      </w:r>
      <w:r w:rsidR="008557E8">
        <w:t>0–</w:t>
      </w:r>
      <w:r w:rsidRPr="00FE73DE">
        <w:t>21</w:t>
      </w:r>
    </w:p>
    <w:p w14:paraId="10377EE5" w14:textId="2F1F0E3B" w:rsidR="0084123C" w:rsidRPr="00FE73DE" w:rsidRDefault="005F2CC4" w:rsidP="000709FE">
      <w:r>
        <w:t>Figure 18 shows</w:t>
      </w:r>
      <w:r w:rsidR="00A7558D" w:rsidRPr="00FE73DE">
        <w:t xml:space="preserve"> </w:t>
      </w:r>
      <w:r w:rsidR="0084123C" w:rsidRPr="00FE73DE">
        <w:rPr>
          <w:szCs w:val="24"/>
        </w:rPr>
        <w:t xml:space="preserve">businesses at entry and exit within a </w:t>
      </w:r>
      <w:r w:rsidR="00C0486F">
        <w:rPr>
          <w:szCs w:val="24"/>
        </w:rPr>
        <w:t>four</w:t>
      </w:r>
      <w:r w:rsidR="006274F0">
        <w:rPr>
          <w:szCs w:val="24"/>
        </w:rPr>
        <w:t>-</w:t>
      </w:r>
      <w:r w:rsidR="0084123C" w:rsidRPr="00FE73DE">
        <w:rPr>
          <w:szCs w:val="24"/>
        </w:rPr>
        <w:t xml:space="preserve">year period (i.e. 1 July 2017 to 30 June 2021). The data is sorted with an entry number by each cohort and then an exit number by each cohort and divided to provide the proportion </w:t>
      </w:r>
      <w:r w:rsidR="006274F0">
        <w:rPr>
          <w:szCs w:val="24"/>
        </w:rPr>
        <w:t>against the</w:t>
      </w:r>
      <w:r w:rsidR="0084123C" w:rsidRPr="00FE73DE">
        <w:rPr>
          <w:szCs w:val="24"/>
        </w:rPr>
        <w:t xml:space="preserve"> ABS Australian average. </w:t>
      </w:r>
      <w:r w:rsidR="002B5E13">
        <w:rPr>
          <w:szCs w:val="24"/>
        </w:rPr>
        <w:t>Results</w:t>
      </w:r>
      <w:r w:rsidR="00B73B1C" w:rsidRPr="00FE73DE">
        <w:rPr>
          <w:szCs w:val="24"/>
        </w:rPr>
        <w:t xml:space="preserve"> </w:t>
      </w:r>
      <w:r w:rsidR="006274F0">
        <w:rPr>
          <w:szCs w:val="24"/>
        </w:rPr>
        <w:t>shows</w:t>
      </w:r>
      <w:r w:rsidR="00B73B1C" w:rsidRPr="00FE73DE">
        <w:rPr>
          <w:szCs w:val="24"/>
        </w:rPr>
        <w:t xml:space="preserve"> that for businesses </w:t>
      </w:r>
      <w:r w:rsidR="00D44F6F">
        <w:rPr>
          <w:szCs w:val="24"/>
        </w:rPr>
        <w:t>with</w:t>
      </w:r>
      <w:r w:rsidR="00B73B1C" w:rsidRPr="00FE73DE">
        <w:rPr>
          <w:szCs w:val="24"/>
        </w:rPr>
        <w:t xml:space="preserve"> </w:t>
      </w:r>
      <w:r w:rsidR="00C0486F">
        <w:rPr>
          <w:szCs w:val="24"/>
        </w:rPr>
        <w:t>five</w:t>
      </w:r>
      <w:r w:rsidR="00D44F6F">
        <w:rPr>
          <w:szCs w:val="24"/>
        </w:rPr>
        <w:t xml:space="preserve"> or more</w:t>
      </w:r>
      <w:r w:rsidR="00B73B1C" w:rsidRPr="00FE73DE">
        <w:rPr>
          <w:szCs w:val="24"/>
        </w:rPr>
        <w:t xml:space="preserve"> employees, </w:t>
      </w:r>
      <w:r w:rsidR="00C0486F">
        <w:rPr>
          <w:szCs w:val="24"/>
        </w:rPr>
        <w:t xml:space="preserve">IBA loan customers </w:t>
      </w:r>
      <w:r w:rsidR="00B73B1C" w:rsidRPr="00FE73DE">
        <w:rPr>
          <w:szCs w:val="24"/>
        </w:rPr>
        <w:t xml:space="preserve">survive at a rate greater than </w:t>
      </w:r>
      <w:r w:rsidR="00C0486F">
        <w:rPr>
          <w:szCs w:val="24"/>
        </w:rPr>
        <w:t xml:space="preserve">all </w:t>
      </w:r>
      <w:r w:rsidR="00B73B1C" w:rsidRPr="00FE73DE">
        <w:rPr>
          <w:szCs w:val="24"/>
        </w:rPr>
        <w:t xml:space="preserve">businesses. </w:t>
      </w:r>
      <w:r w:rsidR="00C0486F">
        <w:rPr>
          <w:szCs w:val="24"/>
        </w:rPr>
        <w:t>T</w:t>
      </w:r>
      <w:r w:rsidR="00D30648" w:rsidRPr="00FE73DE">
        <w:rPr>
          <w:szCs w:val="24"/>
        </w:rPr>
        <w:t xml:space="preserve">he change in measurement basis of the KPI </w:t>
      </w:r>
      <w:r w:rsidR="0034227F" w:rsidRPr="00FE73DE">
        <w:rPr>
          <w:szCs w:val="24"/>
        </w:rPr>
        <w:t>(</w:t>
      </w:r>
      <w:r w:rsidR="00D30648" w:rsidRPr="00FE73DE">
        <w:rPr>
          <w:szCs w:val="24"/>
        </w:rPr>
        <w:t>from time from commencement to being comparable to businesses of a similar size</w:t>
      </w:r>
      <w:r w:rsidR="0034227F" w:rsidRPr="00FE73DE">
        <w:rPr>
          <w:szCs w:val="24"/>
        </w:rPr>
        <w:t>)</w:t>
      </w:r>
      <w:r w:rsidR="0004247B">
        <w:rPr>
          <w:szCs w:val="24"/>
        </w:rPr>
        <w:t>,</w:t>
      </w:r>
      <w:r w:rsidR="00D30648" w:rsidRPr="00FE73DE">
        <w:rPr>
          <w:szCs w:val="24"/>
        </w:rPr>
        <w:t xml:space="preserve"> the level of success in supporting businesses with finance at the early stage of their business journey became less visible. This is of particular importance</w:t>
      </w:r>
      <w:r w:rsidR="006274F0">
        <w:rPr>
          <w:szCs w:val="24"/>
        </w:rPr>
        <w:t>,</w:t>
      </w:r>
      <w:r w:rsidR="00D30648" w:rsidRPr="00FE73DE">
        <w:rPr>
          <w:szCs w:val="24"/>
        </w:rPr>
        <w:t xml:space="preserve"> as</w:t>
      </w:r>
      <w:r w:rsidR="00BE77C3" w:rsidRPr="00FE73DE">
        <w:rPr>
          <w:szCs w:val="24"/>
        </w:rPr>
        <w:t xml:space="preserve"> while there are differences </w:t>
      </w:r>
      <w:r w:rsidR="006274F0">
        <w:rPr>
          <w:szCs w:val="24"/>
        </w:rPr>
        <w:t>in</w:t>
      </w:r>
      <w:r w:rsidR="00BE77C3" w:rsidRPr="00FE73DE">
        <w:rPr>
          <w:szCs w:val="24"/>
        </w:rPr>
        <w:t xml:space="preserve"> survival rates across different sectors, business articles note that some 20% of businesses fail in their first year and up to 60% of start-up businesses will not survive beyond </w:t>
      </w:r>
      <w:r w:rsidR="00295C5C">
        <w:rPr>
          <w:szCs w:val="24"/>
        </w:rPr>
        <w:t>five</w:t>
      </w:r>
      <w:r w:rsidR="00BE77C3" w:rsidRPr="00FE73DE">
        <w:rPr>
          <w:szCs w:val="24"/>
        </w:rPr>
        <w:t xml:space="preserve"> years.</w:t>
      </w:r>
      <w:r w:rsidR="00BE77C3" w:rsidRPr="00FE73DE">
        <w:rPr>
          <w:rStyle w:val="FootnoteReference"/>
          <w:szCs w:val="24"/>
        </w:rPr>
        <w:footnoteReference w:id="35"/>
      </w:r>
      <w:r w:rsidR="00BE77C3" w:rsidRPr="00FE73DE">
        <w:rPr>
          <w:szCs w:val="24"/>
        </w:rPr>
        <w:t xml:space="preserve"> </w:t>
      </w:r>
      <w:r w:rsidR="00B73B1C" w:rsidRPr="00FE73DE">
        <w:rPr>
          <w:szCs w:val="24"/>
        </w:rPr>
        <w:t xml:space="preserve">There would be value in re-examining the active tracking of customer survivability in relation to years of operation rather than just focusing on the size of the organisation, particularly for micro businesses with </w:t>
      </w:r>
      <w:r w:rsidR="00ED5D1B">
        <w:rPr>
          <w:szCs w:val="24"/>
        </w:rPr>
        <w:t>one</w:t>
      </w:r>
      <w:r w:rsidR="00B73B1C" w:rsidRPr="00FE73DE">
        <w:rPr>
          <w:szCs w:val="24"/>
        </w:rPr>
        <w:t xml:space="preserve"> to </w:t>
      </w:r>
      <w:r w:rsidR="00295C5C">
        <w:rPr>
          <w:szCs w:val="24"/>
        </w:rPr>
        <w:t>four</w:t>
      </w:r>
      <w:r w:rsidR="00B73B1C" w:rsidRPr="00FE73DE">
        <w:rPr>
          <w:szCs w:val="24"/>
        </w:rPr>
        <w:t xml:space="preserve"> employees.</w:t>
      </w:r>
      <w:r w:rsidR="00BE77C3" w:rsidRPr="00FE73DE">
        <w:rPr>
          <w:szCs w:val="24"/>
        </w:rPr>
        <w:t xml:space="preserve"> </w:t>
      </w:r>
    </w:p>
    <w:p w14:paraId="62A088B5" w14:textId="0B347B11" w:rsidR="00083A29" w:rsidRPr="00FE73DE" w:rsidRDefault="00083A29">
      <w:pPr>
        <w:pStyle w:val="Heading3"/>
      </w:pPr>
      <w:r w:rsidRPr="00FE73DE">
        <w:t>Assistance to remote and regional Australia</w:t>
      </w:r>
    </w:p>
    <w:p w14:paraId="52AD94A2" w14:textId="19EE7D5A" w:rsidR="00083A29" w:rsidRPr="00FE73DE" w:rsidRDefault="00083A29" w:rsidP="00083A29">
      <w:pPr>
        <w:rPr>
          <w:szCs w:val="24"/>
        </w:rPr>
      </w:pPr>
      <w:r w:rsidRPr="00FE73DE">
        <w:rPr>
          <w:szCs w:val="24"/>
        </w:rPr>
        <w:t xml:space="preserve">In terms of </w:t>
      </w:r>
      <w:r w:rsidR="008C5AB9" w:rsidRPr="00FE73DE">
        <w:rPr>
          <w:szCs w:val="24"/>
        </w:rPr>
        <w:t xml:space="preserve">the BSP KPIs, </w:t>
      </w:r>
      <w:r w:rsidR="00954361" w:rsidRPr="00FE73DE">
        <w:rPr>
          <w:szCs w:val="24"/>
        </w:rPr>
        <w:t>at least 30% of external and internal business support customers are expected to be based in regional and remote Australia.</w:t>
      </w:r>
      <w:r w:rsidR="00954361" w:rsidRPr="00FE73DE">
        <w:rPr>
          <w:rStyle w:val="FootnoteReference"/>
          <w:szCs w:val="24"/>
        </w:rPr>
        <w:footnoteReference w:id="36"/>
      </w:r>
      <w:r w:rsidR="00954361" w:rsidRPr="00FE73DE">
        <w:rPr>
          <w:szCs w:val="24"/>
        </w:rPr>
        <w:t xml:space="preserve"> </w:t>
      </w:r>
      <w:r w:rsidR="00E047F8">
        <w:t>There is no KPI for remoteness of loan customers.</w:t>
      </w:r>
    </w:p>
    <w:p w14:paraId="6E9A8B1C" w14:textId="72FF6486" w:rsidR="00083A29" w:rsidRPr="00FE73DE" w:rsidRDefault="00083A29" w:rsidP="00083A29">
      <w:pPr>
        <w:rPr>
          <w:szCs w:val="24"/>
        </w:rPr>
      </w:pPr>
      <w:r w:rsidRPr="00FE73DE">
        <w:rPr>
          <w:szCs w:val="24"/>
        </w:rPr>
        <w:t>Th</w:t>
      </w:r>
      <w:r w:rsidR="00E047F8">
        <w:rPr>
          <w:szCs w:val="24"/>
        </w:rPr>
        <w:t>e</w:t>
      </w:r>
      <w:r w:rsidRPr="00FE73DE">
        <w:rPr>
          <w:szCs w:val="24"/>
        </w:rPr>
        <w:t xml:space="preserve"> </w:t>
      </w:r>
      <w:r w:rsidR="00954361" w:rsidRPr="00FE73DE">
        <w:rPr>
          <w:szCs w:val="24"/>
        </w:rPr>
        <w:t>KPI</w:t>
      </w:r>
      <w:r w:rsidRPr="00FE73DE">
        <w:rPr>
          <w:szCs w:val="24"/>
        </w:rPr>
        <w:t xml:space="preserve"> has been consistently </w:t>
      </w:r>
      <w:r w:rsidR="00204E54">
        <w:rPr>
          <w:szCs w:val="24"/>
        </w:rPr>
        <w:t>achieved</w:t>
      </w:r>
      <w:r w:rsidRPr="00FE73DE">
        <w:rPr>
          <w:szCs w:val="24"/>
        </w:rPr>
        <w:t xml:space="preserve"> across the program lifecycle, with </w:t>
      </w:r>
      <w:r w:rsidR="00282A6B" w:rsidRPr="00FE73DE">
        <w:rPr>
          <w:szCs w:val="24"/>
        </w:rPr>
        <w:t xml:space="preserve">more than </w:t>
      </w:r>
      <w:r w:rsidRPr="00FE73DE">
        <w:rPr>
          <w:szCs w:val="24"/>
        </w:rPr>
        <w:t xml:space="preserve">50% of </w:t>
      </w:r>
      <w:r w:rsidR="00A7558D" w:rsidRPr="00FE73DE">
        <w:rPr>
          <w:szCs w:val="24"/>
        </w:rPr>
        <w:t xml:space="preserve">supported </w:t>
      </w:r>
      <w:r w:rsidRPr="00FE73DE">
        <w:rPr>
          <w:szCs w:val="24"/>
        </w:rPr>
        <w:t xml:space="preserve">customers </w:t>
      </w:r>
      <w:r w:rsidR="00A7558D" w:rsidRPr="00FE73DE">
        <w:rPr>
          <w:szCs w:val="24"/>
        </w:rPr>
        <w:t xml:space="preserve">each year </w:t>
      </w:r>
      <w:r w:rsidRPr="00FE73DE">
        <w:rPr>
          <w:szCs w:val="24"/>
        </w:rPr>
        <w:t>coming from regional or remote regions</w:t>
      </w:r>
      <w:r w:rsidR="00322C10" w:rsidRPr="00FE73DE">
        <w:rPr>
          <w:szCs w:val="24"/>
        </w:rPr>
        <w:t xml:space="preserve"> as shown in </w:t>
      </w:r>
      <w:r w:rsidR="00A7558D" w:rsidRPr="00FE73DE">
        <w:rPr>
          <w:szCs w:val="24"/>
        </w:rPr>
        <w:fldChar w:fldCharType="begin"/>
      </w:r>
      <w:r w:rsidR="00A7558D" w:rsidRPr="00FE73DE">
        <w:rPr>
          <w:szCs w:val="24"/>
        </w:rPr>
        <w:instrText xml:space="preserve"> REF _Ref95751296 \h </w:instrText>
      </w:r>
      <w:r w:rsidR="00A7558D" w:rsidRPr="00FE73DE">
        <w:rPr>
          <w:szCs w:val="24"/>
        </w:rPr>
      </w:r>
      <w:r w:rsidR="00A7558D" w:rsidRPr="00FE73DE">
        <w:rPr>
          <w:szCs w:val="24"/>
        </w:rPr>
        <w:fldChar w:fldCharType="separate"/>
      </w:r>
      <w:r w:rsidR="004718C9" w:rsidRPr="00FE73DE">
        <w:t xml:space="preserve">Figure </w:t>
      </w:r>
      <w:r w:rsidR="004718C9">
        <w:rPr>
          <w:noProof/>
        </w:rPr>
        <w:t>19</w:t>
      </w:r>
      <w:r w:rsidR="00A7558D" w:rsidRPr="00FE73DE">
        <w:rPr>
          <w:szCs w:val="24"/>
        </w:rPr>
        <w:fldChar w:fldCharType="end"/>
      </w:r>
      <w:r w:rsidR="00322C10" w:rsidRPr="00FE73DE">
        <w:rPr>
          <w:szCs w:val="24"/>
        </w:rPr>
        <w:t xml:space="preserve"> for internal business support.</w:t>
      </w:r>
      <w:r w:rsidRPr="00FE73DE">
        <w:rPr>
          <w:szCs w:val="24"/>
        </w:rPr>
        <w:t xml:space="preserve"> </w:t>
      </w:r>
    </w:p>
    <w:p w14:paraId="6064F6BC" w14:textId="1EFC3D18" w:rsidR="00083A29" w:rsidRPr="00FE73DE" w:rsidRDefault="00322C10" w:rsidP="00083A29">
      <w:r w:rsidRPr="00FE73DE">
        <w:rPr>
          <w:noProof/>
          <w:lang w:eastAsia="en-AU"/>
        </w:rPr>
        <w:drawing>
          <wp:inline distT="0" distB="0" distL="0" distR="0" wp14:anchorId="7493CB8B" wp14:editId="645CDF40">
            <wp:extent cx="5595784" cy="311467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357" cy="3121117"/>
                    </a:xfrm>
                    <a:prstGeom prst="rect">
                      <a:avLst/>
                    </a:prstGeom>
                    <a:noFill/>
                  </pic:spPr>
                </pic:pic>
              </a:graphicData>
            </a:graphic>
          </wp:inline>
        </w:drawing>
      </w:r>
    </w:p>
    <w:p w14:paraId="1C5A7B11" w14:textId="365510D7" w:rsidR="00083A29" w:rsidRPr="00FE73DE" w:rsidRDefault="00083A29" w:rsidP="00083A29">
      <w:pPr>
        <w:pStyle w:val="Caption"/>
        <w:keepNext/>
      </w:pPr>
      <w:bookmarkStart w:id="81" w:name="_Ref95751296"/>
      <w:r w:rsidRPr="00FE73DE">
        <w:t xml:space="preserve">Figure </w:t>
      </w:r>
      <w:fldSimple w:instr=" SEQ Figure \* ARABIC ">
        <w:r w:rsidR="004718C9">
          <w:rPr>
            <w:noProof/>
          </w:rPr>
          <w:t>19</w:t>
        </w:r>
      </w:fldSimple>
      <w:bookmarkEnd w:id="81"/>
      <w:r w:rsidRPr="00FE73DE">
        <w:t xml:space="preserve">: </w:t>
      </w:r>
      <w:r w:rsidR="00322C10" w:rsidRPr="00FE73DE">
        <w:t>N</w:t>
      </w:r>
      <w:r w:rsidR="00900F73">
        <w:t>umber</w:t>
      </w:r>
      <w:r w:rsidR="00322C10" w:rsidRPr="00FE73DE">
        <w:t xml:space="preserve"> and p</w:t>
      </w:r>
      <w:r w:rsidRPr="00FE73DE">
        <w:t>ercentage of internal business support customers by remoteness 201</w:t>
      </w:r>
      <w:r w:rsidR="008557E8">
        <w:t>6–</w:t>
      </w:r>
      <w:r w:rsidRPr="00FE73DE">
        <w:t>17 to 202</w:t>
      </w:r>
      <w:r w:rsidR="008557E8">
        <w:t>0–</w:t>
      </w:r>
      <w:r w:rsidRPr="00FE73DE">
        <w:t>21</w:t>
      </w:r>
    </w:p>
    <w:p w14:paraId="562FFCD0" w14:textId="19FFFAD1" w:rsidR="00083A29" w:rsidRPr="00FE73DE" w:rsidRDefault="00083A29" w:rsidP="00083A29">
      <w:r w:rsidRPr="00FE73DE">
        <w:t>The proportion of external business support provide</w:t>
      </w:r>
      <w:r w:rsidR="00ED5D1B">
        <w:t>d</w:t>
      </w:r>
      <w:r w:rsidRPr="00FE73DE">
        <w:t xml:space="preserve"> to customers from regional and remote businesses was broadly consistent through</w:t>
      </w:r>
      <w:r w:rsidR="00ED5D1B">
        <w:t>out</w:t>
      </w:r>
      <w:r w:rsidRPr="00FE73DE">
        <w:t xml:space="preserve"> the period, ranging </w:t>
      </w:r>
      <w:r w:rsidR="003F1EEC">
        <w:t>from</w:t>
      </w:r>
      <w:r w:rsidR="003F1EEC" w:rsidRPr="00FE73DE">
        <w:t xml:space="preserve"> </w:t>
      </w:r>
      <w:r w:rsidRPr="00FE73DE">
        <w:t>a low of 52</w:t>
      </w:r>
      <w:r w:rsidR="00ED5D1B">
        <w:t>%</w:t>
      </w:r>
      <w:r w:rsidRPr="00FE73DE">
        <w:t xml:space="preserve"> in 2016</w:t>
      </w:r>
      <w:r w:rsidR="00ED5D1B">
        <w:rPr>
          <w:rFonts w:ascii="Franklin Gothic Book" w:hAnsi="Franklin Gothic Book"/>
        </w:rPr>
        <w:t>–</w:t>
      </w:r>
      <w:r w:rsidRPr="00FE73DE">
        <w:t xml:space="preserve">2017 </w:t>
      </w:r>
      <w:r w:rsidR="00ED5D1B">
        <w:t>to a</w:t>
      </w:r>
      <w:r w:rsidRPr="00FE73DE">
        <w:t xml:space="preserve"> high of 61</w:t>
      </w:r>
      <w:r w:rsidR="00ED5D1B">
        <w:t>%</w:t>
      </w:r>
      <w:r w:rsidRPr="00FE73DE">
        <w:t xml:space="preserve"> in 2019</w:t>
      </w:r>
      <w:r w:rsidR="00ED5D1B">
        <w:rPr>
          <w:rFonts w:ascii="Franklin Gothic Book" w:hAnsi="Franklin Gothic Book"/>
        </w:rPr>
        <w:t>–</w:t>
      </w:r>
      <w:r w:rsidRPr="00FE73DE">
        <w:t xml:space="preserve">2020. </w:t>
      </w:r>
      <w:r w:rsidR="00ED5D1B">
        <w:t>In</w:t>
      </w:r>
      <w:r w:rsidRPr="00FE73DE">
        <w:t xml:space="preserve"> this period, the proportion </w:t>
      </w:r>
      <w:r w:rsidR="00ED5D1B">
        <w:t xml:space="preserve">of support provided </w:t>
      </w:r>
      <w:r w:rsidRPr="00FE73DE">
        <w:t>to remote areas did not shift notably, with slightly larger fluctuations in the proportion of business support provided to regional businesses (</w:t>
      </w:r>
      <w:r w:rsidRPr="00FE73DE">
        <w:fldChar w:fldCharType="begin"/>
      </w:r>
      <w:r w:rsidRPr="00FE73DE">
        <w:instrText xml:space="preserve"> REF _Ref95751444 \h </w:instrText>
      </w:r>
      <w:r w:rsidRPr="00FE73DE">
        <w:fldChar w:fldCharType="separate"/>
      </w:r>
      <w:r w:rsidR="004718C9" w:rsidRPr="00FE73DE">
        <w:t xml:space="preserve">Figure </w:t>
      </w:r>
      <w:r w:rsidR="004718C9">
        <w:rPr>
          <w:noProof/>
        </w:rPr>
        <w:t>20</w:t>
      </w:r>
      <w:r w:rsidRPr="00FE73DE">
        <w:fldChar w:fldCharType="end"/>
      </w:r>
      <w:r w:rsidRPr="00FE73DE">
        <w:t>),</w:t>
      </w:r>
    </w:p>
    <w:p w14:paraId="0A0295E7" w14:textId="584FCBF7" w:rsidR="00083A29" w:rsidRPr="00FE73DE" w:rsidRDefault="00322C10" w:rsidP="00083A29">
      <w:r w:rsidRPr="00FE73DE">
        <w:rPr>
          <w:noProof/>
          <w:lang w:eastAsia="en-AU"/>
        </w:rPr>
        <w:drawing>
          <wp:inline distT="0" distB="0" distL="0" distR="0" wp14:anchorId="5201975B" wp14:editId="740E8FA8">
            <wp:extent cx="5406886" cy="289325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3168" cy="2896611"/>
                    </a:xfrm>
                    <a:prstGeom prst="rect">
                      <a:avLst/>
                    </a:prstGeom>
                    <a:noFill/>
                  </pic:spPr>
                </pic:pic>
              </a:graphicData>
            </a:graphic>
          </wp:inline>
        </w:drawing>
      </w:r>
    </w:p>
    <w:p w14:paraId="203D6655" w14:textId="268E4F6B" w:rsidR="00083A29" w:rsidRPr="00FE73DE" w:rsidRDefault="00083A29" w:rsidP="00083A29">
      <w:pPr>
        <w:pStyle w:val="Caption"/>
      </w:pPr>
      <w:bookmarkStart w:id="82" w:name="_Ref95751444"/>
      <w:r w:rsidRPr="00FE73DE">
        <w:t xml:space="preserve">Figure </w:t>
      </w:r>
      <w:fldSimple w:instr=" SEQ Figure \* ARABIC ">
        <w:r w:rsidR="004718C9">
          <w:rPr>
            <w:noProof/>
          </w:rPr>
          <w:t>20</w:t>
        </w:r>
      </w:fldSimple>
      <w:bookmarkEnd w:id="82"/>
      <w:r w:rsidRPr="00FE73DE">
        <w:t xml:space="preserve">: </w:t>
      </w:r>
      <w:r w:rsidR="00322C10" w:rsidRPr="00FE73DE">
        <w:t>N</w:t>
      </w:r>
      <w:r w:rsidR="0004247B">
        <w:t>umber</w:t>
      </w:r>
      <w:r w:rsidR="00322C10" w:rsidRPr="00FE73DE">
        <w:t xml:space="preserve"> and p</w:t>
      </w:r>
      <w:r w:rsidRPr="00FE73DE">
        <w:t>ercentage of external business support customers by remoteness 201</w:t>
      </w:r>
      <w:r w:rsidR="008557E8">
        <w:t>6–</w:t>
      </w:r>
      <w:r w:rsidRPr="00FE73DE">
        <w:t>17 to 202</w:t>
      </w:r>
      <w:r w:rsidR="008557E8">
        <w:t>0–</w:t>
      </w:r>
      <w:r w:rsidRPr="00FE73DE">
        <w:t>21</w:t>
      </w:r>
    </w:p>
    <w:p w14:paraId="6AFFEEED" w14:textId="7201E5CB" w:rsidR="00083A29" w:rsidRPr="00FE73DE" w:rsidRDefault="00083A29" w:rsidP="00083A29">
      <w:r w:rsidRPr="00FE73DE">
        <w:t xml:space="preserve">In terms of BSP loan customers, the proportion from </w:t>
      </w:r>
      <w:r w:rsidR="003F1EEC">
        <w:t>regional</w:t>
      </w:r>
      <w:r w:rsidRPr="00FE73DE">
        <w:t xml:space="preserve"> and remote areas increased from 58</w:t>
      </w:r>
      <w:r w:rsidR="008557E8">
        <w:t>%</w:t>
      </w:r>
      <w:r w:rsidRPr="00FE73DE">
        <w:t xml:space="preserve"> in 2016</w:t>
      </w:r>
      <w:r w:rsidR="00ED5D1B">
        <w:rPr>
          <w:rFonts w:ascii="Franklin Gothic Book" w:hAnsi="Franklin Gothic Book"/>
        </w:rPr>
        <w:t>–</w:t>
      </w:r>
      <w:r w:rsidRPr="00FE73DE">
        <w:t>17 to 63</w:t>
      </w:r>
      <w:r w:rsidR="008557E8">
        <w:t>%</w:t>
      </w:r>
      <w:r w:rsidRPr="00FE73DE">
        <w:t xml:space="preserve"> in 201</w:t>
      </w:r>
      <w:r w:rsidR="008557E8">
        <w:t>9–</w:t>
      </w:r>
      <w:r w:rsidRPr="00FE73DE">
        <w:t>20 before dropping to a low for the period of 56</w:t>
      </w:r>
      <w:r w:rsidR="008557E8">
        <w:t>%</w:t>
      </w:r>
      <w:r w:rsidRPr="00FE73DE">
        <w:t xml:space="preserve"> in 202</w:t>
      </w:r>
      <w:r w:rsidR="008557E8">
        <w:t>0–</w:t>
      </w:r>
      <w:r w:rsidRPr="00FE73DE">
        <w:t>21. Within this, the proportion of loan customers from remote areas increased from 15</w:t>
      </w:r>
      <w:r w:rsidR="008557E8">
        <w:t>%</w:t>
      </w:r>
      <w:r w:rsidRPr="00FE73DE">
        <w:t xml:space="preserve"> in 201</w:t>
      </w:r>
      <w:r w:rsidR="008557E8">
        <w:t>6–</w:t>
      </w:r>
      <w:r w:rsidRPr="00FE73DE">
        <w:t>17 to a high of 26</w:t>
      </w:r>
      <w:r w:rsidR="008557E8">
        <w:t>%</w:t>
      </w:r>
      <w:r w:rsidRPr="00FE73DE">
        <w:t xml:space="preserve"> in 201</w:t>
      </w:r>
      <w:r w:rsidR="008557E8">
        <w:t>7–</w:t>
      </w:r>
      <w:r w:rsidRPr="00FE73DE">
        <w:t>18 before a decline to a low point of 9</w:t>
      </w:r>
      <w:r w:rsidR="008557E8">
        <w:t>%</w:t>
      </w:r>
      <w:r w:rsidRPr="00FE73DE">
        <w:t xml:space="preserve"> in 202</w:t>
      </w:r>
      <w:r w:rsidR="008557E8">
        <w:t>0–</w:t>
      </w:r>
      <w:r w:rsidRPr="00FE73DE">
        <w:t>21 (</w:t>
      </w:r>
      <w:r w:rsidRPr="00FE73DE">
        <w:fldChar w:fldCharType="begin"/>
      </w:r>
      <w:r w:rsidRPr="00FE73DE">
        <w:instrText xml:space="preserve"> REF _Ref95751566 \h  \* MERGEFORMAT </w:instrText>
      </w:r>
      <w:r w:rsidRPr="00FE73DE">
        <w:fldChar w:fldCharType="separate"/>
      </w:r>
      <w:r w:rsidR="004718C9" w:rsidRPr="00FE73DE">
        <w:t xml:space="preserve">Figure </w:t>
      </w:r>
      <w:r w:rsidR="004718C9" w:rsidRPr="004718C9">
        <w:t>21</w:t>
      </w:r>
      <w:r w:rsidRPr="00FE73DE">
        <w:fldChar w:fldCharType="end"/>
      </w:r>
      <w:r w:rsidRPr="00FE73DE">
        <w:t xml:space="preserve">). </w:t>
      </w:r>
    </w:p>
    <w:p w14:paraId="777DE3D2" w14:textId="434B43F3" w:rsidR="00083A29" w:rsidRPr="00FE73DE" w:rsidRDefault="00BC25D7" w:rsidP="00083A29">
      <w:r w:rsidRPr="00FE73DE">
        <w:rPr>
          <w:noProof/>
          <w:lang w:eastAsia="en-AU"/>
        </w:rPr>
        <w:drawing>
          <wp:inline distT="0" distB="0" distL="0" distR="0" wp14:anchorId="1680A025" wp14:editId="02A5E023">
            <wp:extent cx="5542059" cy="2903993"/>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9037" cy="2912889"/>
                    </a:xfrm>
                    <a:prstGeom prst="rect">
                      <a:avLst/>
                    </a:prstGeom>
                    <a:noFill/>
                  </pic:spPr>
                </pic:pic>
              </a:graphicData>
            </a:graphic>
          </wp:inline>
        </w:drawing>
      </w:r>
    </w:p>
    <w:p w14:paraId="3399D485" w14:textId="22671F7A" w:rsidR="00083A29" w:rsidRPr="00FE73DE" w:rsidRDefault="00083A29" w:rsidP="00BC25D7">
      <w:pPr>
        <w:pStyle w:val="Caption"/>
        <w:keepLines w:val="0"/>
      </w:pPr>
      <w:bookmarkStart w:id="83" w:name="_Ref95751566"/>
      <w:r w:rsidRPr="00FE73DE">
        <w:t xml:space="preserve">Figure </w:t>
      </w:r>
      <w:r w:rsidRPr="00FE73DE">
        <w:fldChar w:fldCharType="begin"/>
      </w:r>
      <w:r w:rsidRPr="00FE73DE">
        <w:rPr>
          <w:i w:val="0"/>
          <w:iCs w:val="0"/>
        </w:rPr>
        <w:instrText xml:space="preserve"> SEQ Figure \* ARABIC </w:instrText>
      </w:r>
      <w:r w:rsidRPr="00FE73DE">
        <w:fldChar w:fldCharType="separate"/>
      </w:r>
      <w:r w:rsidR="004718C9">
        <w:rPr>
          <w:i w:val="0"/>
          <w:iCs w:val="0"/>
          <w:noProof/>
        </w:rPr>
        <w:t>21</w:t>
      </w:r>
      <w:r w:rsidRPr="00FE73DE">
        <w:fldChar w:fldCharType="end"/>
      </w:r>
      <w:bookmarkEnd w:id="83"/>
      <w:r w:rsidRPr="00FE73DE">
        <w:t xml:space="preserve">: </w:t>
      </w:r>
      <w:r w:rsidR="002F2227" w:rsidRPr="00FE73DE">
        <w:t>N</w:t>
      </w:r>
      <w:r w:rsidR="0004247B">
        <w:t>umber</w:t>
      </w:r>
      <w:r w:rsidR="002F2227" w:rsidRPr="00FE73DE">
        <w:t xml:space="preserve"> and </w:t>
      </w:r>
      <w:r w:rsidRPr="00FE73DE">
        <w:t xml:space="preserve">percentage of </w:t>
      </w:r>
      <w:r w:rsidR="002F2227" w:rsidRPr="00FE73DE">
        <w:t xml:space="preserve">loan </w:t>
      </w:r>
      <w:r w:rsidRPr="00FE73DE">
        <w:t>customers by remoteness 201</w:t>
      </w:r>
      <w:r w:rsidR="008557E8">
        <w:t>6–</w:t>
      </w:r>
      <w:r w:rsidRPr="00FE73DE">
        <w:t>17 to 202</w:t>
      </w:r>
      <w:r w:rsidR="008557E8">
        <w:t>0–</w:t>
      </w:r>
      <w:r w:rsidRPr="00FE73DE">
        <w:t>21</w:t>
      </w:r>
    </w:p>
    <w:p w14:paraId="2F7AB514" w14:textId="7E001A47" w:rsidR="00083A29" w:rsidRPr="00FE73DE" w:rsidRDefault="00083A29" w:rsidP="00083A29">
      <w:r w:rsidRPr="00FE73DE">
        <w:t>In terms of the proportion of funds disbursed to loan customers in remote and regional areas, this increased from 46</w:t>
      </w:r>
      <w:r w:rsidR="008557E8">
        <w:t>%</w:t>
      </w:r>
      <w:r w:rsidRPr="00FE73DE">
        <w:t xml:space="preserve"> in 201</w:t>
      </w:r>
      <w:r w:rsidR="008557E8">
        <w:t>6–</w:t>
      </w:r>
      <w:r w:rsidRPr="00FE73DE">
        <w:t>17 to 67</w:t>
      </w:r>
      <w:r w:rsidR="008557E8">
        <w:t>%</w:t>
      </w:r>
      <w:r w:rsidRPr="00FE73DE">
        <w:t xml:space="preserve"> in 202</w:t>
      </w:r>
      <w:r w:rsidR="008557E8">
        <w:t>0–</w:t>
      </w:r>
      <w:r w:rsidRPr="00FE73DE">
        <w:t xml:space="preserve">21, noting some variability in the proportion in the years </w:t>
      </w:r>
      <w:r w:rsidR="00ED5D1B" w:rsidRPr="00FE73DE">
        <w:t>in between</w:t>
      </w:r>
      <w:r w:rsidR="000A1DAE">
        <w:t xml:space="preserve"> </w:t>
      </w:r>
      <w:r w:rsidR="00E047F8" w:rsidRPr="00FE73DE">
        <w:fldChar w:fldCharType="begin"/>
      </w:r>
      <w:r w:rsidR="00E047F8" w:rsidRPr="00FE73DE">
        <w:instrText xml:space="preserve"> REF _Ref95751629 \h </w:instrText>
      </w:r>
      <w:r w:rsidR="00E047F8" w:rsidRPr="00FE73DE">
        <w:fldChar w:fldCharType="separate"/>
      </w:r>
      <w:r w:rsidR="004718C9" w:rsidRPr="00FE73DE">
        <w:t xml:space="preserve">Figure </w:t>
      </w:r>
      <w:r w:rsidR="004718C9">
        <w:rPr>
          <w:noProof/>
        </w:rPr>
        <w:t>22</w:t>
      </w:r>
      <w:r w:rsidR="00E047F8" w:rsidRPr="00FE73DE">
        <w:fldChar w:fldCharType="end"/>
      </w:r>
      <w:r w:rsidR="00E047F8" w:rsidRPr="00FE73DE">
        <w:t>)</w:t>
      </w:r>
      <w:r w:rsidR="00E047F8">
        <w:t>.</w:t>
      </w:r>
      <w:r w:rsidRPr="00FE73DE">
        <w:t xml:space="preserve"> </w:t>
      </w:r>
      <w:r w:rsidR="003631E2">
        <w:t>In relation to remote the proportion was much lower</w:t>
      </w:r>
      <w:r w:rsidR="000A1DAE">
        <w:t xml:space="preserve"> peaking at 34% in 2017-18 and declining to 13% in 2020-21. </w:t>
      </w:r>
      <w:r w:rsidR="00D27B69" w:rsidRPr="00FE73DE">
        <w:t xml:space="preserve">While no specific reason for this change is available, the COVID-19 impact on overall confidence and economic conditions in remote Australia should not be discounted. </w:t>
      </w:r>
    </w:p>
    <w:p w14:paraId="1181940A" w14:textId="1689FCFA" w:rsidR="00083A29" w:rsidRPr="00FE73DE" w:rsidRDefault="002F2227" w:rsidP="00083A29">
      <w:r w:rsidRPr="00FE73DE">
        <w:rPr>
          <w:noProof/>
          <w:lang w:eastAsia="en-AU"/>
        </w:rPr>
        <w:drawing>
          <wp:inline distT="0" distB="0" distL="0" distR="0" wp14:anchorId="64B61CE0" wp14:editId="0961C769">
            <wp:extent cx="5666362" cy="3103538"/>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8666" cy="3115754"/>
                    </a:xfrm>
                    <a:prstGeom prst="rect">
                      <a:avLst/>
                    </a:prstGeom>
                    <a:noFill/>
                  </pic:spPr>
                </pic:pic>
              </a:graphicData>
            </a:graphic>
          </wp:inline>
        </w:drawing>
      </w:r>
    </w:p>
    <w:p w14:paraId="3318F9F5" w14:textId="318A0945" w:rsidR="00083A29" w:rsidRPr="00FE73DE" w:rsidRDefault="00083A29" w:rsidP="00083A29">
      <w:pPr>
        <w:pStyle w:val="Caption"/>
        <w:keepNext/>
      </w:pPr>
      <w:bookmarkStart w:id="84" w:name="_Ref95751629"/>
      <w:r w:rsidRPr="00FE73DE">
        <w:t xml:space="preserve">Figure </w:t>
      </w:r>
      <w:fldSimple w:instr=" SEQ Figure \* ARABIC ">
        <w:r w:rsidR="004718C9">
          <w:rPr>
            <w:noProof/>
          </w:rPr>
          <w:t>22</w:t>
        </w:r>
      </w:fldSimple>
      <w:bookmarkEnd w:id="84"/>
      <w:r w:rsidRPr="00FE73DE">
        <w:t xml:space="preserve">: </w:t>
      </w:r>
      <w:r w:rsidR="002F2227" w:rsidRPr="00FE73DE">
        <w:t xml:space="preserve">Overall value and </w:t>
      </w:r>
      <w:r w:rsidRPr="00FE73DE">
        <w:t xml:space="preserve">percentage of funds </w:t>
      </w:r>
      <w:r w:rsidR="00D27B69" w:rsidRPr="00FE73DE">
        <w:t>committed</w:t>
      </w:r>
      <w:r w:rsidRPr="00FE73DE">
        <w:t xml:space="preserve"> by </w:t>
      </w:r>
      <w:r w:rsidR="00D27B69" w:rsidRPr="00FE73DE">
        <w:t xml:space="preserve">loan customer </w:t>
      </w:r>
      <w:r w:rsidRPr="00FE73DE">
        <w:t>remoteness 201</w:t>
      </w:r>
      <w:r w:rsidR="008557E8">
        <w:t>6–</w:t>
      </w:r>
      <w:r w:rsidRPr="00FE73DE">
        <w:t>17 to 202</w:t>
      </w:r>
      <w:r w:rsidR="008557E8">
        <w:t>0–</w:t>
      </w:r>
      <w:r w:rsidRPr="00FE73DE">
        <w:t>21</w:t>
      </w:r>
    </w:p>
    <w:p w14:paraId="297F2962" w14:textId="7C07DA82" w:rsidR="00954361" w:rsidRPr="00FE73DE" w:rsidRDefault="003D2BAD" w:rsidP="00954361">
      <w:pPr>
        <w:rPr>
          <w:szCs w:val="24"/>
        </w:rPr>
      </w:pPr>
      <w:r w:rsidRPr="00FE73DE">
        <w:rPr>
          <w:szCs w:val="24"/>
        </w:rPr>
        <w:t xml:space="preserve">The results show that the level of business support going to businesses in regional and remote Australia is greater than the BSP </w:t>
      </w:r>
      <w:r w:rsidR="00954361" w:rsidRPr="00FE73DE">
        <w:rPr>
          <w:szCs w:val="24"/>
        </w:rPr>
        <w:t>KPIs</w:t>
      </w:r>
      <w:r w:rsidRPr="00FE73DE">
        <w:rPr>
          <w:szCs w:val="24"/>
        </w:rPr>
        <w:t xml:space="preserve">, and across the </w:t>
      </w:r>
      <w:r w:rsidR="006A3C80">
        <w:rPr>
          <w:szCs w:val="24"/>
        </w:rPr>
        <w:t>time period</w:t>
      </w:r>
      <w:r w:rsidR="00483275">
        <w:rPr>
          <w:szCs w:val="24"/>
        </w:rPr>
        <w:t>,</w:t>
      </w:r>
      <w:r w:rsidRPr="00FE73DE">
        <w:rPr>
          <w:szCs w:val="24"/>
        </w:rPr>
        <w:t xml:space="preserve"> businesses in regional and remote Australia </w:t>
      </w:r>
      <w:r w:rsidR="006A3C80">
        <w:rPr>
          <w:szCs w:val="24"/>
        </w:rPr>
        <w:t>make-up</w:t>
      </w:r>
      <w:r w:rsidR="006A3C80" w:rsidRPr="00FE73DE">
        <w:rPr>
          <w:szCs w:val="24"/>
        </w:rPr>
        <w:t xml:space="preserve"> </w:t>
      </w:r>
      <w:r w:rsidRPr="00FE73DE">
        <w:rPr>
          <w:szCs w:val="24"/>
        </w:rPr>
        <w:t xml:space="preserve">more than 50% of all customers. </w:t>
      </w:r>
      <w:r w:rsidR="00F005F8" w:rsidRPr="00FE73DE">
        <w:rPr>
          <w:szCs w:val="24"/>
        </w:rPr>
        <w:t xml:space="preserve">Noting </w:t>
      </w:r>
      <w:r w:rsidR="00954361" w:rsidRPr="00FE73DE">
        <w:rPr>
          <w:szCs w:val="24"/>
        </w:rPr>
        <w:t xml:space="preserve">the </w:t>
      </w:r>
      <w:r w:rsidR="002A3F91" w:rsidRPr="00FE73DE">
        <w:rPr>
          <w:szCs w:val="24"/>
        </w:rPr>
        <w:t xml:space="preserve">reported high </w:t>
      </w:r>
      <w:r w:rsidR="00954361" w:rsidRPr="00FE73DE">
        <w:rPr>
          <w:szCs w:val="24"/>
        </w:rPr>
        <w:t>level of demand from businesses</w:t>
      </w:r>
      <w:r w:rsidR="002A3F91" w:rsidRPr="00FE73DE">
        <w:rPr>
          <w:szCs w:val="24"/>
        </w:rPr>
        <w:t xml:space="preserve"> in these locations</w:t>
      </w:r>
      <w:r w:rsidR="00954361" w:rsidRPr="00FE73DE">
        <w:rPr>
          <w:szCs w:val="24"/>
        </w:rPr>
        <w:t xml:space="preserve">, it is unclear whether the full level of demand has been met, or whether there continues to be businesses in these </w:t>
      </w:r>
      <w:r w:rsidR="002A3F91" w:rsidRPr="00FE73DE">
        <w:rPr>
          <w:szCs w:val="24"/>
        </w:rPr>
        <w:t>localities</w:t>
      </w:r>
      <w:r w:rsidR="00954361" w:rsidRPr="00FE73DE">
        <w:rPr>
          <w:szCs w:val="24"/>
        </w:rPr>
        <w:t xml:space="preserve"> who were not able to access relevant support from the program.</w:t>
      </w:r>
    </w:p>
    <w:p w14:paraId="243F9EBD" w14:textId="1DBFD023" w:rsidR="004C5DCF" w:rsidRPr="00FE73DE" w:rsidRDefault="004C5DCF">
      <w:pPr>
        <w:pStyle w:val="Heading3"/>
      </w:pPr>
      <w:r w:rsidRPr="00FE73DE">
        <w:t>Level of customer satisfaction</w:t>
      </w:r>
    </w:p>
    <w:p w14:paraId="00A045FC" w14:textId="31743E78" w:rsidR="00B20DDB" w:rsidRPr="00FE73DE" w:rsidRDefault="00B20DDB" w:rsidP="004C5DCF">
      <w:pPr>
        <w:rPr>
          <w:szCs w:val="24"/>
        </w:rPr>
      </w:pPr>
      <w:r w:rsidRPr="00FE73DE">
        <w:rPr>
          <w:szCs w:val="24"/>
        </w:rPr>
        <w:t xml:space="preserve">In relation to </w:t>
      </w:r>
      <w:r w:rsidR="00213251" w:rsidRPr="00FE73DE">
        <w:rPr>
          <w:szCs w:val="24"/>
        </w:rPr>
        <w:t xml:space="preserve">the </w:t>
      </w:r>
      <w:r w:rsidR="004C5DCF" w:rsidRPr="00FE73DE">
        <w:rPr>
          <w:szCs w:val="24"/>
        </w:rPr>
        <w:t>benchmark of 80% customer satisfaction</w:t>
      </w:r>
      <w:r w:rsidR="00213251" w:rsidRPr="00FE73DE">
        <w:rPr>
          <w:szCs w:val="24"/>
        </w:rPr>
        <w:t>, this has been met over the life of the BSP</w:t>
      </w:r>
      <w:r w:rsidR="002A3F91" w:rsidRPr="00FE73DE">
        <w:rPr>
          <w:szCs w:val="24"/>
        </w:rPr>
        <w:t xml:space="preserve"> for all years except 2020</w:t>
      </w:r>
      <w:r w:rsidR="00483275">
        <w:rPr>
          <w:rFonts w:ascii="Franklin Gothic Book" w:hAnsi="Franklin Gothic Book"/>
          <w:szCs w:val="24"/>
        </w:rPr>
        <w:t>–</w:t>
      </w:r>
      <w:r w:rsidR="002A3F91" w:rsidRPr="00FE73DE">
        <w:rPr>
          <w:szCs w:val="24"/>
        </w:rPr>
        <w:t xml:space="preserve">21 where </w:t>
      </w:r>
      <w:r w:rsidR="00A200A0" w:rsidRPr="00FE73DE">
        <w:rPr>
          <w:szCs w:val="24"/>
        </w:rPr>
        <w:t xml:space="preserve">the KPI target </w:t>
      </w:r>
      <w:r w:rsidR="002A3F91" w:rsidRPr="00FE73DE">
        <w:rPr>
          <w:szCs w:val="24"/>
        </w:rPr>
        <w:t xml:space="preserve">was </w:t>
      </w:r>
      <w:r w:rsidR="00A200A0" w:rsidRPr="00FE73DE">
        <w:rPr>
          <w:szCs w:val="24"/>
        </w:rPr>
        <w:t>not achieved</w:t>
      </w:r>
      <w:r w:rsidR="00483275">
        <w:rPr>
          <w:szCs w:val="24"/>
        </w:rPr>
        <w:t xml:space="preserve"> (</w:t>
      </w:r>
      <w:r w:rsidR="00483275">
        <w:rPr>
          <w:szCs w:val="24"/>
        </w:rPr>
        <w:fldChar w:fldCharType="begin"/>
      </w:r>
      <w:r w:rsidR="00483275">
        <w:rPr>
          <w:szCs w:val="24"/>
        </w:rPr>
        <w:instrText xml:space="preserve"> REF _Ref110608936 \h </w:instrText>
      </w:r>
      <w:r w:rsidR="00483275">
        <w:rPr>
          <w:szCs w:val="24"/>
        </w:rPr>
      </w:r>
      <w:r w:rsidR="00483275">
        <w:rPr>
          <w:szCs w:val="24"/>
        </w:rPr>
        <w:fldChar w:fldCharType="separate"/>
      </w:r>
      <w:r w:rsidR="004718C9" w:rsidRPr="00FE73DE">
        <w:t xml:space="preserve">Table </w:t>
      </w:r>
      <w:r w:rsidR="004718C9">
        <w:rPr>
          <w:noProof/>
        </w:rPr>
        <w:t>4</w:t>
      </w:r>
      <w:r w:rsidR="00483275">
        <w:rPr>
          <w:szCs w:val="24"/>
        </w:rPr>
        <w:fldChar w:fldCharType="end"/>
      </w:r>
      <w:r w:rsidR="00483275">
        <w:rPr>
          <w:szCs w:val="24"/>
        </w:rPr>
        <w:t>)</w:t>
      </w:r>
      <w:r w:rsidR="002A3F91" w:rsidRPr="00FE73DE">
        <w:rPr>
          <w:szCs w:val="24"/>
        </w:rPr>
        <w:t>. In</w:t>
      </w:r>
      <w:r w:rsidR="00213251" w:rsidRPr="00FE73DE">
        <w:rPr>
          <w:szCs w:val="24"/>
        </w:rPr>
        <w:t xml:space="preserve"> 2020</w:t>
      </w:r>
      <w:r w:rsidR="00483275">
        <w:rPr>
          <w:rFonts w:ascii="Franklin Gothic Book" w:hAnsi="Franklin Gothic Book"/>
          <w:szCs w:val="24"/>
        </w:rPr>
        <w:t>–</w:t>
      </w:r>
      <w:r w:rsidR="00213251" w:rsidRPr="00FE73DE">
        <w:rPr>
          <w:szCs w:val="24"/>
        </w:rPr>
        <w:t>21</w:t>
      </w:r>
      <w:r w:rsidR="002A3F91" w:rsidRPr="00FE73DE">
        <w:rPr>
          <w:szCs w:val="24"/>
        </w:rPr>
        <w:t xml:space="preserve">, customer satisfaction was reported as </w:t>
      </w:r>
      <w:r w:rsidR="00213251" w:rsidRPr="00FE73DE">
        <w:rPr>
          <w:szCs w:val="24"/>
        </w:rPr>
        <w:t>78%</w:t>
      </w:r>
      <w:r w:rsidR="00483275">
        <w:rPr>
          <w:szCs w:val="24"/>
        </w:rPr>
        <w:t>.</w:t>
      </w:r>
      <w:r w:rsidR="00A200A0" w:rsidRPr="00FE73DE">
        <w:rPr>
          <w:rStyle w:val="FootnoteReference"/>
          <w:szCs w:val="24"/>
        </w:rPr>
        <w:footnoteReference w:id="37"/>
      </w:r>
      <w:r w:rsidR="00A200A0" w:rsidRPr="00FE73DE">
        <w:rPr>
          <w:szCs w:val="24"/>
        </w:rPr>
        <w:t xml:space="preserve"> </w:t>
      </w:r>
    </w:p>
    <w:p w14:paraId="5507CBE0" w14:textId="06ACFA93" w:rsidR="00213251" w:rsidRPr="00FE73DE" w:rsidRDefault="00CF71DB" w:rsidP="004C5DCF">
      <w:r w:rsidRPr="00FE73DE">
        <w:rPr>
          <w:szCs w:val="24"/>
        </w:rPr>
        <w:t xml:space="preserve">The </w:t>
      </w:r>
      <w:r w:rsidR="00213251" w:rsidRPr="00FE73DE">
        <w:t>measure of customer satisfaction is based on those businesses who have been able to become IBA customers</w:t>
      </w:r>
      <w:r w:rsidRPr="00FE73DE">
        <w:t>. Further, the</w:t>
      </w:r>
      <w:r w:rsidR="00B20DDB" w:rsidRPr="00FE73DE">
        <w:t xml:space="preserve"> basis of </w:t>
      </w:r>
      <w:r w:rsidRPr="00FE73DE">
        <w:t xml:space="preserve">its </w:t>
      </w:r>
      <w:r w:rsidR="00B20DDB" w:rsidRPr="00FE73DE">
        <w:t>measurement has varied over the life of the program. For example, in 2019</w:t>
      </w:r>
      <w:r w:rsidR="00483275">
        <w:rPr>
          <w:rFonts w:ascii="Franklin Gothic Book" w:hAnsi="Franklin Gothic Book"/>
        </w:rPr>
        <w:t>–</w:t>
      </w:r>
      <w:r w:rsidR="00B20DDB" w:rsidRPr="00FE73DE">
        <w:t xml:space="preserve">20 the reported result uses </w:t>
      </w:r>
      <w:r w:rsidR="00DA5EC8" w:rsidRPr="00FE73DE">
        <w:rPr>
          <w:i/>
          <w:iCs/>
        </w:rPr>
        <w:t>‘</w:t>
      </w:r>
      <w:r w:rsidR="00B20DDB" w:rsidRPr="00FE73DE">
        <w:rPr>
          <w:i/>
          <w:iCs/>
        </w:rPr>
        <w:t>the Overall Satisfaction result from the External Support module</w:t>
      </w:r>
      <w:r w:rsidR="00DA5EC8" w:rsidRPr="00FE73DE">
        <w:t>’</w:t>
      </w:r>
      <w:r w:rsidR="00DA5EC8" w:rsidRPr="00FE73DE">
        <w:rPr>
          <w:rStyle w:val="FootnoteReference"/>
        </w:rPr>
        <w:footnoteReference w:id="38"/>
      </w:r>
      <w:r w:rsidR="00B20DDB" w:rsidRPr="00FE73DE">
        <w:t>. IBA’s 2019</w:t>
      </w:r>
      <w:r w:rsidR="00483275">
        <w:rPr>
          <w:rFonts w:ascii="Franklin Gothic Book" w:hAnsi="Franklin Gothic Book"/>
        </w:rPr>
        <w:t>–</w:t>
      </w:r>
      <w:r w:rsidR="00B20DDB" w:rsidRPr="00FE73DE">
        <w:t xml:space="preserve">20 Annual Report explained that it was continually improving data collection process for customer satisfaction and planned to survey all program customers </w:t>
      </w:r>
      <w:r w:rsidR="00483275">
        <w:t xml:space="preserve">in </w:t>
      </w:r>
      <w:r w:rsidR="00B20DDB" w:rsidRPr="00FE73DE">
        <w:t>2020</w:t>
      </w:r>
      <w:r w:rsidR="00483275">
        <w:rPr>
          <w:rFonts w:ascii="Franklin Gothic Book" w:hAnsi="Franklin Gothic Book"/>
        </w:rPr>
        <w:t>–</w:t>
      </w:r>
      <w:r w:rsidR="00B20DDB" w:rsidRPr="00FE73DE">
        <w:t>21</w:t>
      </w:r>
      <w:r w:rsidR="00213251" w:rsidRPr="00FE73DE">
        <w:t>.</w:t>
      </w:r>
      <w:r w:rsidR="00B20DDB" w:rsidRPr="00FE73DE">
        <w:t xml:space="preserve"> The IBA 2020</w:t>
      </w:r>
      <w:r w:rsidR="00483275">
        <w:rPr>
          <w:rFonts w:ascii="Franklin Gothic Book" w:hAnsi="Franklin Gothic Book"/>
        </w:rPr>
        <w:t>–</w:t>
      </w:r>
      <w:r w:rsidR="00B20DDB" w:rsidRPr="00FE73DE">
        <w:t xml:space="preserve">21 Annual Report noted that the rating of 78% was based on </w:t>
      </w:r>
      <w:r w:rsidR="00DA5EC8" w:rsidRPr="00FE73DE">
        <w:rPr>
          <w:i/>
          <w:iCs/>
        </w:rPr>
        <w:t>‘</w:t>
      </w:r>
      <w:r w:rsidR="00B20DDB" w:rsidRPr="00FE73DE">
        <w:rPr>
          <w:i/>
          <w:iCs/>
        </w:rPr>
        <w:t>the overall satisfaction of customers who went through the end-to-end business finance application process</w:t>
      </w:r>
      <w:r w:rsidR="00DA5EC8" w:rsidRPr="00FE73DE">
        <w:t>’</w:t>
      </w:r>
      <w:r w:rsidR="00483275">
        <w:t>.</w:t>
      </w:r>
      <w:r w:rsidR="00DA5EC8" w:rsidRPr="00FE73DE">
        <w:rPr>
          <w:rStyle w:val="FootnoteReference"/>
        </w:rPr>
        <w:footnoteReference w:id="39"/>
      </w:r>
      <w:r w:rsidRPr="00FE73DE">
        <w:t xml:space="preserve"> By not tracking the demand for the program and only measuring customer satisfaction of those businesses who have been able to get access to support is a significant shortcoming of the program.</w:t>
      </w:r>
    </w:p>
    <w:p w14:paraId="4C4DCC45" w14:textId="5CDFCA99" w:rsidR="0031174D" w:rsidRPr="00FE73DE" w:rsidRDefault="0031174D" w:rsidP="00887A5E">
      <w:r w:rsidRPr="00FE73DE">
        <w:rPr>
          <w:szCs w:val="24"/>
        </w:rPr>
        <w:t>The evaluation</w:t>
      </w:r>
      <w:r w:rsidR="00483275">
        <w:rPr>
          <w:szCs w:val="24"/>
        </w:rPr>
        <w:t>’s online</w:t>
      </w:r>
      <w:r w:rsidRPr="00FE73DE">
        <w:rPr>
          <w:szCs w:val="24"/>
        </w:rPr>
        <w:t xml:space="preserve"> Indigenous business survey also sought to capture the level of customer satisfaction of those respondents who received support from IBA. </w:t>
      </w:r>
      <w:r w:rsidR="00F73B04" w:rsidRPr="00FE73DE">
        <w:t>Of the Indigenous business survey respondents who were IBA business customers (n=22), 79% were ‘Satisfied</w:t>
      </w:r>
      <w:r w:rsidR="00D56D21">
        <w:t>’</w:t>
      </w:r>
      <w:r w:rsidR="00F73B04" w:rsidRPr="00FE73DE">
        <w:t xml:space="preserve"> or ‘Extremely Satisfied’ with the business engagement experience with IBA, based on their current business journe</w:t>
      </w:r>
      <w:r w:rsidR="00483275">
        <w:t>y</w:t>
      </w:r>
      <w:r w:rsidR="00483275">
        <w:rPr>
          <w:rFonts w:ascii="Franklin Gothic Book" w:hAnsi="Franklin Gothic Book"/>
        </w:rPr>
        <w:t>—</w:t>
      </w:r>
      <w:r w:rsidRPr="00FE73DE">
        <w:rPr>
          <w:szCs w:val="24"/>
        </w:rPr>
        <w:t>a similar level of satisfaction</w:t>
      </w:r>
      <w:r w:rsidR="00F73B04" w:rsidRPr="00FE73DE">
        <w:rPr>
          <w:szCs w:val="24"/>
        </w:rPr>
        <w:t xml:space="preserve"> to IBA’s reporting</w:t>
      </w:r>
      <w:r w:rsidR="00887A5E" w:rsidRPr="00FE73DE">
        <w:rPr>
          <w:szCs w:val="24"/>
        </w:rPr>
        <w:t>.</w:t>
      </w:r>
      <w:r w:rsidRPr="00FE73DE">
        <w:t xml:space="preserve"> </w:t>
      </w:r>
      <w:r w:rsidR="00CF71DB" w:rsidRPr="00FE73DE">
        <w:t>When prompted to provide more detail on why they were satisfied, t</w:t>
      </w:r>
      <w:r w:rsidRPr="00FE73DE">
        <w:t xml:space="preserve">he most common reasons </w:t>
      </w:r>
      <w:r w:rsidR="00887A5E" w:rsidRPr="00FE73DE">
        <w:t>given were due to the service being</w:t>
      </w:r>
      <w:r w:rsidRPr="00FE73DE">
        <w:t xml:space="preserve"> tailored to the business</w:t>
      </w:r>
      <w:r w:rsidR="00483275">
        <w:t>;</w:t>
      </w:r>
      <w:r w:rsidRPr="00FE73DE">
        <w:t xml:space="preserve"> that services were high quality; and that the products were targeted to the needs of the business. The detailed breakdown of responses is shown below in</w:t>
      </w:r>
      <w:r w:rsidR="00887A5E" w:rsidRPr="00FE73DE">
        <w:t xml:space="preserve"> </w:t>
      </w:r>
      <w:r w:rsidR="00887A5E" w:rsidRPr="00FE73DE">
        <w:fldChar w:fldCharType="begin"/>
      </w:r>
      <w:r w:rsidR="00887A5E" w:rsidRPr="00FE73DE">
        <w:instrText xml:space="preserve"> REF _Ref110700756 \h </w:instrText>
      </w:r>
      <w:r w:rsidR="00887A5E" w:rsidRPr="00FE73DE">
        <w:fldChar w:fldCharType="separate"/>
      </w:r>
      <w:r w:rsidR="004718C9" w:rsidRPr="00FE73DE">
        <w:rPr>
          <w:szCs w:val="20"/>
        </w:rPr>
        <w:t xml:space="preserve">Table </w:t>
      </w:r>
      <w:r w:rsidR="004718C9">
        <w:rPr>
          <w:noProof/>
          <w:szCs w:val="20"/>
        </w:rPr>
        <w:t>5</w:t>
      </w:r>
      <w:r w:rsidR="00887A5E" w:rsidRPr="00FE73DE">
        <w:fldChar w:fldCharType="end"/>
      </w:r>
      <w:r w:rsidRPr="00FE73DE">
        <w:t xml:space="preserve">.  </w:t>
      </w:r>
    </w:p>
    <w:p w14:paraId="5FA2621C" w14:textId="1E2F0F76" w:rsidR="0031174D" w:rsidRPr="00FE73DE" w:rsidRDefault="0031174D" w:rsidP="0031174D">
      <w:pPr>
        <w:pStyle w:val="Caption"/>
        <w:keepNext/>
        <w:rPr>
          <w:szCs w:val="20"/>
        </w:rPr>
      </w:pPr>
      <w:bookmarkStart w:id="85" w:name="_Ref110700756"/>
      <w:r w:rsidRPr="00FE73DE">
        <w:rPr>
          <w:szCs w:val="20"/>
        </w:rPr>
        <w:t xml:space="preserve">Table </w:t>
      </w:r>
      <w:r w:rsidRPr="00FE73DE">
        <w:rPr>
          <w:szCs w:val="20"/>
        </w:rPr>
        <w:fldChar w:fldCharType="begin"/>
      </w:r>
      <w:r w:rsidRPr="00FE73DE">
        <w:rPr>
          <w:szCs w:val="20"/>
        </w:rPr>
        <w:instrText xml:space="preserve"> SEQ Table \* ARABIC </w:instrText>
      </w:r>
      <w:r w:rsidRPr="00FE73DE">
        <w:rPr>
          <w:szCs w:val="20"/>
        </w:rPr>
        <w:fldChar w:fldCharType="separate"/>
      </w:r>
      <w:r w:rsidR="004718C9">
        <w:rPr>
          <w:noProof/>
          <w:szCs w:val="20"/>
        </w:rPr>
        <w:t>5</w:t>
      </w:r>
      <w:r w:rsidRPr="00FE73DE">
        <w:rPr>
          <w:szCs w:val="20"/>
        </w:rPr>
        <w:fldChar w:fldCharType="end"/>
      </w:r>
      <w:bookmarkEnd w:id="85"/>
      <w:r w:rsidRPr="00FE73DE">
        <w:rPr>
          <w:szCs w:val="20"/>
        </w:rPr>
        <w:t xml:space="preserve">: </w:t>
      </w:r>
      <w:r w:rsidRPr="00FE73DE">
        <w:t xml:space="preserve">Responses to the question ‘Can you please provide further detail on why you were satisfied with the business engagement experience with IBA?’ </w:t>
      </w:r>
    </w:p>
    <w:tbl>
      <w:tblPr>
        <w:tblStyle w:val="Summaryboxtablestyle"/>
        <w:tblW w:w="5000" w:type="pct"/>
        <w:tblLook w:val="04A0" w:firstRow="1" w:lastRow="0" w:firstColumn="1" w:lastColumn="0" w:noHBand="0" w:noVBand="1"/>
      </w:tblPr>
      <w:tblGrid>
        <w:gridCol w:w="5773"/>
        <w:gridCol w:w="749"/>
        <w:gridCol w:w="2368"/>
      </w:tblGrid>
      <w:tr w:rsidR="0031174D" w:rsidRPr="00FE73DE" w14:paraId="25948588" w14:textId="77777777" w:rsidTr="00483275">
        <w:trPr>
          <w:cnfStyle w:val="100000000000" w:firstRow="1" w:lastRow="0" w:firstColumn="0" w:lastColumn="0" w:oddVBand="0" w:evenVBand="0" w:oddHBand="0" w:evenHBand="0" w:firstRowFirstColumn="0" w:firstRowLastColumn="0" w:lastRowFirstColumn="0" w:lastRowLastColumn="0"/>
          <w:trHeight w:val="288"/>
          <w:tblHeader/>
        </w:trPr>
        <w:tc>
          <w:tcPr>
            <w:tcW w:w="3247" w:type="pct"/>
            <w:noWrap/>
            <w:hideMark/>
          </w:tcPr>
          <w:p w14:paraId="739AAD5A" w14:textId="77777777" w:rsidR="0031174D" w:rsidRPr="00FE73DE" w:rsidRDefault="0031174D" w:rsidP="00483275">
            <w:pPr>
              <w:pStyle w:val="TableText"/>
            </w:pPr>
            <w:r w:rsidRPr="00FE73DE">
              <w:t>Responses</w:t>
            </w:r>
          </w:p>
        </w:tc>
        <w:tc>
          <w:tcPr>
            <w:tcW w:w="421" w:type="pct"/>
            <w:noWrap/>
            <w:hideMark/>
          </w:tcPr>
          <w:p w14:paraId="0FF94617" w14:textId="77777777" w:rsidR="0031174D" w:rsidRPr="00FE73DE" w:rsidRDefault="0031174D" w:rsidP="00483275">
            <w:pPr>
              <w:pStyle w:val="TableText"/>
              <w:jc w:val="right"/>
            </w:pPr>
            <w:r w:rsidRPr="00FE73DE">
              <w:t>Count</w:t>
            </w:r>
          </w:p>
        </w:tc>
        <w:tc>
          <w:tcPr>
            <w:tcW w:w="1332" w:type="pct"/>
          </w:tcPr>
          <w:p w14:paraId="6902A583" w14:textId="77777777" w:rsidR="0031174D" w:rsidRPr="00FE73DE" w:rsidRDefault="0031174D" w:rsidP="00483275">
            <w:pPr>
              <w:pStyle w:val="TableText"/>
              <w:jc w:val="right"/>
            </w:pPr>
            <w:r w:rsidRPr="00FE73DE">
              <w:t>Percentage (n=21)*</w:t>
            </w:r>
          </w:p>
        </w:tc>
      </w:tr>
      <w:tr w:rsidR="0031174D" w:rsidRPr="00FE73DE" w14:paraId="475AEB1E" w14:textId="77777777" w:rsidTr="00483275">
        <w:trPr>
          <w:trHeight w:val="288"/>
        </w:trPr>
        <w:tc>
          <w:tcPr>
            <w:tcW w:w="3247" w:type="pct"/>
            <w:noWrap/>
            <w:hideMark/>
          </w:tcPr>
          <w:p w14:paraId="4DD37E4F" w14:textId="77777777" w:rsidR="0031174D" w:rsidRPr="00FE73DE" w:rsidRDefault="0031174D" w:rsidP="00483275">
            <w:pPr>
              <w:pStyle w:val="TableText"/>
            </w:pPr>
            <w:r w:rsidRPr="00FE73DE">
              <w:t>Advice was tailored to the business</w:t>
            </w:r>
          </w:p>
        </w:tc>
        <w:tc>
          <w:tcPr>
            <w:tcW w:w="421" w:type="pct"/>
            <w:noWrap/>
            <w:hideMark/>
          </w:tcPr>
          <w:p w14:paraId="45A1769D" w14:textId="77777777" w:rsidR="0031174D" w:rsidRPr="00FE73DE" w:rsidRDefault="0031174D" w:rsidP="00483275">
            <w:pPr>
              <w:pStyle w:val="TableText"/>
              <w:jc w:val="right"/>
            </w:pPr>
            <w:r w:rsidRPr="00FE73DE">
              <w:t>15</w:t>
            </w:r>
          </w:p>
        </w:tc>
        <w:tc>
          <w:tcPr>
            <w:tcW w:w="1332" w:type="pct"/>
          </w:tcPr>
          <w:p w14:paraId="5E503DAC" w14:textId="77777777" w:rsidR="0031174D" w:rsidRPr="00FE73DE" w:rsidRDefault="0031174D" w:rsidP="00483275">
            <w:pPr>
              <w:pStyle w:val="TableText"/>
              <w:jc w:val="right"/>
            </w:pPr>
            <w:r w:rsidRPr="00FE73DE">
              <w:t>71%</w:t>
            </w:r>
          </w:p>
        </w:tc>
      </w:tr>
      <w:tr w:rsidR="0031174D" w:rsidRPr="00FE73DE" w14:paraId="31AE7BF4" w14:textId="77777777" w:rsidTr="00483275">
        <w:trPr>
          <w:cnfStyle w:val="000000010000" w:firstRow="0" w:lastRow="0" w:firstColumn="0" w:lastColumn="0" w:oddVBand="0" w:evenVBand="0" w:oddHBand="0" w:evenHBand="1" w:firstRowFirstColumn="0" w:firstRowLastColumn="0" w:lastRowFirstColumn="0" w:lastRowLastColumn="0"/>
          <w:trHeight w:val="288"/>
        </w:trPr>
        <w:tc>
          <w:tcPr>
            <w:tcW w:w="3247" w:type="pct"/>
            <w:noWrap/>
            <w:hideMark/>
          </w:tcPr>
          <w:p w14:paraId="05FAAC81" w14:textId="77777777" w:rsidR="0031174D" w:rsidRPr="00FE73DE" w:rsidRDefault="0031174D" w:rsidP="00483275">
            <w:pPr>
              <w:pStyle w:val="TableText"/>
            </w:pPr>
            <w:r w:rsidRPr="00FE73DE">
              <w:t>The provider's services were high-quality</w:t>
            </w:r>
          </w:p>
        </w:tc>
        <w:tc>
          <w:tcPr>
            <w:tcW w:w="421" w:type="pct"/>
            <w:noWrap/>
            <w:hideMark/>
          </w:tcPr>
          <w:p w14:paraId="7CB872BA" w14:textId="77777777" w:rsidR="0031174D" w:rsidRPr="00FE73DE" w:rsidRDefault="0031174D" w:rsidP="00483275">
            <w:pPr>
              <w:pStyle w:val="TableText"/>
              <w:jc w:val="right"/>
            </w:pPr>
            <w:r w:rsidRPr="00FE73DE">
              <w:t>10</w:t>
            </w:r>
          </w:p>
        </w:tc>
        <w:tc>
          <w:tcPr>
            <w:tcW w:w="1332" w:type="pct"/>
          </w:tcPr>
          <w:p w14:paraId="4B164DAB" w14:textId="77777777" w:rsidR="0031174D" w:rsidRPr="00FE73DE" w:rsidRDefault="0031174D" w:rsidP="00483275">
            <w:pPr>
              <w:pStyle w:val="TableText"/>
              <w:jc w:val="right"/>
            </w:pPr>
            <w:r w:rsidRPr="00FE73DE">
              <w:t>48%</w:t>
            </w:r>
          </w:p>
        </w:tc>
      </w:tr>
      <w:tr w:rsidR="0031174D" w:rsidRPr="00FE73DE" w14:paraId="652617D0" w14:textId="77777777" w:rsidTr="00483275">
        <w:trPr>
          <w:trHeight w:val="288"/>
        </w:trPr>
        <w:tc>
          <w:tcPr>
            <w:tcW w:w="3247" w:type="pct"/>
            <w:noWrap/>
            <w:hideMark/>
          </w:tcPr>
          <w:p w14:paraId="0DD60986" w14:textId="77777777" w:rsidR="0031174D" w:rsidRPr="00FE73DE" w:rsidRDefault="0031174D" w:rsidP="00483275">
            <w:pPr>
              <w:pStyle w:val="TableText"/>
            </w:pPr>
            <w:r w:rsidRPr="00FE73DE">
              <w:t>Products were targeted to needs of the business</w:t>
            </w:r>
          </w:p>
        </w:tc>
        <w:tc>
          <w:tcPr>
            <w:tcW w:w="421" w:type="pct"/>
            <w:noWrap/>
            <w:hideMark/>
          </w:tcPr>
          <w:p w14:paraId="673810E6" w14:textId="77777777" w:rsidR="0031174D" w:rsidRPr="00FE73DE" w:rsidRDefault="0031174D" w:rsidP="00483275">
            <w:pPr>
              <w:pStyle w:val="TableText"/>
              <w:jc w:val="right"/>
            </w:pPr>
            <w:r w:rsidRPr="00FE73DE">
              <w:t>9</w:t>
            </w:r>
          </w:p>
        </w:tc>
        <w:tc>
          <w:tcPr>
            <w:tcW w:w="1332" w:type="pct"/>
          </w:tcPr>
          <w:p w14:paraId="6CED42BC" w14:textId="77777777" w:rsidR="0031174D" w:rsidRPr="00FE73DE" w:rsidRDefault="0031174D" w:rsidP="00483275">
            <w:pPr>
              <w:pStyle w:val="TableText"/>
              <w:jc w:val="right"/>
            </w:pPr>
            <w:r w:rsidRPr="00FE73DE">
              <w:t>43%</w:t>
            </w:r>
          </w:p>
        </w:tc>
      </w:tr>
      <w:tr w:rsidR="0031174D" w:rsidRPr="00FE73DE" w14:paraId="0E1EB48B" w14:textId="77777777" w:rsidTr="00483275">
        <w:trPr>
          <w:cnfStyle w:val="000000010000" w:firstRow="0" w:lastRow="0" w:firstColumn="0" w:lastColumn="0" w:oddVBand="0" w:evenVBand="0" w:oddHBand="0" w:evenHBand="1" w:firstRowFirstColumn="0" w:firstRowLastColumn="0" w:lastRowFirstColumn="0" w:lastRowLastColumn="0"/>
          <w:trHeight w:val="288"/>
        </w:trPr>
        <w:tc>
          <w:tcPr>
            <w:tcW w:w="3247" w:type="pct"/>
            <w:noWrap/>
            <w:hideMark/>
          </w:tcPr>
          <w:p w14:paraId="016C6799" w14:textId="77777777" w:rsidR="0031174D" w:rsidRPr="00FE73DE" w:rsidRDefault="0031174D" w:rsidP="00483275">
            <w:pPr>
              <w:pStyle w:val="TableText"/>
            </w:pPr>
            <w:r w:rsidRPr="00FE73DE">
              <w:t>The provider's services were timely</w:t>
            </w:r>
          </w:p>
        </w:tc>
        <w:tc>
          <w:tcPr>
            <w:tcW w:w="421" w:type="pct"/>
            <w:noWrap/>
            <w:hideMark/>
          </w:tcPr>
          <w:p w14:paraId="36CF14AD" w14:textId="77777777" w:rsidR="0031174D" w:rsidRPr="00FE73DE" w:rsidRDefault="0031174D" w:rsidP="00483275">
            <w:pPr>
              <w:pStyle w:val="TableText"/>
              <w:jc w:val="right"/>
            </w:pPr>
            <w:r w:rsidRPr="00FE73DE">
              <w:t>7</w:t>
            </w:r>
          </w:p>
        </w:tc>
        <w:tc>
          <w:tcPr>
            <w:tcW w:w="1332" w:type="pct"/>
          </w:tcPr>
          <w:p w14:paraId="4158FE40" w14:textId="77777777" w:rsidR="0031174D" w:rsidRPr="00FE73DE" w:rsidRDefault="0031174D" w:rsidP="00483275">
            <w:pPr>
              <w:pStyle w:val="TableText"/>
              <w:jc w:val="right"/>
            </w:pPr>
            <w:r w:rsidRPr="00FE73DE">
              <w:t>33%</w:t>
            </w:r>
          </w:p>
        </w:tc>
      </w:tr>
      <w:tr w:rsidR="0031174D" w:rsidRPr="00FE73DE" w14:paraId="38156EEE" w14:textId="77777777" w:rsidTr="00483275">
        <w:trPr>
          <w:trHeight w:val="288"/>
        </w:trPr>
        <w:tc>
          <w:tcPr>
            <w:tcW w:w="3247" w:type="pct"/>
            <w:noWrap/>
            <w:hideMark/>
          </w:tcPr>
          <w:p w14:paraId="4B01036D" w14:textId="77777777" w:rsidR="0031174D" w:rsidRPr="00FE73DE" w:rsidRDefault="0031174D" w:rsidP="00483275">
            <w:pPr>
              <w:pStyle w:val="TableText"/>
            </w:pPr>
            <w:r w:rsidRPr="00FE73DE">
              <w:t>Good delivery options in remote / regional settings</w:t>
            </w:r>
          </w:p>
        </w:tc>
        <w:tc>
          <w:tcPr>
            <w:tcW w:w="421" w:type="pct"/>
            <w:noWrap/>
            <w:hideMark/>
          </w:tcPr>
          <w:p w14:paraId="00ED38A7" w14:textId="77777777" w:rsidR="0031174D" w:rsidRPr="00FE73DE" w:rsidRDefault="0031174D" w:rsidP="00483275">
            <w:pPr>
              <w:pStyle w:val="TableText"/>
              <w:jc w:val="right"/>
            </w:pPr>
            <w:r w:rsidRPr="00FE73DE">
              <w:t>3</w:t>
            </w:r>
          </w:p>
        </w:tc>
        <w:tc>
          <w:tcPr>
            <w:tcW w:w="1332" w:type="pct"/>
          </w:tcPr>
          <w:p w14:paraId="27A32028" w14:textId="77777777" w:rsidR="0031174D" w:rsidRPr="00FE73DE" w:rsidRDefault="0031174D" w:rsidP="00483275">
            <w:pPr>
              <w:pStyle w:val="TableText"/>
              <w:jc w:val="right"/>
            </w:pPr>
            <w:r w:rsidRPr="00FE73DE">
              <w:t>14%</w:t>
            </w:r>
          </w:p>
        </w:tc>
      </w:tr>
      <w:tr w:rsidR="0031174D" w:rsidRPr="00FE73DE" w14:paraId="709EAEF1" w14:textId="77777777" w:rsidTr="00483275">
        <w:trPr>
          <w:cnfStyle w:val="000000010000" w:firstRow="0" w:lastRow="0" w:firstColumn="0" w:lastColumn="0" w:oddVBand="0" w:evenVBand="0" w:oddHBand="0" w:evenHBand="1" w:firstRowFirstColumn="0" w:firstRowLastColumn="0" w:lastRowFirstColumn="0" w:lastRowLastColumn="0"/>
          <w:trHeight w:val="288"/>
        </w:trPr>
        <w:tc>
          <w:tcPr>
            <w:tcW w:w="3247" w:type="pct"/>
            <w:noWrap/>
            <w:hideMark/>
          </w:tcPr>
          <w:p w14:paraId="294D81FB" w14:textId="77777777" w:rsidR="0031174D" w:rsidRPr="00FE73DE" w:rsidRDefault="0031174D" w:rsidP="00483275">
            <w:pPr>
              <w:pStyle w:val="TableText"/>
            </w:pPr>
            <w:r w:rsidRPr="00FE73DE">
              <w:t>The services were delivered in a culturally safe setting</w:t>
            </w:r>
          </w:p>
        </w:tc>
        <w:tc>
          <w:tcPr>
            <w:tcW w:w="421" w:type="pct"/>
            <w:noWrap/>
            <w:hideMark/>
          </w:tcPr>
          <w:p w14:paraId="1D80505B" w14:textId="77777777" w:rsidR="0031174D" w:rsidRPr="00FE73DE" w:rsidRDefault="0031174D" w:rsidP="00483275">
            <w:pPr>
              <w:pStyle w:val="TableText"/>
              <w:jc w:val="right"/>
            </w:pPr>
            <w:r w:rsidRPr="00FE73DE">
              <w:t>2</w:t>
            </w:r>
          </w:p>
        </w:tc>
        <w:tc>
          <w:tcPr>
            <w:tcW w:w="1332" w:type="pct"/>
          </w:tcPr>
          <w:p w14:paraId="5E976230" w14:textId="77777777" w:rsidR="0031174D" w:rsidRPr="00FE73DE" w:rsidRDefault="0031174D" w:rsidP="00483275">
            <w:pPr>
              <w:pStyle w:val="TableText"/>
              <w:jc w:val="right"/>
            </w:pPr>
            <w:r w:rsidRPr="00FE73DE">
              <w:t>10%</w:t>
            </w:r>
          </w:p>
        </w:tc>
      </w:tr>
      <w:tr w:rsidR="0031174D" w:rsidRPr="00FE73DE" w14:paraId="200BBF28" w14:textId="77777777" w:rsidTr="00483275">
        <w:trPr>
          <w:trHeight w:val="288"/>
        </w:trPr>
        <w:tc>
          <w:tcPr>
            <w:tcW w:w="3247" w:type="pct"/>
            <w:noWrap/>
            <w:hideMark/>
          </w:tcPr>
          <w:p w14:paraId="12AA35C9" w14:textId="77777777" w:rsidR="0031174D" w:rsidRPr="00FE73DE" w:rsidRDefault="0031174D" w:rsidP="00483275">
            <w:pPr>
              <w:pStyle w:val="TableText"/>
            </w:pPr>
            <w:r w:rsidRPr="00FE73DE">
              <w:t>Other (please specify)</w:t>
            </w:r>
          </w:p>
        </w:tc>
        <w:tc>
          <w:tcPr>
            <w:tcW w:w="421" w:type="pct"/>
            <w:noWrap/>
            <w:hideMark/>
          </w:tcPr>
          <w:p w14:paraId="26DE1898" w14:textId="77777777" w:rsidR="0031174D" w:rsidRPr="00FE73DE" w:rsidRDefault="0031174D" w:rsidP="00483275">
            <w:pPr>
              <w:pStyle w:val="TableText"/>
              <w:jc w:val="right"/>
            </w:pPr>
            <w:r w:rsidRPr="00FE73DE">
              <w:t>2</w:t>
            </w:r>
          </w:p>
        </w:tc>
        <w:tc>
          <w:tcPr>
            <w:tcW w:w="1332" w:type="pct"/>
          </w:tcPr>
          <w:p w14:paraId="31623804" w14:textId="77777777" w:rsidR="0031174D" w:rsidRPr="00FE73DE" w:rsidRDefault="0031174D" w:rsidP="00483275">
            <w:pPr>
              <w:pStyle w:val="TableText"/>
              <w:jc w:val="right"/>
            </w:pPr>
            <w:r w:rsidRPr="00FE73DE">
              <w:t>10%</w:t>
            </w:r>
          </w:p>
        </w:tc>
      </w:tr>
      <w:tr w:rsidR="0031174D" w:rsidRPr="00FE73DE" w14:paraId="6DDB0A05" w14:textId="77777777" w:rsidTr="00483275">
        <w:trPr>
          <w:cnfStyle w:val="000000010000" w:firstRow="0" w:lastRow="0" w:firstColumn="0" w:lastColumn="0" w:oddVBand="0" w:evenVBand="0" w:oddHBand="0" w:evenHBand="1" w:firstRowFirstColumn="0" w:firstRowLastColumn="0" w:lastRowFirstColumn="0" w:lastRowLastColumn="0"/>
          <w:trHeight w:val="288"/>
        </w:trPr>
        <w:tc>
          <w:tcPr>
            <w:tcW w:w="3247" w:type="pct"/>
            <w:noWrap/>
            <w:hideMark/>
          </w:tcPr>
          <w:p w14:paraId="7DB122DE" w14:textId="77777777" w:rsidR="0031174D" w:rsidRPr="00FE73DE" w:rsidRDefault="0031174D" w:rsidP="00483275">
            <w:pPr>
              <w:pStyle w:val="TableText"/>
            </w:pPr>
            <w:r w:rsidRPr="00FE73DE">
              <w:t>Total</w:t>
            </w:r>
          </w:p>
        </w:tc>
        <w:tc>
          <w:tcPr>
            <w:tcW w:w="421" w:type="pct"/>
            <w:noWrap/>
            <w:hideMark/>
          </w:tcPr>
          <w:p w14:paraId="0F93877A" w14:textId="77777777" w:rsidR="0031174D" w:rsidRPr="00FE73DE" w:rsidRDefault="0031174D" w:rsidP="00483275">
            <w:pPr>
              <w:pStyle w:val="TableText"/>
              <w:jc w:val="right"/>
            </w:pPr>
            <w:r w:rsidRPr="00FE73DE">
              <w:t>48</w:t>
            </w:r>
          </w:p>
        </w:tc>
        <w:tc>
          <w:tcPr>
            <w:tcW w:w="1332" w:type="pct"/>
          </w:tcPr>
          <w:p w14:paraId="29C10B4B" w14:textId="77777777" w:rsidR="0031174D" w:rsidRPr="00FE73DE" w:rsidRDefault="0031174D" w:rsidP="00483275">
            <w:pPr>
              <w:pStyle w:val="TableText"/>
              <w:jc w:val="right"/>
            </w:pPr>
          </w:p>
        </w:tc>
      </w:tr>
    </w:tbl>
    <w:p w14:paraId="071C507D" w14:textId="77777777" w:rsidR="0031174D" w:rsidRPr="00FE73DE" w:rsidRDefault="0031174D" w:rsidP="0031174D">
      <w:pPr>
        <w:pStyle w:val="TableNote"/>
      </w:pPr>
      <w:r w:rsidRPr="00FE73DE">
        <w:t>*</w:t>
      </w:r>
      <w:r w:rsidRPr="00FE73DE">
        <w:rPr>
          <w:b/>
          <w:bCs/>
        </w:rPr>
        <w:t>Note:</w:t>
      </w:r>
      <w:r w:rsidRPr="00FE73DE">
        <w:t xml:space="preserve"> 21 respondents answered this question. Respondents were able to select multiple answers to this question.</w:t>
      </w:r>
    </w:p>
    <w:p w14:paraId="1A999594" w14:textId="5083842A" w:rsidR="004C5DCF" w:rsidRPr="00FE73DE" w:rsidRDefault="00887A5E" w:rsidP="004C5DCF">
      <w:r w:rsidRPr="00FE73DE">
        <w:t xml:space="preserve">Three </w:t>
      </w:r>
      <w:r w:rsidR="00B1094B" w:rsidRPr="00FE73DE">
        <w:t>respondents</w:t>
      </w:r>
      <w:r w:rsidR="004C5DCF" w:rsidRPr="00FE73DE">
        <w:t xml:space="preserve"> </w:t>
      </w:r>
      <w:r w:rsidRPr="00FE73DE">
        <w:t xml:space="preserve">also </w:t>
      </w:r>
      <w:r w:rsidR="004C5DCF" w:rsidRPr="00FE73DE">
        <w:t>reflected:</w:t>
      </w:r>
    </w:p>
    <w:p w14:paraId="110C0A43" w14:textId="77777777" w:rsidR="004C5DCF" w:rsidRPr="00FE73DE" w:rsidRDefault="004C5DCF" w:rsidP="009761AD">
      <w:pPr>
        <w:pStyle w:val="Quote"/>
      </w:pPr>
      <w:r w:rsidRPr="00FE73DE">
        <w:t>I did go to all the IBA training, to lots of it, actually, I attended lots and I found that really good and the contractors they got in were good.</w:t>
      </w:r>
    </w:p>
    <w:p w14:paraId="15F2685C" w14:textId="77777777" w:rsidR="004C5DCF" w:rsidRPr="00FE73DE" w:rsidRDefault="004C5DCF" w:rsidP="009761AD">
      <w:pPr>
        <w:pStyle w:val="Quote"/>
      </w:pPr>
      <w:r w:rsidRPr="00FE73DE">
        <w:t>We went through IBA specifically for not just the financial help to purchase the business, but knowing that there should be some element of support moving forward, as you go along in the business.</w:t>
      </w:r>
    </w:p>
    <w:p w14:paraId="0F9A57DC" w14:textId="77777777" w:rsidR="004C5DCF" w:rsidRPr="00FE73DE" w:rsidRDefault="004C5DCF" w:rsidP="009761AD">
      <w:pPr>
        <w:pStyle w:val="Quote"/>
      </w:pPr>
      <w:r w:rsidRPr="00FE73DE">
        <w:t>IBA helped me out with financial advice – so somebody sat down with me to help me out with my GST, my BAS, and setting up all those sort of things. And they also helped me with a webpage.</w:t>
      </w:r>
    </w:p>
    <w:p w14:paraId="2F293C82" w14:textId="574DDEC1" w:rsidR="004C5DCF" w:rsidRPr="00FE73DE" w:rsidRDefault="004C5DCF" w:rsidP="004C5DCF">
      <w:pPr>
        <w:rPr>
          <w:szCs w:val="24"/>
        </w:rPr>
      </w:pPr>
      <w:r w:rsidRPr="00FE73DE">
        <w:rPr>
          <w:szCs w:val="24"/>
        </w:rPr>
        <w:t xml:space="preserve">In the case of customer </w:t>
      </w:r>
      <w:r w:rsidR="00B1094B" w:rsidRPr="00FE73DE">
        <w:rPr>
          <w:szCs w:val="24"/>
        </w:rPr>
        <w:t>dis</w:t>
      </w:r>
      <w:r w:rsidRPr="00FE73DE">
        <w:rPr>
          <w:szCs w:val="24"/>
        </w:rPr>
        <w:t>satisfaction</w:t>
      </w:r>
      <w:r w:rsidR="00B1094B" w:rsidRPr="00FE73DE">
        <w:rPr>
          <w:szCs w:val="24"/>
        </w:rPr>
        <w:t xml:space="preserve">, the </w:t>
      </w:r>
      <w:r w:rsidR="002B5E13">
        <w:rPr>
          <w:szCs w:val="24"/>
        </w:rPr>
        <w:t>two</w:t>
      </w:r>
      <w:r w:rsidR="00B1094B" w:rsidRPr="00FE73DE">
        <w:rPr>
          <w:szCs w:val="24"/>
        </w:rPr>
        <w:t xml:space="preserve"> survey respondents who felt this way indicated</w:t>
      </w:r>
      <w:r w:rsidRPr="00FE73DE">
        <w:rPr>
          <w:szCs w:val="24"/>
        </w:rPr>
        <w:t xml:space="preserve"> this was due to the service not being tailored to their needs, poor quality of service</w:t>
      </w:r>
      <w:r w:rsidR="00483275">
        <w:rPr>
          <w:szCs w:val="24"/>
        </w:rPr>
        <w:t>,</w:t>
      </w:r>
      <w:r w:rsidRPr="00FE73DE">
        <w:rPr>
          <w:szCs w:val="24"/>
        </w:rPr>
        <w:t xml:space="preserve"> and difficulty navigating through the process.</w:t>
      </w:r>
    </w:p>
    <w:p w14:paraId="1AC01216" w14:textId="2B35AA70" w:rsidR="00CF71DB" w:rsidRPr="00FE73DE" w:rsidRDefault="00CF71DB" w:rsidP="00CF71DB">
      <w:pPr>
        <w:rPr>
          <w:szCs w:val="24"/>
        </w:rPr>
      </w:pPr>
      <w:r w:rsidRPr="00FE73DE">
        <w:rPr>
          <w:szCs w:val="24"/>
        </w:rPr>
        <w:t xml:space="preserve">In order to try and capture broader views on accessing support from IBA, the Indigenous business survey asked all survey respondents about their perceived views on barriers or challenges </w:t>
      </w:r>
      <w:r w:rsidRPr="00FE73DE">
        <w:t>accessing business products or services from IBA</w:t>
      </w:r>
      <w:r w:rsidRPr="00FE73DE">
        <w:rPr>
          <w:szCs w:val="24"/>
        </w:rPr>
        <w:t>.  O</w:t>
      </w:r>
      <w:r w:rsidRPr="00FE73DE">
        <w:t>f the 68 business survey respondents who answered the question ‘Have you experienced any barriers or challenges accessing business products or services from IBA?’, 51</w:t>
      </w:r>
      <w:r w:rsidR="008557E8">
        <w:t>%</w:t>
      </w:r>
      <w:r w:rsidRPr="00FE73DE">
        <w:t xml:space="preserve"> (n=35) answered ‘yes’. When asked to describe these barriers or challenges, there were </w:t>
      </w:r>
      <w:r w:rsidR="00295C5C">
        <w:t>two</w:t>
      </w:r>
      <w:r w:rsidRPr="00FE73DE">
        <w:t xml:space="preserve"> main recurring themes</w:t>
      </w:r>
      <w:r w:rsidR="00483275">
        <w:t>:</w:t>
      </w:r>
      <w:r w:rsidRPr="00FE73DE">
        <w:t xml:space="preserve"> </w:t>
      </w:r>
      <w:r w:rsidR="00483275">
        <w:t>a</w:t>
      </w:r>
      <w:r w:rsidRPr="00FE73DE">
        <w:t xml:space="preserve"> lack of follow-up, responsiveness</w:t>
      </w:r>
      <w:r w:rsidR="00483275">
        <w:t>,</w:t>
      </w:r>
      <w:r w:rsidRPr="00FE73DE">
        <w:t xml:space="preserve"> or availability of IBA staff to assist; and difficult/complex application processes, with repeat requests for information, resulting in delays. This is explored further under section 6.1.3.</w:t>
      </w:r>
    </w:p>
    <w:p w14:paraId="5713C0EB" w14:textId="44819E90" w:rsidR="00BF1ABE" w:rsidRPr="00FE73DE" w:rsidRDefault="00BF1ABE">
      <w:pPr>
        <w:pStyle w:val="Heading3"/>
      </w:pPr>
      <w:r w:rsidRPr="00FE73DE">
        <w:t>Assistance to women and youth</w:t>
      </w:r>
    </w:p>
    <w:p w14:paraId="7C491F7E" w14:textId="2E208416" w:rsidR="00B1094B" w:rsidRPr="00FE73DE" w:rsidRDefault="00B1094B" w:rsidP="00B1094B">
      <w:pPr>
        <w:rPr>
          <w:szCs w:val="24"/>
        </w:rPr>
      </w:pPr>
      <w:r w:rsidRPr="00FE73DE">
        <w:rPr>
          <w:szCs w:val="24"/>
        </w:rPr>
        <w:t xml:space="preserve">In terms of performance measures for support to women and youth, </w:t>
      </w:r>
      <w:r w:rsidR="002A3F91" w:rsidRPr="00FE73DE">
        <w:rPr>
          <w:szCs w:val="24"/>
        </w:rPr>
        <w:t xml:space="preserve">the BSP </w:t>
      </w:r>
      <w:r w:rsidRPr="00FE73DE">
        <w:rPr>
          <w:szCs w:val="24"/>
        </w:rPr>
        <w:t xml:space="preserve">quarterly reporting focuses on more qualitative reporting than meeting targets. </w:t>
      </w:r>
    </w:p>
    <w:p w14:paraId="7F0E9C84" w14:textId="452220E7" w:rsidR="00265143" w:rsidRPr="00FE73DE" w:rsidRDefault="00265143" w:rsidP="00265143">
      <w:pPr>
        <w:rPr>
          <w:szCs w:val="24"/>
        </w:rPr>
      </w:pPr>
      <w:r w:rsidRPr="00FE73DE">
        <w:rPr>
          <w:szCs w:val="24"/>
        </w:rPr>
        <w:t>Over the years since support to Indigenous women was a focus of the BSP, a number of key initiatives and partnerships have been introduced. In May 2018 a Women in Business National Conference was held. Soon after the conference</w:t>
      </w:r>
      <w:r>
        <w:rPr>
          <w:szCs w:val="24"/>
        </w:rPr>
        <w:t>,</w:t>
      </w:r>
      <w:r w:rsidRPr="00FE73DE">
        <w:rPr>
          <w:szCs w:val="24"/>
        </w:rPr>
        <w:t xml:space="preserve"> the Strong Women Strong Business digital platform </w:t>
      </w:r>
      <w:r w:rsidR="00C473A0">
        <w:rPr>
          <w:szCs w:val="24"/>
        </w:rPr>
        <w:t xml:space="preserve">(Facebook group) </w:t>
      </w:r>
      <w:r w:rsidRPr="00FE73DE">
        <w:rPr>
          <w:szCs w:val="24"/>
        </w:rPr>
        <w:t xml:space="preserve">was launched. </w:t>
      </w:r>
    </w:p>
    <w:p w14:paraId="144F2981" w14:textId="196A2787" w:rsidR="00265143" w:rsidRDefault="00265143" w:rsidP="00B1094B">
      <w:pPr>
        <w:rPr>
          <w:spacing w:val="-2"/>
          <w:szCs w:val="24"/>
        </w:rPr>
      </w:pPr>
      <w:r>
        <w:rPr>
          <w:spacing w:val="-2"/>
          <w:szCs w:val="24"/>
        </w:rPr>
        <w:t>The Strong Women Strong business</w:t>
      </w:r>
      <w:r w:rsidR="00A200A0" w:rsidRPr="00483275">
        <w:rPr>
          <w:spacing w:val="-2"/>
          <w:szCs w:val="24"/>
        </w:rPr>
        <w:t xml:space="preserve"> initiative was introduced as a variation to the 2017 BSP grant agreement. </w:t>
      </w:r>
      <w:r w:rsidR="00103993" w:rsidRPr="00483275">
        <w:rPr>
          <w:spacing w:val="-2"/>
          <w:szCs w:val="24"/>
        </w:rPr>
        <w:t xml:space="preserve">Targets exist for steadily growing the membership of this closed Facebook group. As </w:t>
      </w:r>
      <w:r w:rsidR="00FF6BC2" w:rsidRPr="00483275">
        <w:rPr>
          <w:spacing w:val="-2"/>
          <w:szCs w:val="24"/>
        </w:rPr>
        <w:t>of</w:t>
      </w:r>
      <w:r w:rsidR="00103993" w:rsidRPr="00483275">
        <w:rPr>
          <w:spacing w:val="-2"/>
          <w:szCs w:val="24"/>
        </w:rPr>
        <w:t xml:space="preserve"> 30 June 2021, the membership consisted of 2,220 women.</w:t>
      </w:r>
      <w:r w:rsidR="002A3F91" w:rsidRPr="00483275">
        <w:rPr>
          <w:spacing w:val="-2"/>
          <w:szCs w:val="24"/>
        </w:rPr>
        <w:t xml:space="preserve"> </w:t>
      </w:r>
      <w:r w:rsidR="000A1DAE">
        <w:rPr>
          <w:spacing w:val="-2"/>
          <w:szCs w:val="24"/>
        </w:rPr>
        <w:t>M</w:t>
      </w:r>
      <w:r w:rsidR="00103993" w:rsidRPr="00483275">
        <w:rPr>
          <w:spacing w:val="-2"/>
          <w:szCs w:val="24"/>
        </w:rPr>
        <w:t xml:space="preserve">embers of the group are from across Australia, with a reported even distribution of women located in major cities, </w:t>
      </w:r>
      <w:r w:rsidR="00483275" w:rsidRPr="00483275">
        <w:rPr>
          <w:spacing w:val="-2"/>
          <w:szCs w:val="24"/>
        </w:rPr>
        <w:t xml:space="preserve">and </w:t>
      </w:r>
      <w:r w:rsidR="00103993" w:rsidRPr="00483275">
        <w:rPr>
          <w:spacing w:val="-2"/>
          <w:szCs w:val="24"/>
        </w:rPr>
        <w:t>regional and remote areas</w:t>
      </w:r>
      <w:r w:rsidR="002A3F91" w:rsidRPr="00483275">
        <w:rPr>
          <w:spacing w:val="-2"/>
          <w:szCs w:val="24"/>
        </w:rPr>
        <w:t>.</w:t>
      </w:r>
      <w:r w:rsidR="00103993" w:rsidRPr="00483275">
        <w:rPr>
          <w:spacing w:val="-2"/>
          <w:szCs w:val="24"/>
        </w:rPr>
        <w:t xml:space="preserve"> The group content is predominantly driven by members of the group, with a mixture of posts sharing resources, seeking advice, promoting businesses</w:t>
      </w:r>
      <w:r w:rsidR="00483275" w:rsidRPr="00483275">
        <w:rPr>
          <w:spacing w:val="-2"/>
          <w:szCs w:val="24"/>
        </w:rPr>
        <w:t>,</w:t>
      </w:r>
      <w:r w:rsidR="00103993" w:rsidRPr="00483275">
        <w:rPr>
          <w:spacing w:val="-2"/>
          <w:szCs w:val="24"/>
        </w:rPr>
        <w:t xml:space="preserve"> and health and wellbeing.</w:t>
      </w:r>
    </w:p>
    <w:p w14:paraId="68EB5151" w14:textId="04862A96" w:rsidR="00265143" w:rsidRPr="00FE73DE" w:rsidRDefault="00265143" w:rsidP="00265143">
      <w:pPr>
        <w:rPr>
          <w:szCs w:val="24"/>
        </w:rPr>
      </w:pPr>
      <w:r w:rsidRPr="00FE73DE">
        <w:rPr>
          <w:szCs w:val="24"/>
        </w:rPr>
        <w:t>In addition to the Facebook group, by 202</w:t>
      </w:r>
      <w:r>
        <w:rPr>
          <w:szCs w:val="24"/>
        </w:rPr>
        <w:t>0–</w:t>
      </w:r>
      <w:r w:rsidRPr="00FE73DE">
        <w:rPr>
          <w:szCs w:val="24"/>
        </w:rPr>
        <w:t>21 there was a Strong Women Strong Business Instagram Group, an e-Newsletter</w:t>
      </w:r>
      <w:r>
        <w:rPr>
          <w:szCs w:val="24"/>
        </w:rPr>
        <w:t>,</w:t>
      </w:r>
      <w:r w:rsidRPr="00FE73DE">
        <w:rPr>
          <w:szCs w:val="24"/>
        </w:rPr>
        <w:t xml:space="preserve"> and a Mentor/Mentee Platform. </w:t>
      </w:r>
    </w:p>
    <w:p w14:paraId="1001188C" w14:textId="49F3BDD3" w:rsidR="001207FE" w:rsidRPr="00FE73DE" w:rsidRDefault="001207FE" w:rsidP="00B1094B">
      <w:pPr>
        <w:rPr>
          <w:szCs w:val="24"/>
        </w:rPr>
      </w:pPr>
      <w:r w:rsidRPr="00FE73DE">
        <w:rPr>
          <w:szCs w:val="24"/>
        </w:rPr>
        <w:t>In 201</w:t>
      </w:r>
      <w:r w:rsidR="008557E8">
        <w:rPr>
          <w:szCs w:val="24"/>
        </w:rPr>
        <w:t>8–</w:t>
      </w:r>
      <w:r w:rsidRPr="00FE73DE">
        <w:rPr>
          <w:szCs w:val="24"/>
        </w:rPr>
        <w:t xml:space="preserve">19, IBA entered into a partnership with Murawin Pty Ltd to provide business support and capability development to up to 150 Indigenous women through workshops. Originally known as the Morning Sky Project, this is now known as </w:t>
      </w:r>
      <w:r w:rsidRPr="00FE73DE">
        <w:rPr>
          <w:i/>
          <w:iCs/>
          <w:szCs w:val="24"/>
        </w:rPr>
        <w:t xml:space="preserve">Tiddas in Business Workshops. </w:t>
      </w:r>
      <w:r w:rsidRPr="00FE73DE">
        <w:rPr>
          <w:szCs w:val="24"/>
        </w:rPr>
        <w:t>These workshops</w:t>
      </w:r>
      <w:r w:rsidRPr="00FE73DE">
        <w:rPr>
          <w:i/>
          <w:iCs/>
          <w:szCs w:val="24"/>
        </w:rPr>
        <w:t xml:space="preserve"> </w:t>
      </w:r>
      <w:r w:rsidRPr="00FE73DE">
        <w:rPr>
          <w:szCs w:val="24"/>
        </w:rPr>
        <w:t xml:space="preserve">continue to be offered free of charge to Indigenous women through grant funding </w:t>
      </w:r>
      <w:r w:rsidR="00451778" w:rsidRPr="00FE73DE">
        <w:rPr>
          <w:szCs w:val="24"/>
        </w:rPr>
        <w:t xml:space="preserve">between Murawin and </w:t>
      </w:r>
      <w:r w:rsidR="002A3F91" w:rsidRPr="00FE73DE">
        <w:rPr>
          <w:szCs w:val="24"/>
        </w:rPr>
        <w:t>t</w:t>
      </w:r>
      <w:r w:rsidR="00451778" w:rsidRPr="00FE73DE">
        <w:rPr>
          <w:szCs w:val="24"/>
        </w:rPr>
        <w:t>he Department of Prime Minister and Cabinet’s Office for Women.</w:t>
      </w:r>
      <w:r w:rsidRPr="00FE73DE">
        <w:rPr>
          <w:szCs w:val="24"/>
        </w:rPr>
        <w:t xml:space="preserve"> </w:t>
      </w:r>
    </w:p>
    <w:p w14:paraId="6AA06B01" w14:textId="77777777" w:rsidR="000A1DAE" w:rsidRDefault="00451778" w:rsidP="00444497">
      <w:r w:rsidRPr="00FE73DE">
        <w:t xml:space="preserve">In relation to support for youth, no demographic data is available in </w:t>
      </w:r>
      <w:r w:rsidR="002A3F91" w:rsidRPr="00FE73DE">
        <w:t xml:space="preserve">examined </w:t>
      </w:r>
      <w:r w:rsidRPr="00FE73DE">
        <w:t xml:space="preserve">performance reports or </w:t>
      </w:r>
      <w:r w:rsidR="002A3F91" w:rsidRPr="00FE73DE">
        <w:t xml:space="preserve">customer </w:t>
      </w:r>
      <w:r w:rsidRPr="00FE73DE">
        <w:t xml:space="preserve">datasets to show the level of support being provided to </w:t>
      </w:r>
      <w:r w:rsidR="00444497" w:rsidRPr="00FE73DE">
        <w:t>this cohort</w:t>
      </w:r>
      <w:r w:rsidRPr="00FE73DE">
        <w:t xml:space="preserve">. </w:t>
      </w:r>
    </w:p>
    <w:p w14:paraId="50DDBB86" w14:textId="0EEB0EB8" w:rsidR="00B1094B" w:rsidRPr="00FE73DE" w:rsidRDefault="00483275" w:rsidP="00444497">
      <w:r>
        <w:t>However, t</w:t>
      </w:r>
      <w:r w:rsidR="002A3F91" w:rsidRPr="00FE73DE">
        <w:t>he performance reports do report on</w:t>
      </w:r>
      <w:r w:rsidR="005756D1" w:rsidRPr="00FE73DE">
        <w:t xml:space="preserve"> </w:t>
      </w:r>
      <w:r w:rsidR="00451778" w:rsidRPr="00FE73DE">
        <w:t>IBA’s ‘Futures Forum’</w:t>
      </w:r>
      <w:r w:rsidR="002A3F91" w:rsidRPr="00FE73DE">
        <w:t xml:space="preserve">, a </w:t>
      </w:r>
      <w:r w:rsidR="00451778" w:rsidRPr="00FE73DE">
        <w:t xml:space="preserve">BSP youth initiative. Similar to the support for women, achievements of this </w:t>
      </w:r>
      <w:r w:rsidR="00444497" w:rsidRPr="00FE73DE">
        <w:t>initiative</w:t>
      </w:r>
      <w:r w:rsidR="00451778" w:rsidRPr="00FE73DE">
        <w:t xml:space="preserve"> </w:t>
      </w:r>
      <w:r w:rsidRPr="00FE73DE">
        <w:t>are</w:t>
      </w:r>
      <w:r w:rsidR="00451778" w:rsidRPr="00FE73DE">
        <w:t xml:space="preserve"> outlined in the body of the</w:t>
      </w:r>
      <w:r w:rsidR="005756D1" w:rsidRPr="00FE73DE">
        <w:t xml:space="preserve"> quarterly</w:t>
      </w:r>
      <w:r w:rsidR="00451778" w:rsidRPr="00FE73DE">
        <w:t xml:space="preserve"> performance report. </w:t>
      </w:r>
      <w:r w:rsidR="00E91C6A" w:rsidRPr="00FE73DE">
        <w:t>This initiative</w:t>
      </w:r>
      <w:r w:rsidR="00444497" w:rsidRPr="00FE73DE">
        <w:t>,</w:t>
      </w:r>
      <w:r w:rsidR="00E91C6A" w:rsidRPr="00FE73DE">
        <w:t xml:space="preserve"> introduced in </w:t>
      </w:r>
      <w:r w:rsidR="00451778" w:rsidRPr="00FE73DE">
        <w:t>2020</w:t>
      </w:r>
      <w:r w:rsidR="005756D1" w:rsidRPr="00FE73DE">
        <w:t>,</w:t>
      </w:r>
      <w:r w:rsidR="00E91C6A" w:rsidRPr="00FE73DE">
        <w:t xml:space="preserve"> sought to support and grow 40 young entrepreneurs and aspiring business leaders over a one-year program. </w:t>
      </w:r>
      <w:r w:rsidR="005756D1" w:rsidRPr="00FE73DE">
        <w:t xml:space="preserve">Since then, </w:t>
      </w:r>
      <w:r w:rsidR="00E91C6A" w:rsidRPr="00FE73DE">
        <w:t>a new cohort of youth is being supported</w:t>
      </w:r>
      <w:r w:rsidR="005756D1" w:rsidRPr="00FE73DE">
        <w:t xml:space="preserve"> each year</w:t>
      </w:r>
      <w:r w:rsidR="00E91C6A" w:rsidRPr="00FE73DE">
        <w:t>.</w:t>
      </w:r>
    </w:p>
    <w:p w14:paraId="6983487F" w14:textId="61752E9B" w:rsidR="002A3F91" w:rsidRPr="009E1F77" w:rsidRDefault="002A3F91" w:rsidP="00444497">
      <w:r w:rsidRPr="009E1F77">
        <w:t xml:space="preserve">Should support to specific demographic groups </w:t>
      </w:r>
      <w:r w:rsidR="00444497" w:rsidRPr="009E1F77">
        <w:t xml:space="preserve">such as women and youth </w:t>
      </w:r>
      <w:r w:rsidRPr="009E1F77">
        <w:t>continue to be a</w:t>
      </w:r>
      <w:r w:rsidR="00444497" w:rsidRPr="009E1F77">
        <w:t xml:space="preserve"> policy </w:t>
      </w:r>
      <w:r w:rsidRPr="009E1F77">
        <w:t xml:space="preserve">emphasis, there would be value in the </w:t>
      </w:r>
      <w:r w:rsidR="00444497" w:rsidRPr="009E1F77">
        <w:t xml:space="preserve">capturing this categorisation early in the customer engagement and </w:t>
      </w:r>
      <w:r w:rsidR="00444497" w:rsidRPr="009E1F77">
        <w:rPr>
          <w:szCs w:val="24"/>
        </w:rPr>
        <w:t>recorded</w:t>
      </w:r>
      <w:r w:rsidR="00444497" w:rsidRPr="009E1F77">
        <w:t xml:space="preserve"> in the new IBA CRM. In this way</w:t>
      </w:r>
      <w:r w:rsidR="009E1F77" w:rsidRPr="009E1F77">
        <w:t>,</w:t>
      </w:r>
      <w:r w:rsidR="00444497" w:rsidRPr="009E1F77">
        <w:t xml:space="preserve"> core attributes are allocated against a customer’s profile and, subject to addressing privacy concerns, the building blocks are then available for impact and outcome analysis on the provided support. </w:t>
      </w:r>
    </w:p>
    <w:p w14:paraId="53B4CB3C" w14:textId="27173169" w:rsidR="00BF1ABE" w:rsidRPr="00FE73DE" w:rsidRDefault="00BF1ABE">
      <w:pPr>
        <w:pStyle w:val="Heading3"/>
      </w:pPr>
      <w:r w:rsidRPr="00FE73DE">
        <w:t>Networking and collaboration</w:t>
      </w:r>
    </w:p>
    <w:p w14:paraId="677A07EE" w14:textId="0AA460A5" w:rsidR="00BF5076" w:rsidRPr="00FE73DE" w:rsidRDefault="000A1DAE" w:rsidP="00BF5076">
      <w:pPr>
        <w:rPr>
          <w:szCs w:val="24"/>
        </w:rPr>
      </w:pPr>
      <w:r>
        <w:rPr>
          <w:szCs w:val="24"/>
        </w:rPr>
        <w:t>T</w:t>
      </w:r>
      <w:r w:rsidR="00BF5076" w:rsidRPr="00FE73DE">
        <w:rPr>
          <w:szCs w:val="24"/>
        </w:rPr>
        <w:t>he KPIs for collaborative partnerships</w:t>
      </w:r>
      <w:r w:rsidR="00C473A0">
        <w:rPr>
          <w:rStyle w:val="FootnoteReference"/>
          <w:szCs w:val="24"/>
        </w:rPr>
        <w:footnoteReference w:id="40"/>
      </w:r>
      <w:r w:rsidR="00BF5076" w:rsidRPr="00FE73DE">
        <w:rPr>
          <w:szCs w:val="24"/>
        </w:rPr>
        <w:t xml:space="preserve"> for the </w:t>
      </w:r>
      <w:r w:rsidR="00C473A0">
        <w:rPr>
          <w:szCs w:val="24"/>
        </w:rPr>
        <w:t>four</w:t>
      </w:r>
      <w:r w:rsidR="00BF5076" w:rsidRPr="00FE73DE">
        <w:rPr>
          <w:szCs w:val="24"/>
        </w:rPr>
        <w:t xml:space="preserve"> years across 201</w:t>
      </w:r>
      <w:r w:rsidR="008557E8">
        <w:rPr>
          <w:szCs w:val="24"/>
        </w:rPr>
        <w:t>7–</w:t>
      </w:r>
      <w:r w:rsidR="00BF5076" w:rsidRPr="00FE73DE">
        <w:rPr>
          <w:szCs w:val="24"/>
        </w:rPr>
        <w:t>18 to 202</w:t>
      </w:r>
      <w:r w:rsidR="008557E8">
        <w:rPr>
          <w:szCs w:val="24"/>
        </w:rPr>
        <w:t>0–</w:t>
      </w:r>
      <w:r w:rsidR="00BF5076" w:rsidRPr="00FE73DE">
        <w:rPr>
          <w:szCs w:val="24"/>
        </w:rPr>
        <w:t xml:space="preserve">21 </w:t>
      </w:r>
      <w:r>
        <w:rPr>
          <w:szCs w:val="24"/>
        </w:rPr>
        <w:t>(</w:t>
      </w:r>
      <w:r w:rsidR="00C473A0" w:rsidRPr="00FE73DE">
        <w:rPr>
          <w:szCs w:val="24"/>
        </w:rPr>
        <w:fldChar w:fldCharType="begin"/>
      </w:r>
      <w:r w:rsidR="00C473A0" w:rsidRPr="00FE73DE">
        <w:rPr>
          <w:szCs w:val="24"/>
        </w:rPr>
        <w:instrText xml:space="preserve"> REF _Ref110608936 \h </w:instrText>
      </w:r>
      <w:r w:rsidR="00C473A0" w:rsidRPr="00FE73DE">
        <w:rPr>
          <w:szCs w:val="24"/>
        </w:rPr>
      </w:r>
      <w:r w:rsidR="00C473A0" w:rsidRPr="00FE73DE">
        <w:rPr>
          <w:szCs w:val="24"/>
        </w:rPr>
        <w:fldChar w:fldCharType="separate"/>
      </w:r>
      <w:r w:rsidR="004718C9" w:rsidRPr="00FE73DE">
        <w:t xml:space="preserve">Table </w:t>
      </w:r>
      <w:r w:rsidR="004718C9">
        <w:rPr>
          <w:noProof/>
        </w:rPr>
        <w:t>4</w:t>
      </w:r>
      <w:r w:rsidR="00C473A0" w:rsidRPr="00FE73DE">
        <w:rPr>
          <w:szCs w:val="24"/>
        </w:rPr>
        <w:fldChar w:fldCharType="end"/>
      </w:r>
      <w:r>
        <w:rPr>
          <w:szCs w:val="24"/>
        </w:rPr>
        <w:t xml:space="preserve">) </w:t>
      </w:r>
      <w:r w:rsidR="00BF5076" w:rsidRPr="00FE73DE">
        <w:rPr>
          <w:szCs w:val="24"/>
        </w:rPr>
        <w:t xml:space="preserve">were exceeded in </w:t>
      </w:r>
      <w:r w:rsidR="00C473A0">
        <w:rPr>
          <w:szCs w:val="24"/>
        </w:rPr>
        <w:t>three</w:t>
      </w:r>
      <w:r w:rsidR="00BF5076" w:rsidRPr="00FE73DE">
        <w:rPr>
          <w:szCs w:val="24"/>
        </w:rPr>
        <w:t xml:space="preserve"> years and not achieved in one (201</w:t>
      </w:r>
      <w:r w:rsidR="008557E8">
        <w:rPr>
          <w:szCs w:val="24"/>
        </w:rPr>
        <w:t>9–</w:t>
      </w:r>
      <w:r w:rsidR="00BF5076" w:rsidRPr="00FE73DE">
        <w:rPr>
          <w:szCs w:val="24"/>
        </w:rPr>
        <w:t>20</w:t>
      </w:r>
      <w:r w:rsidR="00C473A0">
        <w:rPr>
          <w:szCs w:val="24"/>
        </w:rPr>
        <w:t>)</w:t>
      </w:r>
      <w:r w:rsidR="00BF5076" w:rsidRPr="00FE73DE">
        <w:rPr>
          <w:szCs w:val="24"/>
        </w:rPr>
        <w:t>. In 201</w:t>
      </w:r>
      <w:r w:rsidR="008557E8">
        <w:rPr>
          <w:szCs w:val="24"/>
        </w:rPr>
        <w:t>9–</w:t>
      </w:r>
      <w:r w:rsidR="00BF5076" w:rsidRPr="00FE73DE">
        <w:rPr>
          <w:szCs w:val="24"/>
        </w:rPr>
        <w:t xml:space="preserve">20 the target was for </w:t>
      </w:r>
      <w:r w:rsidR="00C473A0">
        <w:rPr>
          <w:szCs w:val="24"/>
        </w:rPr>
        <w:t>six</w:t>
      </w:r>
      <w:r w:rsidR="00BF5076" w:rsidRPr="00FE73DE">
        <w:rPr>
          <w:szCs w:val="24"/>
        </w:rPr>
        <w:t xml:space="preserve"> new partnerships to have been formed. IBA performance reporting noted that </w:t>
      </w:r>
      <w:r w:rsidR="00C473A0">
        <w:rPr>
          <w:szCs w:val="24"/>
        </w:rPr>
        <w:t xml:space="preserve">five </w:t>
      </w:r>
      <w:r w:rsidR="00BF5076" w:rsidRPr="00FE73DE">
        <w:rPr>
          <w:szCs w:val="24"/>
        </w:rPr>
        <w:t xml:space="preserve">new partnerships were approved that financial year, and </w:t>
      </w:r>
      <w:r w:rsidR="00C473A0">
        <w:rPr>
          <w:szCs w:val="24"/>
        </w:rPr>
        <w:t xml:space="preserve">five </w:t>
      </w:r>
      <w:r w:rsidR="00BF5076" w:rsidRPr="00FE73DE">
        <w:rPr>
          <w:szCs w:val="24"/>
        </w:rPr>
        <w:t xml:space="preserve">partnerships were maintained from the previous financial year. </w:t>
      </w:r>
    </w:p>
    <w:p w14:paraId="46C5807C" w14:textId="4220BA6C" w:rsidR="00050C3F" w:rsidRPr="00FE73DE" w:rsidRDefault="004B6DD6" w:rsidP="004C0475">
      <w:r w:rsidRPr="00FE73DE">
        <w:t xml:space="preserve">Partnerships can range from the provision of workshops as noted above for Tiddas in Business, to </w:t>
      </w:r>
      <w:r w:rsidR="00050C3F" w:rsidRPr="00FE73DE">
        <w:t>the provision of business support and capability development services to approx</w:t>
      </w:r>
      <w:r w:rsidR="009E1F77">
        <w:t>imately</w:t>
      </w:r>
      <w:r w:rsidR="00050C3F" w:rsidRPr="00FE73DE">
        <w:t xml:space="preserve"> 20 Indigenous businesses in the Western Kimberley Region</w:t>
      </w:r>
      <w:r w:rsidRPr="00FE73DE">
        <w:t xml:space="preserve"> </w:t>
      </w:r>
      <w:r w:rsidR="00050C3F" w:rsidRPr="00FE73DE">
        <w:t>based on individual business development need</w:t>
      </w:r>
      <w:r w:rsidR="009E1F77">
        <w:t>s</w:t>
      </w:r>
      <w:r w:rsidRPr="00FE73DE">
        <w:t>. Other examples include a photoshoot from Tourism Australia for 24 businesses around Australia, or support to the Melbourne School of Business for the Murra Indigenous Business Masterclass program</w:t>
      </w:r>
      <w:r w:rsidR="00050C3F" w:rsidRPr="00FE73DE">
        <w:t xml:space="preserve">. </w:t>
      </w:r>
      <w:r w:rsidRPr="00FE73DE">
        <w:t>In addition to specific subcontractors, partnerships may be entered into by IBA to support the delivery of external business support</w:t>
      </w:r>
      <w:r w:rsidR="00C4364F" w:rsidRPr="00FE73DE">
        <w:t xml:space="preserve"> services</w:t>
      </w:r>
      <w:r w:rsidRPr="00FE73DE">
        <w:t xml:space="preserve">. </w:t>
      </w:r>
      <w:r w:rsidR="00ED6620" w:rsidRPr="00FE73DE">
        <w:t xml:space="preserve">These </w:t>
      </w:r>
      <w:r w:rsidR="00BF5076" w:rsidRPr="00FE73DE">
        <w:t xml:space="preserve">listed </w:t>
      </w:r>
      <w:r w:rsidR="00ED6620" w:rsidRPr="00FE73DE">
        <w:t xml:space="preserve">partnerships demonstrate the diversity </w:t>
      </w:r>
      <w:r w:rsidR="00BF5076" w:rsidRPr="00FE73DE">
        <w:t xml:space="preserve">in, </w:t>
      </w:r>
      <w:r w:rsidR="00ED6620" w:rsidRPr="00FE73DE">
        <w:t>and variety of</w:t>
      </w:r>
      <w:r w:rsidR="00BF5076" w:rsidRPr="00FE73DE">
        <w:t>,</w:t>
      </w:r>
      <w:r w:rsidR="00ED6620" w:rsidRPr="00FE73DE">
        <w:t xml:space="preserve"> support IBA has </w:t>
      </w:r>
      <w:r w:rsidR="00BF5076" w:rsidRPr="00FE73DE">
        <w:t xml:space="preserve">been </w:t>
      </w:r>
      <w:r w:rsidR="00ED6620" w:rsidRPr="00FE73DE">
        <w:t xml:space="preserve">co-developing </w:t>
      </w:r>
      <w:r w:rsidR="009E1F77">
        <w:t>for</w:t>
      </w:r>
      <w:r w:rsidR="00ED6620" w:rsidRPr="00FE73DE">
        <w:t xml:space="preserve"> Indigenous businesses across the country. </w:t>
      </w:r>
    </w:p>
    <w:p w14:paraId="3FA6C61C" w14:textId="4076D3DD" w:rsidR="004C0475" w:rsidRPr="00FE73DE" w:rsidRDefault="004C0475" w:rsidP="004C0475">
      <w:r w:rsidRPr="00FE73DE">
        <w:t xml:space="preserve">By incorporating concepts of </w:t>
      </w:r>
      <w:r w:rsidR="00444497" w:rsidRPr="00FE73DE">
        <w:t xml:space="preserve">networking and collaboration </w:t>
      </w:r>
      <w:r w:rsidRPr="00FE73DE">
        <w:t xml:space="preserve">not only as services provided to IBA customers under the BSP, but as a tool to help deliver the BSP, the actions of IBA practically help develop a thriving Indigenous business sector. This also links to IBA’s strength-based approach for service delivery discussed under section 7. </w:t>
      </w:r>
    </w:p>
    <w:p w14:paraId="0FADD7E3" w14:textId="00BD5B8E" w:rsidR="00E77F55" w:rsidRDefault="009E1F77" w:rsidP="00074C2F">
      <w:pPr>
        <w:rPr>
          <w:spacing w:val="-2"/>
        </w:rPr>
      </w:pPr>
      <w:r w:rsidRPr="009E1F77">
        <w:rPr>
          <w:spacing w:val="-2"/>
        </w:rPr>
        <w:t>However, a</w:t>
      </w:r>
      <w:r w:rsidR="004C0475" w:rsidRPr="009E1F77">
        <w:rPr>
          <w:spacing w:val="-2"/>
        </w:rPr>
        <w:t xml:space="preserve"> key gap </w:t>
      </w:r>
      <w:r w:rsidRPr="009E1F77">
        <w:rPr>
          <w:spacing w:val="-2"/>
        </w:rPr>
        <w:t>for</w:t>
      </w:r>
      <w:r w:rsidR="004C0475" w:rsidRPr="009E1F77">
        <w:rPr>
          <w:spacing w:val="-2"/>
        </w:rPr>
        <w:t xml:space="preserve"> networking and collaboration is how the different initiatives being offered by IBA complement and support other networking and registration schemes managed and coordinated by other Indigenous business support entities such as Supply Nation, the state-based </w:t>
      </w:r>
      <w:r w:rsidR="004C0475" w:rsidRPr="009E1F77">
        <w:rPr>
          <w:spacing w:val="-2"/>
          <w:szCs w:val="24"/>
        </w:rPr>
        <w:t>Indigenous business chamber</w:t>
      </w:r>
      <w:r w:rsidRPr="009E1F77">
        <w:rPr>
          <w:spacing w:val="-2"/>
          <w:szCs w:val="24"/>
        </w:rPr>
        <w:t>s</w:t>
      </w:r>
      <w:r w:rsidR="004C0475" w:rsidRPr="009E1F77">
        <w:rPr>
          <w:spacing w:val="-2"/>
          <w:szCs w:val="24"/>
        </w:rPr>
        <w:t xml:space="preserve"> of commerce</w:t>
      </w:r>
      <w:r w:rsidRPr="009E1F77">
        <w:rPr>
          <w:spacing w:val="-2"/>
          <w:szCs w:val="24"/>
        </w:rPr>
        <w:t>,</w:t>
      </w:r>
      <w:r w:rsidR="004C0475" w:rsidRPr="009E1F77">
        <w:rPr>
          <w:spacing w:val="-2"/>
          <w:szCs w:val="24"/>
        </w:rPr>
        <w:t xml:space="preserve"> and the NIAA-funded </w:t>
      </w:r>
      <w:r w:rsidRPr="009E1F77">
        <w:rPr>
          <w:spacing w:val="-2"/>
          <w:szCs w:val="24"/>
        </w:rPr>
        <w:t>Indigenous Business Hubs</w:t>
      </w:r>
      <w:r w:rsidR="004C0475" w:rsidRPr="009E1F77">
        <w:rPr>
          <w:spacing w:val="-2"/>
          <w:szCs w:val="24"/>
        </w:rPr>
        <w:t>. There is an opportunity for greater coordination in this respect.</w:t>
      </w:r>
      <w:r w:rsidR="00444497" w:rsidRPr="009E1F77">
        <w:rPr>
          <w:spacing w:val="-2"/>
        </w:rPr>
        <w:t xml:space="preserve"> </w:t>
      </w:r>
    </w:p>
    <w:p w14:paraId="7B6E0377" w14:textId="77777777" w:rsidR="00E77F55" w:rsidRDefault="00E77F55">
      <w:pPr>
        <w:spacing w:after="200" w:line="276" w:lineRule="auto"/>
        <w:jc w:val="left"/>
        <w:rPr>
          <w:spacing w:val="-2"/>
        </w:rPr>
      </w:pPr>
      <w:r>
        <w:rPr>
          <w:spacing w:val="-2"/>
        </w:rPr>
        <w:br w:type="page"/>
      </w:r>
    </w:p>
    <w:p w14:paraId="15FEDC99" w14:textId="1F4056CB" w:rsidR="00074C2F" w:rsidRDefault="00B72329" w:rsidP="004F2771">
      <w:pPr>
        <w:pStyle w:val="Heading2"/>
        <w:ind w:hanging="792"/>
      </w:pPr>
      <w:bookmarkStart w:id="86" w:name="_Toc123734707"/>
      <w:r>
        <w:t>Recommendation for future program delivery</w:t>
      </w:r>
      <w:bookmarkEnd w:id="86"/>
    </w:p>
    <w:p w14:paraId="0355C80B" w14:textId="77777777" w:rsidR="00B72329" w:rsidRPr="00A41D18" w:rsidRDefault="00B72329" w:rsidP="00A41D18">
      <w:pPr>
        <w:pStyle w:val="Heading4"/>
      </w:pPr>
      <w:r w:rsidRPr="00A41D18">
        <w:t>Recommendation 1</w:t>
      </w:r>
    </w:p>
    <w:p w14:paraId="0CE80D3D" w14:textId="5353308D" w:rsidR="00B72329" w:rsidRDefault="00B72329" w:rsidP="00B72329">
      <w:pPr>
        <w:spacing w:after="200" w:line="276" w:lineRule="auto"/>
      </w:pPr>
      <w:r w:rsidRPr="00B72329">
        <w:t>The future design</w:t>
      </w:r>
      <w:r>
        <w:t xml:space="preserve"> and delivery </w:t>
      </w:r>
      <w:r w:rsidRPr="00B72329">
        <w:t xml:space="preserve">of the BSP </w:t>
      </w:r>
      <w:r w:rsidR="00895B50">
        <w:t>should</w:t>
      </w:r>
      <w:r w:rsidR="00895B50" w:rsidRPr="00B72329">
        <w:t xml:space="preserve"> </w:t>
      </w:r>
      <w:r w:rsidRPr="00B72329">
        <w:t>be strengthened by</w:t>
      </w:r>
      <w:r>
        <w:t>:</w:t>
      </w:r>
    </w:p>
    <w:p w14:paraId="66C32EB1" w14:textId="038D6B0E" w:rsidR="005D6462" w:rsidRPr="00E77F55" w:rsidRDefault="005D6462" w:rsidP="005D6462">
      <w:pPr>
        <w:pStyle w:val="ListBullet"/>
      </w:pPr>
      <w:r>
        <w:t>improved collection and reporting on</w:t>
      </w:r>
      <w:r w:rsidRPr="00E77F55">
        <w:t xml:space="preserve"> key </w:t>
      </w:r>
      <w:r>
        <w:t xml:space="preserve">delivery </w:t>
      </w:r>
      <w:r w:rsidRPr="00E77F55">
        <w:t>metrics</w:t>
      </w:r>
      <w:r>
        <w:t>, including the level of initial enquiries versus uptake, the relevant timeframes for</w:t>
      </w:r>
      <w:r w:rsidRPr="00E77F55">
        <w:t xml:space="preserve"> </w:t>
      </w:r>
      <w:r>
        <w:t>provision of support or access to finance, and the industry sectors accessing assistance</w:t>
      </w:r>
      <w:r w:rsidRPr="00E77F55">
        <w:t xml:space="preserve"> </w:t>
      </w:r>
    </w:p>
    <w:p w14:paraId="41C62B92" w14:textId="639EF1EA" w:rsidR="005D6462" w:rsidRDefault="005D6462" w:rsidP="006C5F34">
      <w:pPr>
        <w:pStyle w:val="ListBullet"/>
      </w:pPr>
      <w:r w:rsidRPr="00E77F55">
        <w:t>seeking to better understand the barriers to entry into the BSP from those who make initial inquiries</w:t>
      </w:r>
      <w:r w:rsidR="00A41D18">
        <w:t>,</w:t>
      </w:r>
      <w:r w:rsidRPr="00E77F55">
        <w:t xml:space="preserve"> yet do not become a customer </w:t>
      </w:r>
    </w:p>
    <w:p w14:paraId="55BB0C66" w14:textId="41152BAA" w:rsidR="005D6462" w:rsidRDefault="00895B50" w:rsidP="005D6462">
      <w:pPr>
        <w:pStyle w:val="ListBullet"/>
      </w:pPr>
      <w:r>
        <w:t>consistently working with</w:t>
      </w:r>
      <w:r w:rsidRPr="00B72329">
        <w:t xml:space="preserve"> </w:t>
      </w:r>
      <w:r w:rsidR="005D6462" w:rsidRPr="00B72329">
        <w:t xml:space="preserve">mature business finance customers to </w:t>
      </w:r>
      <w:r>
        <w:t xml:space="preserve">develop an exit strategy that will enable the customer to </w:t>
      </w:r>
      <w:r w:rsidR="005D6462" w:rsidRPr="00B72329">
        <w:t>seek finance from commercial service providers</w:t>
      </w:r>
    </w:p>
    <w:p w14:paraId="5B20497C" w14:textId="16BBD8F9" w:rsidR="006C5F34" w:rsidRDefault="006C5F34" w:rsidP="006C5F34">
      <w:pPr>
        <w:pStyle w:val="ListBullet"/>
      </w:pPr>
      <w:r w:rsidRPr="00E77F55">
        <w:t>improv</w:t>
      </w:r>
      <w:r w:rsidR="00895B50">
        <w:t>ing</w:t>
      </w:r>
      <w:r w:rsidRPr="00E77F55">
        <w:t xml:space="preserve"> reporting mechanisms so that all key contractual elements are reported upon, including those not covered by specific KPIs </w:t>
      </w:r>
    </w:p>
    <w:p w14:paraId="00B001FA" w14:textId="33B8044C" w:rsidR="006C5F34" w:rsidRPr="00B72329" w:rsidRDefault="005D6462" w:rsidP="005D6462">
      <w:pPr>
        <w:pStyle w:val="ListBullet"/>
      </w:pPr>
      <w:r>
        <w:t xml:space="preserve">where possible, </w:t>
      </w:r>
      <w:r w:rsidRPr="00FE73DE">
        <w:t>maintain</w:t>
      </w:r>
      <w:r w:rsidR="00895B50">
        <w:t>ing</w:t>
      </w:r>
      <w:r w:rsidRPr="00FE73DE">
        <w:t xml:space="preserve"> consistency in the wording of </w:t>
      </w:r>
      <w:r>
        <w:t>KPIs</w:t>
      </w:r>
      <w:r w:rsidR="00895B50">
        <w:t xml:space="preserve"> from year to year</w:t>
      </w:r>
      <w:r>
        <w:t xml:space="preserve"> to enable longitudinal tracking of performance</w:t>
      </w:r>
      <w:r w:rsidR="006C5F34" w:rsidRPr="00E77F55">
        <w:t>.</w:t>
      </w:r>
    </w:p>
    <w:p w14:paraId="3BA22265" w14:textId="77777777" w:rsidR="00B72329" w:rsidRPr="00B72329" w:rsidRDefault="00B72329" w:rsidP="00B72329"/>
    <w:p w14:paraId="5A00194F" w14:textId="179617E7" w:rsidR="00914139" w:rsidRPr="00FE73DE" w:rsidRDefault="00914139">
      <w:pPr>
        <w:pStyle w:val="Heading1"/>
      </w:pPr>
      <w:bookmarkStart w:id="87" w:name="_Toc123734708"/>
      <w:r w:rsidRPr="00FE73DE">
        <w:t xml:space="preserve">IBA’s </w:t>
      </w:r>
      <w:r w:rsidR="00B11880">
        <w:t>g</w:t>
      </w:r>
      <w:r w:rsidR="000311A4" w:rsidRPr="00FE73DE">
        <w:t>overnance</w:t>
      </w:r>
      <w:r w:rsidR="006610D7" w:rsidRPr="00FE73DE">
        <w:t xml:space="preserve">, </w:t>
      </w:r>
      <w:r w:rsidR="00B11880">
        <w:t>p</w:t>
      </w:r>
      <w:r w:rsidR="006610D7" w:rsidRPr="00FE73DE">
        <w:t>olicies</w:t>
      </w:r>
      <w:r w:rsidR="00B11880">
        <w:t>,</w:t>
      </w:r>
      <w:r w:rsidR="006610D7" w:rsidRPr="00FE73DE">
        <w:t xml:space="preserve"> and </w:t>
      </w:r>
      <w:r w:rsidR="00B11880">
        <w:t>p</w:t>
      </w:r>
      <w:r w:rsidR="006610D7" w:rsidRPr="00FE73DE">
        <w:t>rocedures</w:t>
      </w:r>
      <w:bookmarkEnd w:id="87"/>
    </w:p>
    <w:p w14:paraId="0D4F63C2" w14:textId="2E71A93C" w:rsidR="0086282D" w:rsidRPr="00FE73DE" w:rsidRDefault="0086282D" w:rsidP="009D08D2">
      <w:r w:rsidRPr="00FE73DE">
        <w:t xml:space="preserve">This section focuses on </w:t>
      </w:r>
      <w:r w:rsidR="00DE0F37" w:rsidRPr="00FE73DE">
        <w:t xml:space="preserve">answering the overarching </w:t>
      </w:r>
      <w:r w:rsidRPr="00FE73DE">
        <w:t>evaluation question:</w:t>
      </w:r>
    </w:p>
    <w:p w14:paraId="3683EDC2" w14:textId="77777777" w:rsidR="0086282D" w:rsidRPr="00FE73DE" w:rsidRDefault="0086282D">
      <w:pPr>
        <w:pStyle w:val="ListBullet"/>
      </w:pPr>
      <w:r w:rsidRPr="00FE73DE">
        <w:t>Are IBA’s governance and administration policies, systems and processes efficient and effective in delivering the BSP?</w:t>
      </w:r>
    </w:p>
    <w:p w14:paraId="1461A7BC" w14:textId="154AF154" w:rsidR="0086282D" w:rsidRPr="00FE73DE" w:rsidRDefault="0086282D" w:rsidP="00C71F21">
      <w:r w:rsidRPr="00FE73DE">
        <w:t>As outlined under section 2, the evaluation methodology had specific regard to the ANAO performance audit of IBA’s business support and investment activities</w:t>
      </w:r>
      <w:r w:rsidR="00546EB0">
        <w:t xml:space="preserve"> </w:t>
      </w:r>
      <w:r w:rsidR="00546EB0" w:rsidRPr="00FE73DE">
        <w:t>to minimise overlap and duplication</w:t>
      </w:r>
      <w:r w:rsidR="00F72D59">
        <w:t>.</w:t>
      </w:r>
      <w:r w:rsidRPr="00FE73DE">
        <w:rPr>
          <w:vertAlign w:val="superscript"/>
        </w:rPr>
        <w:footnoteReference w:id="41"/>
      </w:r>
      <w:r w:rsidRPr="00FE73DE">
        <w:t xml:space="preserve"> </w:t>
      </w:r>
      <w:r w:rsidR="00C71F21" w:rsidRPr="00FE73DE">
        <w:t>Accordingly, t</w:t>
      </w:r>
      <w:r w:rsidR="00604866" w:rsidRPr="00FE73DE">
        <w:t xml:space="preserve">his section has regard to </w:t>
      </w:r>
      <w:r w:rsidRPr="00FE73DE">
        <w:t xml:space="preserve">the audit findings </w:t>
      </w:r>
      <w:r w:rsidR="00C71F21" w:rsidRPr="00FE73DE">
        <w:t>as appropriate.</w:t>
      </w:r>
      <w:r w:rsidR="00604866" w:rsidRPr="00FE73DE">
        <w:t xml:space="preserve"> </w:t>
      </w:r>
    </w:p>
    <w:tbl>
      <w:tblPr>
        <w:tblStyle w:val="Summaryboxtablestyle"/>
        <w:tblW w:w="5000" w:type="pct"/>
        <w:tblLook w:val="04A0" w:firstRow="1" w:lastRow="0" w:firstColumn="1" w:lastColumn="0" w:noHBand="0" w:noVBand="1"/>
      </w:tblPr>
      <w:tblGrid>
        <w:gridCol w:w="8890"/>
      </w:tblGrid>
      <w:tr w:rsidR="00B02F94" w:rsidRPr="00FE73DE" w14:paraId="7504AA85" w14:textId="77777777" w:rsidTr="009D4DA5">
        <w:trPr>
          <w:cnfStyle w:val="100000000000" w:firstRow="1" w:lastRow="0" w:firstColumn="0" w:lastColumn="0" w:oddVBand="0" w:evenVBand="0" w:oddHBand="0" w:evenHBand="0" w:firstRowFirstColumn="0" w:firstRowLastColumn="0" w:lastRowFirstColumn="0" w:lastRowLastColumn="0"/>
        </w:trPr>
        <w:tc>
          <w:tcPr>
            <w:tcW w:w="5000" w:type="pct"/>
          </w:tcPr>
          <w:p w14:paraId="317BCA17" w14:textId="330C6249" w:rsidR="00B02F94" w:rsidRPr="00FE73DE" w:rsidRDefault="00985517" w:rsidP="0059066A">
            <w:pPr>
              <w:pStyle w:val="TableText"/>
              <w:rPr>
                <w:b w:val="0"/>
              </w:rPr>
            </w:pPr>
            <w:r w:rsidRPr="00FE73DE">
              <w:t>F</w:t>
            </w:r>
            <w:r w:rsidR="00B02F94" w:rsidRPr="00FE73DE">
              <w:t>indings summary – IBA’s governance</w:t>
            </w:r>
            <w:r w:rsidR="00B11880">
              <w:t>,</w:t>
            </w:r>
            <w:r w:rsidR="00B02F94" w:rsidRPr="00FE73DE">
              <w:t xml:space="preserve"> policies, </w:t>
            </w:r>
            <w:r w:rsidR="00B11880">
              <w:t>and procedures</w:t>
            </w:r>
          </w:p>
        </w:tc>
      </w:tr>
      <w:tr w:rsidR="00B02F94" w:rsidRPr="00FE73DE" w14:paraId="43F9D454" w14:textId="77777777" w:rsidTr="009D4DA5">
        <w:tc>
          <w:tcPr>
            <w:tcW w:w="5000" w:type="pct"/>
          </w:tcPr>
          <w:p w14:paraId="4F0EAC2C" w14:textId="4C8539C4" w:rsidR="00B02F94" w:rsidRPr="00D35FFF" w:rsidRDefault="00B02F94" w:rsidP="009761AD">
            <w:pPr>
              <w:pStyle w:val="Findingssummarylist"/>
              <w:rPr>
                <w:sz w:val="22"/>
                <w:szCs w:val="22"/>
              </w:rPr>
            </w:pPr>
            <w:r w:rsidRPr="00D35FFF">
              <w:rPr>
                <w:sz w:val="22"/>
                <w:szCs w:val="22"/>
              </w:rPr>
              <w:t xml:space="preserve">The 2021 ANAO report identified that the IBA had broadly established “appropriate policies and procedures to administer its business support activities but arrangements have not been effectively implemented”. </w:t>
            </w:r>
            <w:r w:rsidR="00E01D2A" w:rsidRPr="00D35FFF">
              <w:rPr>
                <w:sz w:val="22"/>
                <w:szCs w:val="22"/>
              </w:rPr>
              <w:t>IBA has undertaken specific activities to address these findings, including their own evaluation on the changes and improvements that have been introduced.</w:t>
            </w:r>
            <w:r w:rsidR="00E80033" w:rsidRPr="00D35FFF">
              <w:rPr>
                <w:sz w:val="22"/>
                <w:szCs w:val="22"/>
              </w:rPr>
              <w:t xml:space="preserve"> </w:t>
            </w:r>
          </w:p>
          <w:p w14:paraId="153338BA" w14:textId="5EF5468A" w:rsidR="00D45758" w:rsidRPr="00574BA6" w:rsidRDefault="00C71F21" w:rsidP="00574BA6">
            <w:pPr>
              <w:pStyle w:val="Findingssummarylist"/>
              <w:rPr>
                <w:sz w:val="22"/>
                <w:szCs w:val="22"/>
              </w:rPr>
            </w:pPr>
            <w:r w:rsidRPr="00574BA6">
              <w:rPr>
                <w:sz w:val="22"/>
                <w:szCs w:val="22"/>
              </w:rPr>
              <w:t xml:space="preserve">It was </w:t>
            </w:r>
            <w:r w:rsidR="0044053B" w:rsidRPr="00574BA6">
              <w:rPr>
                <w:sz w:val="22"/>
                <w:szCs w:val="22"/>
              </w:rPr>
              <w:t xml:space="preserve">evident from </w:t>
            </w:r>
            <w:r w:rsidRPr="00574BA6">
              <w:rPr>
                <w:sz w:val="22"/>
                <w:szCs w:val="22"/>
              </w:rPr>
              <w:t xml:space="preserve">examined </w:t>
            </w:r>
            <w:r w:rsidR="0044053B" w:rsidRPr="00574BA6">
              <w:rPr>
                <w:sz w:val="22"/>
                <w:szCs w:val="22"/>
              </w:rPr>
              <w:t xml:space="preserve">internal </w:t>
            </w:r>
            <w:r w:rsidR="00C06522" w:rsidRPr="00574BA6">
              <w:rPr>
                <w:sz w:val="22"/>
                <w:szCs w:val="22"/>
              </w:rPr>
              <w:t>documents</w:t>
            </w:r>
            <w:r w:rsidR="0044053B" w:rsidRPr="00574BA6">
              <w:rPr>
                <w:sz w:val="22"/>
                <w:szCs w:val="22"/>
              </w:rPr>
              <w:t xml:space="preserve"> that considerable effort </w:t>
            </w:r>
            <w:r w:rsidR="00C06522" w:rsidRPr="00574BA6">
              <w:rPr>
                <w:sz w:val="22"/>
                <w:szCs w:val="22"/>
              </w:rPr>
              <w:t>went</w:t>
            </w:r>
            <w:r w:rsidR="0044053B" w:rsidRPr="00574BA6">
              <w:rPr>
                <w:sz w:val="22"/>
                <w:szCs w:val="22"/>
              </w:rPr>
              <w:t xml:space="preserve"> into developing updated policies and procedures in relation to the delivery of business support services and associated commercial finance products</w:t>
            </w:r>
            <w:r w:rsidR="008B737A" w:rsidRPr="00574BA6">
              <w:rPr>
                <w:sz w:val="22"/>
                <w:szCs w:val="22"/>
              </w:rPr>
              <w:t>.</w:t>
            </w:r>
            <w:r w:rsidR="00FF4E95" w:rsidRPr="00574BA6">
              <w:rPr>
                <w:sz w:val="22"/>
                <w:szCs w:val="22"/>
              </w:rPr>
              <w:t xml:space="preserve"> </w:t>
            </w:r>
            <w:r w:rsidR="005C6FA8" w:rsidRPr="00574BA6">
              <w:rPr>
                <w:sz w:val="22"/>
                <w:szCs w:val="22"/>
              </w:rPr>
              <w:t>IBA</w:t>
            </w:r>
            <w:r w:rsidR="00FF4E95" w:rsidRPr="00574BA6">
              <w:rPr>
                <w:sz w:val="22"/>
                <w:szCs w:val="22"/>
              </w:rPr>
              <w:t xml:space="preserve">’s recent </w:t>
            </w:r>
            <w:r w:rsidR="005C6FA8" w:rsidRPr="00574BA6">
              <w:rPr>
                <w:sz w:val="22"/>
                <w:szCs w:val="22"/>
              </w:rPr>
              <w:t>internal</w:t>
            </w:r>
            <w:r w:rsidR="00B605BD" w:rsidRPr="00574BA6">
              <w:rPr>
                <w:sz w:val="22"/>
                <w:szCs w:val="22"/>
              </w:rPr>
              <w:t xml:space="preserve"> quality assurance reviews have highlighted an increase in compliance with document accuracy, completion, and storage</w:t>
            </w:r>
            <w:r w:rsidR="005C6FA8" w:rsidRPr="00574BA6">
              <w:rPr>
                <w:sz w:val="22"/>
                <w:szCs w:val="22"/>
              </w:rPr>
              <w:t>.</w:t>
            </w:r>
            <w:r w:rsidR="00574BA6" w:rsidRPr="00574BA6">
              <w:rPr>
                <w:sz w:val="22"/>
                <w:szCs w:val="22"/>
              </w:rPr>
              <w:t xml:space="preserve"> </w:t>
            </w:r>
          </w:p>
          <w:p w14:paraId="077335F9" w14:textId="34408B60" w:rsidR="00C71F21" w:rsidRPr="00D35FFF" w:rsidRDefault="00B8100C" w:rsidP="00C71F21">
            <w:pPr>
              <w:pStyle w:val="Findingssummarylist"/>
              <w:rPr>
                <w:sz w:val="22"/>
                <w:szCs w:val="22"/>
              </w:rPr>
            </w:pPr>
            <w:r w:rsidRPr="001105FD">
              <w:rPr>
                <w:sz w:val="22"/>
                <w:szCs w:val="22"/>
              </w:rPr>
              <w:t>The</w:t>
            </w:r>
            <w:r w:rsidR="004D20AC" w:rsidRPr="001105FD">
              <w:rPr>
                <w:sz w:val="22"/>
                <w:szCs w:val="22"/>
              </w:rPr>
              <w:t xml:space="preserve"> </w:t>
            </w:r>
            <w:r w:rsidR="001105FD" w:rsidRPr="001105FD">
              <w:rPr>
                <w:sz w:val="22"/>
                <w:szCs w:val="22"/>
              </w:rPr>
              <w:t>policy parameters previously restricting the level of support to BSP target cohorts of early stage and high risk customers are no longer</w:t>
            </w:r>
            <w:r w:rsidR="001105FD">
              <w:rPr>
                <w:sz w:val="22"/>
                <w:szCs w:val="22"/>
              </w:rPr>
              <w:t xml:space="preserve"> specified</w:t>
            </w:r>
            <w:r w:rsidR="00C71F21" w:rsidRPr="00D35FFF">
              <w:rPr>
                <w:sz w:val="22"/>
                <w:szCs w:val="22"/>
              </w:rPr>
              <w:t xml:space="preserve">. </w:t>
            </w:r>
            <w:r w:rsidR="00574BA6" w:rsidRPr="00574BA6">
              <w:rPr>
                <w:sz w:val="22"/>
                <w:szCs w:val="22"/>
              </w:rPr>
              <w:t>The change in these policy parameters means there is no longer a policy-driven need for the grant arrangement.</w:t>
            </w:r>
          </w:p>
          <w:p w14:paraId="0626B79C" w14:textId="71134367" w:rsidR="005C6FA8" w:rsidRPr="00D35FFF" w:rsidRDefault="005C6FA8" w:rsidP="009761AD">
            <w:pPr>
              <w:pStyle w:val="Findingssummarylist"/>
              <w:rPr>
                <w:sz w:val="22"/>
                <w:szCs w:val="22"/>
              </w:rPr>
            </w:pPr>
            <w:r w:rsidRPr="00D35FFF">
              <w:rPr>
                <w:sz w:val="22"/>
                <w:szCs w:val="22"/>
              </w:rPr>
              <w:t>The availability and provision of usable customer data to the evaluation team across the various service offerings (internal business support, external business support and financial products) for analysis was poor. This in part was due to significant systems issues associated with IBA’s business CRM.</w:t>
            </w:r>
            <w:r w:rsidR="00574BA6">
              <w:rPr>
                <w:sz w:val="22"/>
                <w:szCs w:val="22"/>
              </w:rPr>
              <w:t xml:space="preserve"> </w:t>
            </w:r>
          </w:p>
          <w:p w14:paraId="35857A10" w14:textId="77777777" w:rsidR="001105FD" w:rsidRPr="001105FD" w:rsidRDefault="005C6FA8" w:rsidP="009761AD">
            <w:pPr>
              <w:pStyle w:val="Findingssummarylist"/>
            </w:pPr>
            <w:r w:rsidRPr="00D35FFF">
              <w:rPr>
                <w:sz w:val="22"/>
                <w:szCs w:val="22"/>
              </w:rPr>
              <w:t>Identified shortcomings</w:t>
            </w:r>
            <w:r w:rsidR="006A0CDB" w:rsidRPr="00D35FFF">
              <w:rPr>
                <w:sz w:val="22"/>
                <w:szCs w:val="22"/>
              </w:rPr>
              <w:t xml:space="preserve"> of </w:t>
            </w:r>
            <w:r w:rsidR="00D36CC7" w:rsidRPr="00D35FFF">
              <w:rPr>
                <w:sz w:val="22"/>
                <w:szCs w:val="22"/>
              </w:rPr>
              <w:t xml:space="preserve">the </w:t>
            </w:r>
            <w:r w:rsidR="009C3494" w:rsidRPr="00D35FFF">
              <w:rPr>
                <w:sz w:val="22"/>
                <w:szCs w:val="22"/>
              </w:rPr>
              <w:t>business-related</w:t>
            </w:r>
            <w:r w:rsidR="00D36CC7" w:rsidRPr="00D35FFF">
              <w:rPr>
                <w:sz w:val="22"/>
                <w:szCs w:val="22"/>
              </w:rPr>
              <w:t xml:space="preserve"> </w:t>
            </w:r>
            <w:r w:rsidR="006A0CDB" w:rsidRPr="00D35FFF">
              <w:rPr>
                <w:sz w:val="22"/>
                <w:szCs w:val="22"/>
              </w:rPr>
              <w:t>data</w:t>
            </w:r>
            <w:r w:rsidRPr="00D35FFF">
              <w:rPr>
                <w:sz w:val="22"/>
                <w:szCs w:val="22"/>
              </w:rPr>
              <w:t xml:space="preserve"> </w:t>
            </w:r>
            <w:r w:rsidR="00C06522" w:rsidRPr="00D35FFF">
              <w:rPr>
                <w:sz w:val="22"/>
                <w:szCs w:val="22"/>
              </w:rPr>
              <w:t>were</w:t>
            </w:r>
            <w:r w:rsidRPr="00D35FFF">
              <w:rPr>
                <w:sz w:val="22"/>
                <w:szCs w:val="22"/>
              </w:rPr>
              <w:t xml:space="preserve"> included in IBA’s Digital Transformation demand pipeline</w:t>
            </w:r>
            <w:r w:rsidR="00DE1608" w:rsidRPr="00D35FFF">
              <w:rPr>
                <w:sz w:val="22"/>
                <w:szCs w:val="22"/>
              </w:rPr>
              <w:t xml:space="preserve">. </w:t>
            </w:r>
            <w:r w:rsidR="009C3494">
              <w:rPr>
                <w:sz w:val="22"/>
                <w:szCs w:val="22"/>
              </w:rPr>
              <w:t>Planned</w:t>
            </w:r>
            <w:r w:rsidR="009C3494" w:rsidRPr="00D35FFF">
              <w:rPr>
                <w:sz w:val="22"/>
                <w:szCs w:val="22"/>
              </w:rPr>
              <w:t xml:space="preserve"> </w:t>
            </w:r>
            <w:r w:rsidRPr="00D35FFF">
              <w:rPr>
                <w:sz w:val="22"/>
                <w:szCs w:val="22"/>
              </w:rPr>
              <w:t xml:space="preserve">improvements </w:t>
            </w:r>
            <w:r w:rsidR="00C06522" w:rsidRPr="00D35FFF">
              <w:rPr>
                <w:sz w:val="22"/>
                <w:szCs w:val="22"/>
              </w:rPr>
              <w:t>included enhancing</w:t>
            </w:r>
            <w:r w:rsidRPr="00D35FFF">
              <w:rPr>
                <w:sz w:val="22"/>
                <w:szCs w:val="22"/>
              </w:rPr>
              <w:t xml:space="preserve"> the current </w:t>
            </w:r>
            <w:r w:rsidR="00DE1608" w:rsidRPr="00D35FFF">
              <w:rPr>
                <w:sz w:val="22"/>
                <w:szCs w:val="22"/>
              </w:rPr>
              <w:t xml:space="preserve">CRM capability </w:t>
            </w:r>
            <w:r w:rsidRPr="00D35FFF">
              <w:rPr>
                <w:sz w:val="22"/>
                <w:szCs w:val="22"/>
              </w:rPr>
              <w:t xml:space="preserve">to align with current and future business requirements, and </w:t>
            </w:r>
            <w:r w:rsidR="00DE1608" w:rsidRPr="00D35FFF">
              <w:rPr>
                <w:sz w:val="22"/>
                <w:szCs w:val="22"/>
              </w:rPr>
              <w:t xml:space="preserve">to </w:t>
            </w:r>
            <w:r w:rsidRPr="00D35FFF">
              <w:rPr>
                <w:sz w:val="22"/>
                <w:szCs w:val="22"/>
              </w:rPr>
              <w:t xml:space="preserve">accurately capture all components of a customer journey. </w:t>
            </w:r>
            <w:r w:rsidR="00927F96" w:rsidRPr="00D35FFF">
              <w:rPr>
                <w:sz w:val="22"/>
                <w:szCs w:val="22"/>
              </w:rPr>
              <w:t xml:space="preserve">The </w:t>
            </w:r>
            <w:r w:rsidRPr="00D35FFF">
              <w:rPr>
                <w:sz w:val="22"/>
                <w:szCs w:val="22"/>
              </w:rPr>
              <w:t xml:space="preserve">improvements to IBA’s </w:t>
            </w:r>
            <w:r w:rsidR="00DE1608" w:rsidRPr="00D35FFF">
              <w:rPr>
                <w:sz w:val="22"/>
                <w:szCs w:val="22"/>
              </w:rPr>
              <w:t xml:space="preserve">business </w:t>
            </w:r>
            <w:r w:rsidRPr="00D35FFF">
              <w:rPr>
                <w:sz w:val="22"/>
                <w:szCs w:val="22"/>
              </w:rPr>
              <w:t xml:space="preserve">CRM </w:t>
            </w:r>
            <w:r w:rsidR="00C06522" w:rsidRPr="00D35FFF">
              <w:rPr>
                <w:sz w:val="22"/>
                <w:szCs w:val="22"/>
              </w:rPr>
              <w:t>we</w:t>
            </w:r>
            <w:r w:rsidR="00927F96" w:rsidRPr="00D35FFF">
              <w:rPr>
                <w:sz w:val="22"/>
                <w:szCs w:val="22"/>
              </w:rPr>
              <w:t xml:space="preserve">re expected to be </w:t>
            </w:r>
            <w:r w:rsidRPr="00D35FFF">
              <w:rPr>
                <w:sz w:val="22"/>
                <w:szCs w:val="22"/>
              </w:rPr>
              <w:t>implemented by 30 September 2022</w:t>
            </w:r>
            <w:r w:rsidR="00DE1608" w:rsidRPr="00D35FFF">
              <w:rPr>
                <w:sz w:val="22"/>
                <w:szCs w:val="22"/>
              </w:rPr>
              <w:t>.</w:t>
            </w:r>
          </w:p>
          <w:p w14:paraId="10F93884" w14:textId="3CE0E70D" w:rsidR="00DE1608" w:rsidRPr="00FE73DE" w:rsidRDefault="00574BA6" w:rsidP="009761AD">
            <w:pPr>
              <w:pStyle w:val="Findingssummarylist"/>
            </w:pPr>
            <w:r>
              <w:rPr>
                <w:sz w:val="22"/>
                <w:szCs w:val="22"/>
              </w:rPr>
              <w:t xml:space="preserve">Areas where </w:t>
            </w:r>
            <w:r w:rsidRPr="00D54F1B">
              <w:rPr>
                <w:sz w:val="22"/>
              </w:rPr>
              <w:t>policies, systems, and processes could be improved</w:t>
            </w:r>
            <w:r>
              <w:rPr>
                <w:sz w:val="22"/>
              </w:rPr>
              <w:t xml:space="preserve"> </w:t>
            </w:r>
            <w:r w:rsidRPr="00D54F1B">
              <w:rPr>
                <w:sz w:val="22"/>
              </w:rPr>
              <w:t>includ</w:t>
            </w:r>
            <w:r>
              <w:rPr>
                <w:sz w:val="22"/>
              </w:rPr>
              <w:t xml:space="preserve">e </w:t>
            </w:r>
            <w:r w:rsidRPr="00D54F1B">
              <w:rPr>
                <w:sz w:val="22"/>
              </w:rPr>
              <w:t>simplifying the application process</w:t>
            </w:r>
            <w:r>
              <w:rPr>
                <w:sz w:val="22"/>
              </w:rPr>
              <w:t xml:space="preserve"> for finance</w:t>
            </w:r>
            <w:r w:rsidRPr="00D54F1B">
              <w:rPr>
                <w:sz w:val="22"/>
              </w:rPr>
              <w:t>, improving transparency regarding eligibility requirements,</w:t>
            </w:r>
            <w:r>
              <w:rPr>
                <w:sz w:val="22"/>
              </w:rPr>
              <w:t xml:space="preserve"> being timelier in responding to enquiries</w:t>
            </w:r>
            <w:r w:rsidRPr="00D54F1B">
              <w:rPr>
                <w:sz w:val="22"/>
              </w:rPr>
              <w:t xml:space="preserve"> and collect</w:t>
            </w:r>
            <w:r>
              <w:rPr>
                <w:sz w:val="22"/>
              </w:rPr>
              <w:t>ing</w:t>
            </w:r>
            <w:r w:rsidRPr="00D54F1B">
              <w:rPr>
                <w:sz w:val="22"/>
              </w:rPr>
              <w:t xml:space="preserve"> data related to program entry and demand.</w:t>
            </w:r>
          </w:p>
        </w:tc>
      </w:tr>
    </w:tbl>
    <w:p w14:paraId="3E84D2BC" w14:textId="77777777" w:rsidR="00D35FFF" w:rsidRPr="00D35FFF" w:rsidRDefault="00D35FFF" w:rsidP="00D35FFF">
      <w:bookmarkStart w:id="88" w:name="_Toc108632477"/>
      <w:bookmarkStart w:id="89" w:name="_Toc109569507"/>
    </w:p>
    <w:p w14:paraId="7FF23C32" w14:textId="0DE5A8AE" w:rsidR="00E01D2A" w:rsidRPr="00FE73DE" w:rsidRDefault="00E01D2A" w:rsidP="00757C55">
      <w:pPr>
        <w:pStyle w:val="Heading2"/>
        <w:ind w:hanging="792"/>
        <w:rPr>
          <w:sz w:val="24"/>
        </w:rPr>
      </w:pPr>
      <w:bookmarkStart w:id="90" w:name="_Toc123734709"/>
      <w:r w:rsidRPr="00FE73DE">
        <w:t xml:space="preserve">Overarching </w:t>
      </w:r>
      <w:r w:rsidR="003C5F8C" w:rsidRPr="00FE73DE">
        <w:t>g</w:t>
      </w:r>
      <w:r w:rsidRPr="00FE73DE">
        <w:t>overnance for IBA</w:t>
      </w:r>
      <w:bookmarkEnd w:id="88"/>
      <w:bookmarkEnd w:id="89"/>
      <w:bookmarkEnd w:id="90"/>
    </w:p>
    <w:p w14:paraId="0ED7557F" w14:textId="58B48645" w:rsidR="00E01D2A" w:rsidRPr="00FE73DE" w:rsidRDefault="00E01D2A" w:rsidP="00E01D2A">
      <w:r w:rsidRPr="00FE73DE">
        <w:t xml:space="preserve">IBA is a statutory authority of the Australian Government and is accountable to the Parliament and the Minister for Indigenous Affairs. IBA’s purpose is set out in the ATSI Act. </w:t>
      </w:r>
      <w:r w:rsidRPr="00FE73DE">
        <w:rPr>
          <w:szCs w:val="24"/>
        </w:rPr>
        <w:t>The ATSI Act gives IBA a range of powers to engage in commercial activities that help serve its purpose, including providing business loans and other financial products. The IBA Board is the accountable authority under the PGPA Act and is responsible for:</w:t>
      </w:r>
    </w:p>
    <w:p w14:paraId="75F7A1C8" w14:textId="1A17474D" w:rsidR="00E01D2A" w:rsidRPr="00FE73DE" w:rsidRDefault="00E01D2A" w:rsidP="00C96B94">
      <w:pPr>
        <w:pStyle w:val="Boxbullett"/>
        <w:ind w:left="567"/>
      </w:pPr>
      <w:r w:rsidRPr="00FE73DE">
        <w:t>promoting proper use and management of public resources, achievement of purpose and financial sustainability for the entity.</w:t>
      </w:r>
    </w:p>
    <w:p w14:paraId="38065BC9" w14:textId="667132C1" w:rsidR="00E01D2A" w:rsidRPr="00FE73DE" w:rsidRDefault="00E01D2A" w:rsidP="00E01D2A">
      <w:pPr>
        <w:rPr>
          <w:rFonts w:cstheme="minorBidi"/>
          <w:szCs w:val="24"/>
        </w:rPr>
      </w:pPr>
      <w:r w:rsidRPr="00FE73DE">
        <w:rPr>
          <w:szCs w:val="24"/>
        </w:rPr>
        <w:t xml:space="preserve">IBA’s governance framework is </w:t>
      </w:r>
      <w:r w:rsidR="00294757">
        <w:rPr>
          <w:szCs w:val="24"/>
        </w:rPr>
        <w:t>explained in further detail at Appendix A</w:t>
      </w:r>
      <w:r w:rsidRPr="00FE73DE">
        <w:rPr>
          <w:szCs w:val="24"/>
        </w:rPr>
        <w:t xml:space="preserve">. </w:t>
      </w:r>
    </w:p>
    <w:p w14:paraId="13C26B23" w14:textId="77777777" w:rsidR="00BB2360" w:rsidRPr="00FE73DE" w:rsidRDefault="00BB2360" w:rsidP="00D90143">
      <w:r w:rsidRPr="00FE73DE">
        <w:t>ANAO’s recent audit found:</w:t>
      </w:r>
    </w:p>
    <w:p w14:paraId="4166EB58" w14:textId="01A08163" w:rsidR="00BB2360" w:rsidRPr="00FE73DE" w:rsidRDefault="00BB2360" w:rsidP="00C96B94">
      <w:pPr>
        <w:pStyle w:val="Boxbullett"/>
        <w:ind w:left="567"/>
      </w:pPr>
      <w:r w:rsidRPr="00FE73DE">
        <w:t>The purpose of IBA’s business support activities are clearly defined in the IAS agreement for business support activities and aligns with IBA’s purpose as set out in the Act and other key documents, including the PBS, the Australian Government Statement of Expectations for IBA and IBA’s 2020–21 Corporate Plan (shown in Table 3.1).</w:t>
      </w:r>
      <w:r w:rsidR="00A65BD8" w:rsidRPr="00FE73DE">
        <w:rPr>
          <w:rStyle w:val="FootnoteReference"/>
        </w:rPr>
        <w:footnoteReference w:id="42"/>
      </w:r>
      <w:r w:rsidRPr="00FE73DE">
        <w:t xml:space="preserve"> </w:t>
      </w:r>
    </w:p>
    <w:p w14:paraId="59851072" w14:textId="38A43C62" w:rsidR="00C06522" w:rsidRDefault="00C87EC9" w:rsidP="00BB2360">
      <w:pPr>
        <w:autoSpaceDE w:val="0"/>
        <w:autoSpaceDN w:val="0"/>
        <w:adjustRightInd w:val="0"/>
        <w:spacing w:after="0" w:line="240" w:lineRule="auto"/>
        <w:jc w:val="left"/>
        <w:rPr>
          <w:rFonts w:ascii="Calibri" w:eastAsiaTheme="minorHAnsi" w:hAnsi="Calibri" w:cs="Calibri"/>
          <w:color w:val="000000"/>
          <w:sz w:val="23"/>
          <w:szCs w:val="23"/>
        </w:rPr>
      </w:pPr>
      <w:r>
        <w:t xml:space="preserve">The referenced </w:t>
      </w:r>
      <w:r w:rsidR="00A65BD8" w:rsidRPr="00FE73DE">
        <w:t xml:space="preserve">Table 3.1 of the </w:t>
      </w:r>
      <w:r>
        <w:t>a</w:t>
      </w:r>
      <w:r w:rsidR="00A65BD8" w:rsidRPr="00FE73DE">
        <w:t xml:space="preserve">udit report is shown in </w:t>
      </w:r>
      <w:r w:rsidR="00A65BD8" w:rsidRPr="00FE73DE">
        <w:fldChar w:fldCharType="begin"/>
      </w:r>
      <w:r w:rsidR="00A65BD8" w:rsidRPr="00FE73DE">
        <w:instrText xml:space="preserve"> REF _Ref110878025 \h </w:instrText>
      </w:r>
      <w:r w:rsidR="00494D4B" w:rsidRPr="00FE73DE">
        <w:instrText xml:space="preserve"> \* MERGEFORMAT </w:instrText>
      </w:r>
      <w:r w:rsidR="00A65BD8" w:rsidRPr="00FE73DE">
        <w:fldChar w:fldCharType="separate"/>
      </w:r>
      <w:r w:rsidR="004718C9" w:rsidRPr="00FE73DE">
        <w:t xml:space="preserve">Figure </w:t>
      </w:r>
      <w:r w:rsidR="004718C9">
        <w:t>23</w:t>
      </w:r>
      <w:r w:rsidR="00A65BD8" w:rsidRPr="00FE73DE">
        <w:fldChar w:fldCharType="end"/>
      </w:r>
      <w:r w:rsidR="00A65BD8" w:rsidRPr="00FE73DE">
        <w:rPr>
          <w:rFonts w:ascii="Calibri" w:eastAsiaTheme="minorHAnsi" w:hAnsi="Calibri" w:cs="Calibri"/>
          <w:color w:val="000000"/>
          <w:sz w:val="23"/>
          <w:szCs w:val="23"/>
        </w:rPr>
        <w:t>.</w:t>
      </w:r>
    </w:p>
    <w:p w14:paraId="7A7E1FCA" w14:textId="2766869B" w:rsidR="00BB2360" w:rsidRPr="00FE73DE" w:rsidRDefault="009A4058" w:rsidP="00BB2360">
      <w:pPr>
        <w:autoSpaceDE w:val="0"/>
        <w:autoSpaceDN w:val="0"/>
        <w:adjustRightInd w:val="0"/>
        <w:spacing w:after="0" w:line="240" w:lineRule="auto"/>
        <w:jc w:val="left"/>
        <w:rPr>
          <w:rFonts w:ascii="Calibri" w:eastAsiaTheme="minorHAnsi" w:hAnsi="Calibri" w:cs="Calibri"/>
          <w:color w:val="000000"/>
          <w:sz w:val="23"/>
          <w:szCs w:val="23"/>
        </w:rPr>
      </w:pPr>
      <w:r w:rsidRPr="00FE73DE">
        <w:rPr>
          <w:noProof/>
          <w:lang w:eastAsia="en-AU"/>
        </w:rPr>
        <w:drawing>
          <wp:inline distT="0" distB="0" distL="0" distR="0" wp14:anchorId="6150C7F4" wp14:editId="2FE6C1C8">
            <wp:extent cx="5437992" cy="47698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46"/>
                    <a:stretch/>
                  </pic:blipFill>
                  <pic:spPr bwMode="auto">
                    <a:xfrm>
                      <a:off x="0" y="0"/>
                      <a:ext cx="5453937" cy="4783878"/>
                    </a:xfrm>
                    <a:prstGeom prst="rect">
                      <a:avLst/>
                    </a:prstGeom>
                    <a:ln>
                      <a:noFill/>
                    </a:ln>
                    <a:extLst>
                      <a:ext uri="{53640926-AAD7-44D8-BBD7-CCE9431645EC}">
                        <a14:shadowObscured xmlns:a14="http://schemas.microsoft.com/office/drawing/2010/main"/>
                      </a:ext>
                    </a:extLst>
                  </pic:spPr>
                </pic:pic>
              </a:graphicData>
            </a:graphic>
          </wp:inline>
        </w:drawing>
      </w:r>
    </w:p>
    <w:p w14:paraId="14371557" w14:textId="69F63B26" w:rsidR="00C06522" w:rsidRDefault="009A4058" w:rsidP="00546EB0">
      <w:pPr>
        <w:pStyle w:val="Caption"/>
        <w:keepLines w:val="0"/>
      </w:pPr>
      <w:bookmarkStart w:id="91" w:name="_Ref110878025"/>
      <w:bookmarkStart w:id="92" w:name="_Ref110878001"/>
      <w:r w:rsidRPr="00FE73DE">
        <w:t xml:space="preserve">Figure </w:t>
      </w:r>
      <w:fldSimple w:instr=" SEQ Figure \* ARABIC ">
        <w:r w:rsidR="004718C9">
          <w:rPr>
            <w:noProof/>
          </w:rPr>
          <w:t>23</w:t>
        </w:r>
      </w:fldSimple>
      <w:bookmarkEnd w:id="91"/>
      <w:r w:rsidRPr="00FE73DE">
        <w:t xml:space="preserve">: </w:t>
      </w:r>
      <w:r w:rsidR="00C473A0">
        <w:t xml:space="preserve">ANAO </w:t>
      </w:r>
      <w:r w:rsidRPr="00FE73DE">
        <w:t>Table 3.1 Alignment between IBA’s business support activity purpose and government expectations</w:t>
      </w:r>
      <w:bookmarkEnd w:id="92"/>
      <w:r w:rsidRPr="00FE73DE">
        <w:t xml:space="preserve"> </w:t>
      </w:r>
    </w:p>
    <w:p w14:paraId="7D60E38F" w14:textId="0F24DCCB" w:rsidR="00210274" w:rsidRPr="00FE73DE" w:rsidRDefault="00210274" w:rsidP="00210274">
      <w:r w:rsidRPr="00FE73DE">
        <w:t xml:space="preserve">When considering governance roles, responsibilities and coordinating structures of IBA, ANAO </w:t>
      </w:r>
      <w:r w:rsidR="0083029A" w:rsidRPr="00FE73DE">
        <w:t>concluded that clear roles, responsibilities</w:t>
      </w:r>
      <w:r w:rsidR="00C06522">
        <w:t>,</w:t>
      </w:r>
      <w:r w:rsidR="0083029A" w:rsidRPr="00FE73DE">
        <w:t xml:space="preserve"> and structures had been established. Further</w:t>
      </w:r>
      <w:r w:rsidRPr="00FE73DE">
        <w:t>:</w:t>
      </w:r>
    </w:p>
    <w:p w14:paraId="0906DB0A" w14:textId="0AF6808B" w:rsidR="00210274" w:rsidRPr="00FE73DE" w:rsidRDefault="00210274" w:rsidP="00C96B94">
      <w:pPr>
        <w:pStyle w:val="Boxbullett"/>
        <w:ind w:left="567"/>
      </w:pPr>
      <w:r w:rsidRPr="00FE73DE">
        <w:t>In summary, IBA Board and committee papers demonstrate that governance arrangements are effectively applied in practice. IB</w:t>
      </w:r>
      <w:r w:rsidR="00C87EC9">
        <w:t>A</w:t>
      </w:r>
      <w:r w:rsidRPr="00FE73DE">
        <w:t xml:space="preserve"> and IBAAM apply the directions set out in the IBA Board and committee approved corporate documentation and internal policies.</w:t>
      </w:r>
      <w:r w:rsidR="0083029A" w:rsidRPr="00FE73DE">
        <w:rPr>
          <w:rStyle w:val="FootnoteReference"/>
          <w:i/>
        </w:rPr>
        <w:footnoteReference w:id="43"/>
      </w:r>
    </w:p>
    <w:p w14:paraId="49427084" w14:textId="1E8B0EF6" w:rsidR="00992D89" w:rsidRPr="00FE73DE" w:rsidRDefault="00D90143" w:rsidP="00D90143">
      <w:r w:rsidRPr="00FE73DE">
        <w:t xml:space="preserve">The </w:t>
      </w:r>
      <w:r w:rsidR="00D34CDC">
        <w:t xml:space="preserve">ANAO </w:t>
      </w:r>
      <w:r w:rsidRPr="00FE73DE">
        <w:t xml:space="preserve">findings </w:t>
      </w:r>
      <w:r w:rsidR="00C06522">
        <w:t>emphasised</w:t>
      </w:r>
      <w:r w:rsidRPr="00FE73DE">
        <w:t xml:space="preserve"> </w:t>
      </w:r>
      <w:r w:rsidR="0024199C">
        <w:t xml:space="preserve">there is </w:t>
      </w:r>
      <w:r w:rsidRPr="00FE73DE">
        <w:t>alignment to Indigenous owned businesses that commercial lenders consider too high risk</w:t>
      </w:r>
      <w:r w:rsidR="0024199C">
        <w:t>. Furthermore,</w:t>
      </w:r>
      <w:r w:rsidR="007969EC">
        <w:t xml:space="preserve"> </w:t>
      </w:r>
      <w:r w:rsidRPr="00FE73DE">
        <w:t>they are effective in delivering against the policy intent of the BSP</w:t>
      </w:r>
      <w:r w:rsidR="00C06522">
        <w:rPr>
          <w:rFonts w:ascii="Franklin Gothic Book" w:hAnsi="Franklin Gothic Book"/>
        </w:rPr>
        <w:t>—</w:t>
      </w:r>
      <w:r w:rsidR="0024199C">
        <w:rPr>
          <w:rFonts w:ascii="Franklin Gothic Book" w:hAnsi="Franklin Gothic Book"/>
        </w:rPr>
        <w:t>including</w:t>
      </w:r>
      <w:r w:rsidR="007969EC">
        <w:rPr>
          <w:rFonts w:ascii="Franklin Gothic Book" w:hAnsi="Franklin Gothic Book"/>
        </w:rPr>
        <w:t xml:space="preserve"> </w:t>
      </w:r>
      <w:r w:rsidR="0044053B" w:rsidRPr="00FE73DE">
        <w:t>an emphasis o</w:t>
      </w:r>
      <w:r w:rsidR="00C06522">
        <w:t>n</w:t>
      </w:r>
      <w:r w:rsidR="0044053B" w:rsidRPr="00FE73DE">
        <w:t xml:space="preserve"> supporting early stage and pre-bank customers</w:t>
      </w:r>
      <w:r w:rsidR="00992D89" w:rsidRPr="00FE73DE">
        <w:t>.</w:t>
      </w:r>
    </w:p>
    <w:p w14:paraId="10EA5AA0" w14:textId="0F4D0FFF" w:rsidR="00992D89" w:rsidRPr="00FE73DE" w:rsidRDefault="00992D89" w:rsidP="00D90143">
      <w:r w:rsidRPr="00FE73DE">
        <w:t xml:space="preserve">The </w:t>
      </w:r>
      <w:r w:rsidR="0044053B" w:rsidRPr="00FE73DE">
        <w:t>issues surrounding IBA’s governance and administrative processes, including</w:t>
      </w:r>
      <w:r w:rsidRPr="00FE73DE">
        <w:t xml:space="preserve"> performance reporting systems and processes being robust and effective was significantly addressed by ANAO </w:t>
      </w:r>
      <w:r w:rsidR="006942A7" w:rsidRPr="00FE73DE">
        <w:t xml:space="preserve">in the </w:t>
      </w:r>
      <w:r w:rsidRPr="00FE73DE">
        <w:t>2021</w:t>
      </w:r>
      <w:r w:rsidR="006942A7" w:rsidRPr="00FE73DE">
        <w:t xml:space="preserve"> report</w:t>
      </w:r>
      <w:r w:rsidRPr="00FE73DE">
        <w:t xml:space="preserve"> when answering the question </w:t>
      </w:r>
      <w:r w:rsidRPr="00FE73DE">
        <w:rPr>
          <w:i/>
          <w:iCs/>
        </w:rPr>
        <w:t>‘Are arrangements established and implemented to administer business support activities effective?’</w:t>
      </w:r>
      <w:r w:rsidRPr="00FE73DE">
        <w:t xml:space="preserve"> To answer this question</w:t>
      </w:r>
      <w:r w:rsidR="00C06522">
        <w:t>,</w:t>
      </w:r>
      <w:r w:rsidRPr="00FE73DE">
        <w:t xml:space="preserve"> ANAO reviewed business support policies and procedures, grant agreement reporting and customer engagement. ANAO concluded:</w:t>
      </w:r>
    </w:p>
    <w:p w14:paraId="345CB19E" w14:textId="21882575" w:rsidR="00992D89" w:rsidRPr="00FE73DE" w:rsidRDefault="00992D89" w:rsidP="0038672C">
      <w:pPr>
        <w:pStyle w:val="Boxbullett"/>
        <w:ind w:left="567"/>
      </w:pPr>
      <w:r w:rsidRPr="00FE73DE">
        <w:t>IBA has established appropriate policies and procedures to administer its business support activities but arrangements have not been effectively implemented. In many cases, transactions have not been administered consistently with procedures and record keeping is not sound. IBA’s methodologies for 11 of 16 grant agreement KPIs were appropriate, but IBA could not provide verifiable reporting against eight of 16 grant agreement KPIs due to data quality issues. IBA has effective arrangements in place to engage with existing and new customers.</w:t>
      </w:r>
      <w:r w:rsidRPr="00FE73DE">
        <w:rPr>
          <w:rStyle w:val="FootnoteReference"/>
          <w:rFonts w:eastAsiaTheme="minorHAnsi" w:cs="Calibri"/>
          <w:color w:val="000000"/>
          <w:sz w:val="23"/>
          <w:szCs w:val="23"/>
        </w:rPr>
        <w:footnoteReference w:id="44"/>
      </w:r>
    </w:p>
    <w:p w14:paraId="7F11B239" w14:textId="498EA8C8" w:rsidR="00741ECC" w:rsidRPr="00FE73DE" w:rsidRDefault="00741ECC" w:rsidP="00741ECC">
      <w:r w:rsidRPr="00FE73DE">
        <w:t>In response to ANAO’s finding and subsequent recommendation on documentation and record keeping, IBA advised that:</w:t>
      </w:r>
    </w:p>
    <w:p w14:paraId="4750945D" w14:textId="33BEDCB2" w:rsidR="00741ECC" w:rsidRPr="00FE73DE" w:rsidRDefault="00741ECC" w:rsidP="0038672C">
      <w:pPr>
        <w:pStyle w:val="Boxbullett"/>
        <w:ind w:left="567"/>
      </w:pPr>
      <w:r w:rsidRPr="00FE73DE">
        <w:t>…</w:t>
      </w:r>
      <w:r w:rsidR="00275F53" w:rsidRPr="00FE73DE">
        <w:t xml:space="preserve"> </w:t>
      </w:r>
      <w:r w:rsidRPr="00FE73DE">
        <w:t>IBA has undertaken significant work in the area of record keeping in the business support area, which has resulted in marked improvements. Continuous improvement activities in relation to record keeping that commenced during the audit fieldwork will continue and will be prioritised. IBA has developed procedures for ensuring compliance with relevant legislation, practices, agreements and guidelines. The Board thanks the ANAO for its input and feedback to this process, and for its engagement in re-sampling to independently test improvement in record keeping practices over the audit period. IBA is committed to continuous improvement in this area and will focus its quality assurance processes on these matters going forward to ensure these improved results are sustained.</w:t>
      </w:r>
      <w:r w:rsidRPr="00FE73DE">
        <w:rPr>
          <w:rStyle w:val="FootnoteReference"/>
          <w:rFonts w:eastAsiaTheme="minorHAnsi" w:cs="Calibri"/>
          <w:color w:val="000000"/>
          <w:sz w:val="23"/>
          <w:szCs w:val="23"/>
        </w:rPr>
        <w:footnoteReference w:id="45"/>
      </w:r>
      <w:r w:rsidRPr="00FE73DE">
        <w:t xml:space="preserve"> </w:t>
      </w:r>
    </w:p>
    <w:p w14:paraId="3F137E4B" w14:textId="62F98BCF" w:rsidR="00B96B70" w:rsidRPr="00FE73DE" w:rsidRDefault="001E6FAC" w:rsidP="00ED3D40">
      <w:r w:rsidRPr="00FE73DE">
        <w:t>Recognising the 12-month lapsed time since the ANAO report was tabled, IBA provided an update to the evaluation team on what steps IBA had taken to document/streamline the process for reporting on the number of start-up and pre-bank customers receiving business support services so that the reported figures c</w:t>
      </w:r>
      <w:r w:rsidR="00C06522">
        <w:t>ould</w:t>
      </w:r>
      <w:r w:rsidRPr="00FE73DE">
        <w:t xml:space="preserve"> be replicated by third parties. In June 2022, IBA advised:</w:t>
      </w:r>
    </w:p>
    <w:p w14:paraId="55045125" w14:textId="77777777" w:rsidR="001E6FAC" w:rsidRPr="00FE73DE" w:rsidRDefault="001E6FAC" w:rsidP="0038672C">
      <w:pPr>
        <w:pStyle w:val="Boxbullett"/>
        <w:ind w:left="567"/>
      </w:pPr>
      <w:r w:rsidRPr="00FE73DE">
        <w:t>The immediate steps the Program took to streamline the process included:</w:t>
      </w:r>
    </w:p>
    <w:p w14:paraId="21A9C9BE" w14:textId="2864D890" w:rsidR="001E6FAC" w:rsidRPr="00FE73DE" w:rsidRDefault="001E6FAC">
      <w:pPr>
        <w:pStyle w:val="Boxbullett"/>
        <w:numPr>
          <w:ilvl w:val="0"/>
          <w:numId w:val="26"/>
        </w:numPr>
      </w:pPr>
      <w:r w:rsidRPr="00FE73DE">
        <w:t xml:space="preserve">The creation of a ‘Performance Measure Record’ (PMR) which is a procedure setting out how the performance measure is calculated, including defining the methodology, definition, calculations, and processes. This allows our quality assurance team to check and provide assurance on our performance reporting.  </w:t>
      </w:r>
    </w:p>
    <w:p w14:paraId="09AD3493" w14:textId="417026F5" w:rsidR="001E6FAC" w:rsidRPr="00FE73DE" w:rsidRDefault="001E6FAC">
      <w:pPr>
        <w:pStyle w:val="Boxbullett"/>
        <w:numPr>
          <w:ilvl w:val="0"/>
          <w:numId w:val="26"/>
        </w:numPr>
      </w:pPr>
      <w:r w:rsidRPr="00FE73DE">
        <w:t>We have updated our internal guidance note (which is a standard operational procedure) for KPI 106.6 “Participation Services” to ensure the data collection is calculated accurately to report on the KPI; and  </w:t>
      </w:r>
    </w:p>
    <w:p w14:paraId="54C6A7DE" w14:textId="3DB893B9" w:rsidR="001E6FAC" w:rsidRPr="00FE73DE" w:rsidRDefault="001E6FAC">
      <w:pPr>
        <w:pStyle w:val="Boxbullett"/>
        <w:numPr>
          <w:ilvl w:val="0"/>
          <w:numId w:val="26"/>
        </w:numPr>
      </w:pPr>
      <w:r w:rsidRPr="00FE73DE">
        <w:t>Creating an excel spreadsheet to collect and collate data on Business Loans and Business Support services consistently and accurately for reporting on the above KPI.</w:t>
      </w:r>
    </w:p>
    <w:p w14:paraId="6422DFE4" w14:textId="77777777" w:rsidR="001E6FAC" w:rsidRPr="00FE73DE" w:rsidRDefault="001E6FAC" w:rsidP="0038672C">
      <w:pPr>
        <w:pStyle w:val="Boxbullett"/>
        <w:ind w:left="567"/>
      </w:pPr>
      <w:r w:rsidRPr="00FE73DE">
        <w:t xml:space="preserve">IBA has not undertaken any system enhancements to improve the calculation or recording of pre-bank customer data, as we are due to implement a new Core Banking System on 31 July 2022.  Once implemented, our services activities will be drawn from a single source data warehouse, which will standardise our reporting functions. </w:t>
      </w:r>
    </w:p>
    <w:p w14:paraId="3566B654" w14:textId="77777777" w:rsidR="001E6FAC" w:rsidRPr="00FE73DE" w:rsidRDefault="001E6FAC" w:rsidP="0038672C">
      <w:pPr>
        <w:pStyle w:val="Boxbullett"/>
        <w:ind w:left="567"/>
      </w:pPr>
      <w:r w:rsidRPr="00FE73DE">
        <w:t xml:space="preserve">Our Strategy and Innovation team also engaged an external consultant to assist in the quality assurance and checking of processes and documents for the participation measure. </w:t>
      </w:r>
    </w:p>
    <w:p w14:paraId="2BDD2475" w14:textId="371EB150" w:rsidR="00B96B70" w:rsidRPr="00FE73DE" w:rsidRDefault="001E6FAC" w:rsidP="0038672C">
      <w:pPr>
        <w:pStyle w:val="Boxbullett"/>
        <w:ind w:left="567"/>
      </w:pPr>
      <w:r w:rsidRPr="00FE73DE">
        <w:t>The consultant was satisfied with the steps taken to ensure the reporting measures could be followed and replicated by a third party.</w:t>
      </w:r>
    </w:p>
    <w:p w14:paraId="465AFE5E" w14:textId="575154E6" w:rsidR="00B96B70" w:rsidRPr="00FE73DE" w:rsidRDefault="001E6FAC" w:rsidP="00D45758">
      <w:r w:rsidRPr="00FE73DE">
        <w:t>The evaluation team was provided with considerable policy and procedural documentation from IBA.</w:t>
      </w:r>
      <w:r w:rsidR="00294757">
        <w:rPr>
          <w:rStyle w:val="FootnoteReference"/>
        </w:rPr>
        <w:footnoteReference w:id="46"/>
      </w:r>
      <w:r w:rsidRPr="00FE73DE">
        <w:t xml:space="preserve"> Consistent to the advice to ANAO, it was evident that considerable effort had gone into developing updated </w:t>
      </w:r>
      <w:r w:rsidR="00391692" w:rsidRPr="00FE73DE">
        <w:t xml:space="preserve">BSP </w:t>
      </w:r>
      <w:r w:rsidRPr="00FE73DE">
        <w:t>policies and procedures in relation to the delivery of business support services and associated commercial finance products</w:t>
      </w:r>
      <w:r w:rsidR="00391692" w:rsidRPr="00FE73DE">
        <w:t xml:space="preserve"> as part of the broader suite of Business Solutions documentation</w:t>
      </w:r>
      <w:r w:rsidRPr="00FE73DE">
        <w:t xml:space="preserve">. </w:t>
      </w:r>
      <w:r w:rsidR="00B36985" w:rsidRPr="00FE73DE">
        <w:t>In June 2022, IBA provided an additional summary of actions undertaken:</w:t>
      </w:r>
    </w:p>
    <w:p w14:paraId="7AF0CC3E" w14:textId="77777777" w:rsidR="00B36985" w:rsidRPr="00FE73DE" w:rsidRDefault="00B36985" w:rsidP="0038672C">
      <w:pPr>
        <w:pStyle w:val="Boxbullett"/>
        <w:ind w:left="567"/>
      </w:pPr>
      <w:r w:rsidRPr="00FE73DE">
        <w:t xml:space="preserve">As of June 2021, IBA rolled out updates to its key procedural documents in the Business Solutions program. This program of work included: </w:t>
      </w:r>
    </w:p>
    <w:p w14:paraId="02D8618F" w14:textId="071319C3" w:rsidR="00B36985" w:rsidRPr="00FE73DE" w:rsidRDefault="00B36985">
      <w:pPr>
        <w:pStyle w:val="Boxbullett"/>
        <w:numPr>
          <w:ilvl w:val="0"/>
          <w:numId w:val="26"/>
        </w:numPr>
      </w:pPr>
      <w:r w:rsidRPr="00FE73DE">
        <w:t xml:space="preserve">Streamlining existing Business Solutions policies and procedures for ease of staff use and to reduce complexity </w:t>
      </w:r>
    </w:p>
    <w:p w14:paraId="42236851" w14:textId="267E5E54" w:rsidR="00B36985" w:rsidRPr="00FE73DE" w:rsidRDefault="00B36985">
      <w:pPr>
        <w:pStyle w:val="Boxbullett"/>
        <w:numPr>
          <w:ilvl w:val="0"/>
          <w:numId w:val="26"/>
        </w:numPr>
      </w:pPr>
      <w:r w:rsidRPr="00FE73DE">
        <w:t>Training staff with the new procedures and handbooks, and</w:t>
      </w:r>
    </w:p>
    <w:p w14:paraId="6365BC33" w14:textId="175E4CDD" w:rsidR="00B36985" w:rsidRPr="00FE73DE" w:rsidRDefault="00B36985">
      <w:pPr>
        <w:pStyle w:val="Boxbullett"/>
        <w:numPr>
          <w:ilvl w:val="0"/>
          <w:numId w:val="26"/>
        </w:numPr>
      </w:pPr>
      <w:r w:rsidRPr="00FE73DE">
        <w:t>Testing to ensure staff compliance and adherence to the new documents.</w:t>
      </w:r>
    </w:p>
    <w:p w14:paraId="50F1DA07" w14:textId="77777777" w:rsidR="00B36985" w:rsidRPr="00FE73DE" w:rsidRDefault="00B36985" w:rsidP="0038672C">
      <w:pPr>
        <w:pStyle w:val="Boxbullett"/>
        <w:ind w:left="567"/>
      </w:pPr>
      <w:r w:rsidRPr="00FE73DE">
        <w:t xml:space="preserve">Assurance checks on the Program have been undertaken since 2021 by IBA’s quality assurance team, to ensure the Program’s compliance with relevant policies, procedures, guidance notes and legislative requirements (including in relation to record keeping). </w:t>
      </w:r>
    </w:p>
    <w:p w14:paraId="69460ECA" w14:textId="77777777" w:rsidR="00B36985" w:rsidRPr="00FE73DE" w:rsidRDefault="00B36985" w:rsidP="0038672C">
      <w:pPr>
        <w:pStyle w:val="Boxbullett"/>
        <w:ind w:left="567"/>
      </w:pPr>
      <w:r w:rsidRPr="00FE73DE">
        <w:t>A monthly sample is analysed across External Business Support, Commercial Finance products and loan management activities. These reviews (amongst other qualitative metrics), focus on collection, management and storage of customer information and IBA records within the Content Management system.</w:t>
      </w:r>
    </w:p>
    <w:p w14:paraId="3FB249D4" w14:textId="77777777" w:rsidR="00B36985" w:rsidRPr="00FE73DE" w:rsidRDefault="00B36985" w:rsidP="0038672C">
      <w:pPr>
        <w:pStyle w:val="Boxbullett"/>
        <w:ind w:left="567"/>
      </w:pPr>
      <w:r w:rsidRPr="00FE73DE">
        <w:t xml:space="preserve">In support of these changes to our documented policies and procedures, the quality assurance reviews conducted since implementation have highlighted an increase in compliance with document accuracy, completion, and storage where 62% of non-compliance is rated very low risk and 29% low risk.   </w:t>
      </w:r>
    </w:p>
    <w:p w14:paraId="35C719D1" w14:textId="77777777" w:rsidR="00B36985" w:rsidRPr="00FE73DE" w:rsidRDefault="00B36985" w:rsidP="0038672C">
      <w:pPr>
        <w:pStyle w:val="Boxbullett"/>
        <w:ind w:left="567"/>
      </w:pPr>
      <w:r w:rsidRPr="00FE73DE">
        <w:t>In addition to the above, an evaluation of the new Business Solutions Program policies and procedures framework was recently undertaken to evaluate whether the changes had resulted in improvements to the program. The evaluation concluded:</w:t>
      </w:r>
    </w:p>
    <w:p w14:paraId="32362B90" w14:textId="56BA66E3" w:rsidR="00B36985" w:rsidRPr="00FE73DE" w:rsidRDefault="00B36985">
      <w:pPr>
        <w:pStyle w:val="Boxbullett"/>
        <w:numPr>
          <w:ilvl w:val="0"/>
          <w:numId w:val="26"/>
        </w:numPr>
      </w:pPr>
      <w:r w:rsidRPr="00FE73DE">
        <w:t>the consolidation of Business Solutions policies and procedures has achieved its primary purpose of improving operating efficiency within Business Solutions</w:t>
      </w:r>
    </w:p>
    <w:p w14:paraId="6331F579" w14:textId="5246207D" w:rsidR="00B36985" w:rsidRPr="00FE73DE" w:rsidRDefault="00B36985">
      <w:pPr>
        <w:pStyle w:val="Boxbullett"/>
        <w:numPr>
          <w:ilvl w:val="0"/>
          <w:numId w:val="26"/>
        </w:numPr>
      </w:pPr>
      <w:r w:rsidRPr="00FE73DE">
        <w:t xml:space="preserve">The Framework removes significant ambiguity and confusion for staff to process Business Solutions applications, providing staff a single source of knowledge. </w:t>
      </w:r>
    </w:p>
    <w:p w14:paraId="08E0993F" w14:textId="46186F84" w:rsidR="00546EB0" w:rsidRDefault="00546EB0" w:rsidP="00546EB0">
      <w:pPr>
        <w:rPr>
          <w:szCs w:val="24"/>
        </w:rPr>
      </w:pPr>
      <w:r>
        <w:t xml:space="preserve">The review of IBA internal policy enabled a comprehensive assessment of the change in IBA’s risk appetite and associated credit risk policy parameters </w:t>
      </w:r>
      <w:r w:rsidR="006056F5">
        <w:t>(</w:t>
      </w:r>
      <w:r>
        <w:t>that underpinned the move from a direct appropriation to the grant arrangement in 2016</w:t>
      </w:r>
      <w:r w:rsidR="006056F5">
        <w:t>—</w:t>
      </w:r>
      <w:r>
        <w:t xml:space="preserve">see Appendix A) and the current </w:t>
      </w:r>
      <w:r w:rsidR="006056F5">
        <w:t xml:space="preserve">credit risk </w:t>
      </w:r>
      <w:r>
        <w:t>policy. T</w:t>
      </w:r>
      <w:r w:rsidRPr="00C361B7">
        <w:rPr>
          <w:szCs w:val="24"/>
        </w:rPr>
        <w:t xml:space="preserve">he policy </w:t>
      </w:r>
      <w:r w:rsidR="006056F5">
        <w:rPr>
          <w:szCs w:val="24"/>
        </w:rPr>
        <w:t xml:space="preserve">parameters </w:t>
      </w:r>
      <w:r w:rsidRPr="00C361B7">
        <w:rPr>
          <w:szCs w:val="24"/>
        </w:rPr>
        <w:t xml:space="preserve">previously restricting the level of support to BSP target cohorts of early stage and high risk customers are no longer </w:t>
      </w:r>
      <w:r w:rsidR="006056F5">
        <w:rPr>
          <w:szCs w:val="24"/>
        </w:rPr>
        <w:t>specified</w:t>
      </w:r>
      <w:r w:rsidRPr="00C361B7">
        <w:rPr>
          <w:szCs w:val="24"/>
        </w:rPr>
        <w:t xml:space="preserve">. This means that as long as these applicants can satisfy IBA’s leading principles and criteria, these businesses can be supported. </w:t>
      </w:r>
      <w:r w:rsidR="006056F5">
        <w:rPr>
          <w:szCs w:val="24"/>
        </w:rPr>
        <w:t xml:space="preserve">The policy documents are also silent on </w:t>
      </w:r>
      <w:r w:rsidRPr="00C361B7">
        <w:rPr>
          <w:szCs w:val="24"/>
        </w:rPr>
        <w:t>the underlying source of funding</w:t>
      </w:r>
      <w:r w:rsidR="006056F5">
        <w:rPr>
          <w:szCs w:val="24"/>
        </w:rPr>
        <w:t>, meaning the policies and procedures apply to all funding modalities.</w:t>
      </w:r>
      <w:r w:rsidRPr="00C361B7">
        <w:rPr>
          <w:szCs w:val="24"/>
        </w:rPr>
        <w:t xml:space="preserve"> </w:t>
      </w:r>
      <w:r>
        <w:rPr>
          <w:szCs w:val="24"/>
        </w:rPr>
        <w:t>This means there is no longer a policy-driven need for the grant arrangement and funding could be returned as a direct appropriation.</w:t>
      </w:r>
    </w:p>
    <w:p w14:paraId="0B73E09B" w14:textId="7718EEE4" w:rsidR="00D34CDC" w:rsidRDefault="00D77FA7" w:rsidP="00F97861">
      <w:r w:rsidRPr="00FE73DE">
        <w:t xml:space="preserve">The availability </w:t>
      </w:r>
      <w:r w:rsidR="008632E7" w:rsidRPr="00FE73DE">
        <w:t xml:space="preserve">and provision </w:t>
      </w:r>
      <w:r w:rsidRPr="00FE73DE">
        <w:t xml:space="preserve">of usable customer data </w:t>
      </w:r>
      <w:r w:rsidR="008632E7" w:rsidRPr="00FE73DE">
        <w:t xml:space="preserve">to the evaluation team </w:t>
      </w:r>
      <w:r w:rsidRPr="00FE73DE">
        <w:t>across the various service offerings (internal business support, external business support</w:t>
      </w:r>
      <w:r w:rsidR="00CC329C">
        <w:t>,</w:t>
      </w:r>
      <w:r w:rsidRPr="00FE73DE">
        <w:t xml:space="preserve"> and financial products) </w:t>
      </w:r>
      <w:r w:rsidR="0044053B" w:rsidRPr="00FE73DE">
        <w:t xml:space="preserve">for analysis </w:t>
      </w:r>
      <w:r w:rsidRPr="00FE73DE">
        <w:t>was poor.</w:t>
      </w:r>
      <w:r w:rsidR="001D67F5">
        <w:t xml:space="preserve"> This was based on the inability to extract relevant and suitable data from the existing BSP CRM.</w:t>
      </w:r>
      <w:r w:rsidR="00C473A0">
        <w:rPr>
          <w:rStyle w:val="FootnoteReference"/>
        </w:rPr>
        <w:footnoteReference w:id="47"/>
      </w:r>
      <w:r w:rsidR="001D67F5">
        <w:t xml:space="preserve"> </w:t>
      </w:r>
    </w:p>
    <w:p w14:paraId="036F22FA" w14:textId="1525DAB9" w:rsidR="00D248E4" w:rsidRPr="00FE73DE" w:rsidRDefault="00DF679A" w:rsidP="00F97861">
      <w:r w:rsidRPr="00FE73DE">
        <w:t>Notwithstanding the limitations in the IBA customer data, the evaluation was able to diagrammatically map the variability of an IBA customer journey through the BSP and the opportunity for multiple instances of support to be provided over the life of the relationship (</w:t>
      </w:r>
      <w:r w:rsidR="00B8100C">
        <w:t xml:space="preserve">as shown earlier at </w:t>
      </w:r>
      <w:r w:rsidR="00B8100C">
        <w:fldChar w:fldCharType="begin"/>
      </w:r>
      <w:r w:rsidR="00B8100C">
        <w:instrText xml:space="preserve"> REF _Ref123580809 \h </w:instrText>
      </w:r>
      <w:r w:rsidR="00B8100C">
        <w:fldChar w:fldCharType="separate"/>
      </w:r>
      <w:r w:rsidR="004718C9" w:rsidRPr="00FE73DE">
        <w:t xml:space="preserve">Figure </w:t>
      </w:r>
      <w:r w:rsidR="004718C9">
        <w:rPr>
          <w:noProof/>
        </w:rPr>
        <w:t>2</w:t>
      </w:r>
      <w:r w:rsidR="00B8100C">
        <w:fldChar w:fldCharType="end"/>
      </w:r>
      <w:r w:rsidR="00B8100C">
        <w:t xml:space="preserve"> and below</w:t>
      </w:r>
      <w:r w:rsidR="00C473A0">
        <w:t xml:space="preserve"> </w:t>
      </w:r>
      <w:r w:rsidR="00C473A0">
        <w:fldChar w:fldCharType="begin"/>
      </w:r>
      <w:r w:rsidR="00C473A0">
        <w:instrText xml:space="preserve"> REF _Ref104989915 \h </w:instrText>
      </w:r>
      <w:r w:rsidR="00C473A0">
        <w:fldChar w:fldCharType="separate"/>
      </w:r>
      <w:r w:rsidR="004718C9" w:rsidRPr="00FE73DE">
        <w:t xml:space="preserve">Figure </w:t>
      </w:r>
      <w:r w:rsidR="004718C9">
        <w:rPr>
          <w:noProof/>
        </w:rPr>
        <w:t>24</w:t>
      </w:r>
      <w:r w:rsidR="00C473A0">
        <w:fldChar w:fldCharType="end"/>
      </w:r>
      <w:r w:rsidRPr="00FE73DE">
        <w:t xml:space="preserve">). </w:t>
      </w:r>
    </w:p>
    <w:p w14:paraId="1BE36F11" w14:textId="7F28AF45" w:rsidR="00B72234" w:rsidRPr="00FE73DE" w:rsidRDefault="00B72234" w:rsidP="0038672C">
      <w:pPr>
        <w:jc w:val="center"/>
      </w:pPr>
      <w:r w:rsidRPr="00FE73DE">
        <w:rPr>
          <w:noProof/>
          <w:lang w:eastAsia="en-AU"/>
        </w:rPr>
        <w:drawing>
          <wp:inline distT="0" distB="0" distL="0" distR="0" wp14:anchorId="56D8F0F0" wp14:editId="5B9FFF3A">
            <wp:extent cx="4572009" cy="4962154"/>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4572009" cy="4962154"/>
                    </a:xfrm>
                    <a:prstGeom prst="rect">
                      <a:avLst/>
                    </a:prstGeom>
                  </pic:spPr>
                </pic:pic>
              </a:graphicData>
            </a:graphic>
          </wp:inline>
        </w:drawing>
      </w:r>
    </w:p>
    <w:p w14:paraId="69F443BA" w14:textId="530CAF0B" w:rsidR="00D248E4" w:rsidRPr="00FE73DE" w:rsidRDefault="00D248E4" w:rsidP="0038672C">
      <w:pPr>
        <w:pStyle w:val="Caption"/>
        <w:keepNext/>
        <w:spacing w:after="0"/>
      </w:pPr>
      <w:bookmarkStart w:id="93" w:name="_Ref104989915"/>
      <w:r w:rsidRPr="00FE73DE">
        <w:t xml:space="preserve">Figure </w:t>
      </w:r>
      <w:fldSimple w:instr=" SEQ Figure \* ARABIC ">
        <w:r w:rsidR="004718C9">
          <w:rPr>
            <w:noProof/>
          </w:rPr>
          <w:t>24</w:t>
        </w:r>
      </w:fldSimple>
      <w:bookmarkEnd w:id="93"/>
      <w:r w:rsidRPr="00FE73DE">
        <w:t>: IBA customer journey under the BSP</w:t>
      </w:r>
    </w:p>
    <w:p w14:paraId="791FD590" w14:textId="23BC4B96" w:rsidR="00D248E4" w:rsidRPr="00FE73DE" w:rsidRDefault="00D248E4" w:rsidP="0038672C">
      <w:pPr>
        <w:pStyle w:val="TableNote"/>
      </w:pPr>
      <w:r w:rsidRPr="00FE73DE">
        <w:t>Source: Sustineo</w:t>
      </w:r>
      <w:r w:rsidR="009D7881" w:rsidRPr="00FE73DE">
        <w:t xml:space="preserve"> based IBA data and stakeholder experiences</w:t>
      </w:r>
    </w:p>
    <w:p w14:paraId="52A5B295" w14:textId="2C502B93" w:rsidR="00A74B0E" w:rsidRPr="00FE73DE" w:rsidRDefault="00A74B0E" w:rsidP="006B3C5E">
      <w:r w:rsidRPr="00FE73DE">
        <w:t>Stakeholder discussions highlighted that there are various scenarios where initial enquiries d</w:t>
      </w:r>
      <w:r w:rsidR="004D20AC">
        <w:t xml:space="preserve">oes </w:t>
      </w:r>
      <w:r w:rsidRPr="00FE73DE">
        <w:t xml:space="preserve">not lead </w:t>
      </w:r>
      <w:r w:rsidR="004D20AC">
        <w:t>to a specific BSP service or support, for example if a business simply wanted assistance to create an ABN or get a registered business name</w:t>
      </w:r>
      <w:r w:rsidRPr="00FE73DE">
        <w:t xml:space="preserve">. </w:t>
      </w:r>
      <w:r w:rsidR="004D20AC">
        <w:t xml:space="preserve">More extensive examples were provided in business survey responses where a potential customer reached out to IBA but did not hear back. </w:t>
      </w:r>
      <w:r w:rsidRPr="00FE73DE">
        <w:t xml:space="preserve">This </w:t>
      </w:r>
      <w:r w:rsidR="004D20AC">
        <w:t xml:space="preserve">later example </w:t>
      </w:r>
      <w:r w:rsidRPr="00FE73DE">
        <w:t xml:space="preserve">has been illustrated in the above diagram as being ‘lost from the system’. Key themes on when and how this </w:t>
      </w:r>
      <w:r w:rsidR="00DA3284" w:rsidRPr="00FE73DE">
        <w:t>occur</w:t>
      </w:r>
      <w:r w:rsidR="00DA3284">
        <w:t>red</w:t>
      </w:r>
      <w:r w:rsidRPr="00FE73DE">
        <w:t xml:space="preserve"> was explored earlier under section 4.1.5. Understanding the level of demand through initial enquiries and a better appreciation of why parties may get ‘lost’ is an area that warrants further consideration in any future program. </w:t>
      </w:r>
    </w:p>
    <w:p w14:paraId="43742B4A" w14:textId="77777777" w:rsidR="00BF721A" w:rsidRDefault="00644CAD" w:rsidP="00D45758">
      <w:r w:rsidRPr="00FE73DE">
        <w:t xml:space="preserve">The provision of external business support is guided by the development of an </w:t>
      </w:r>
      <w:r w:rsidR="00AC6B21" w:rsidRPr="00FE73DE">
        <w:t>‘A</w:t>
      </w:r>
      <w:r w:rsidRPr="00FE73DE">
        <w:t xml:space="preserve">ction </w:t>
      </w:r>
      <w:r w:rsidR="00AC6B21" w:rsidRPr="00FE73DE">
        <w:t>P</w:t>
      </w:r>
      <w:r w:rsidRPr="00FE73DE">
        <w:t>lan</w:t>
      </w:r>
      <w:r w:rsidR="00AC6B21" w:rsidRPr="00FE73DE">
        <w:t>’</w:t>
      </w:r>
      <w:r w:rsidRPr="00FE73DE">
        <w:t xml:space="preserve"> initially between an IBA customer and IBA staff. This plan guides the parameters of support contracted by IBA to an external provider. IBA’s current BSP CRM is not able to readily present the nature of this support through standard definitions</w:t>
      </w:r>
      <w:r w:rsidR="00AC6B21" w:rsidRPr="00FE73DE">
        <w:t>/categories</w:t>
      </w:r>
      <w:r w:rsidRPr="00FE73DE">
        <w:t xml:space="preserve"> of support. Rather, the financial value of the contracted support is recorded and tracked. </w:t>
      </w:r>
    </w:p>
    <w:p w14:paraId="3AF9060D" w14:textId="56F52EC4" w:rsidR="00DA3284" w:rsidRDefault="00C80288" w:rsidP="00D45758">
      <w:r>
        <w:t xml:space="preserve">As noted under limitations, it is the financial value of the contracted support </w:t>
      </w:r>
      <w:r w:rsidR="00644CAD" w:rsidRPr="00FE73DE">
        <w:t>that underpin</w:t>
      </w:r>
      <w:r w:rsidR="00DA3284">
        <w:t>ned</w:t>
      </w:r>
      <w:r w:rsidR="00644CAD" w:rsidRPr="00FE73DE">
        <w:t xml:space="preserve"> IBA’s reporting on external business support, and what was provided to the evaluation team. While this information enabled some analysis in relation to customer demographics receiving </w:t>
      </w:r>
      <w:r w:rsidR="00AC6B21" w:rsidRPr="00FE73DE">
        <w:t xml:space="preserve">external business </w:t>
      </w:r>
      <w:r w:rsidR="00644CAD" w:rsidRPr="00FE73DE">
        <w:t>support, it was insufficient for analysis on the overall types of actual assistance being provided across the country</w:t>
      </w:r>
      <w:r w:rsidR="00AC6B21" w:rsidRPr="00FE73DE">
        <w:t xml:space="preserve">. It was also insufficient to enable any </w:t>
      </w:r>
      <w:r w:rsidR="00644CAD" w:rsidRPr="00FE73DE">
        <w:t xml:space="preserve">patterns of </w:t>
      </w:r>
      <w:r w:rsidR="00AC6B21" w:rsidRPr="00FE73DE">
        <w:t xml:space="preserve">demand for </w:t>
      </w:r>
      <w:r w:rsidR="00644CAD" w:rsidRPr="00FE73DE">
        <w:t xml:space="preserve">assistance </w:t>
      </w:r>
      <w:r w:rsidR="00AC6B21" w:rsidRPr="00FE73DE">
        <w:t>to be identified.</w:t>
      </w:r>
      <w:r w:rsidR="00644CAD" w:rsidRPr="00FE73DE">
        <w:t xml:space="preserve"> </w:t>
      </w:r>
    </w:p>
    <w:p w14:paraId="6E10C7A5" w14:textId="493EBE5F" w:rsidR="00D45758" w:rsidRPr="00FE73DE" w:rsidRDefault="00CB50C2" w:rsidP="00D45758">
      <w:r w:rsidRPr="00FE73DE">
        <w:t>The evaluation team understands that the shortfalls in the</w:t>
      </w:r>
      <w:r w:rsidR="00B10A58" w:rsidRPr="00FE73DE">
        <w:t xml:space="preserve"> availability of</w:t>
      </w:r>
      <w:r w:rsidRPr="00FE73DE">
        <w:t xml:space="preserve"> customer data for assessment is due to significant systems issues </w:t>
      </w:r>
      <w:r w:rsidR="00B522CF" w:rsidRPr="00FE73DE">
        <w:t xml:space="preserve">associated with </w:t>
      </w:r>
      <w:r w:rsidRPr="00FE73DE">
        <w:t xml:space="preserve">IBA’s </w:t>
      </w:r>
      <w:r w:rsidR="00DA4B83" w:rsidRPr="00FE73DE">
        <w:t xml:space="preserve">business </w:t>
      </w:r>
      <w:r w:rsidR="00B522CF" w:rsidRPr="00FE73DE">
        <w:t>CRM</w:t>
      </w:r>
      <w:r w:rsidRPr="00FE73DE">
        <w:t xml:space="preserve">. </w:t>
      </w:r>
      <w:r w:rsidR="00C80288">
        <w:t>T</w:t>
      </w:r>
      <w:r w:rsidR="00B522CF" w:rsidRPr="00FE73DE">
        <w:t xml:space="preserve">he </w:t>
      </w:r>
      <w:r w:rsidR="00C80288">
        <w:t xml:space="preserve">current </w:t>
      </w:r>
      <w:r w:rsidR="00B522CF" w:rsidRPr="00FE73DE">
        <w:t xml:space="preserve">system </w:t>
      </w:r>
      <w:r w:rsidR="00C80288">
        <w:t xml:space="preserve">does not enable </w:t>
      </w:r>
      <w:r w:rsidR="00B522CF" w:rsidRPr="00FE73DE">
        <w:t>this level of data extraction and analysis</w:t>
      </w:r>
      <w:r w:rsidR="001D6398" w:rsidRPr="00FE73DE">
        <w:t xml:space="preserve"> to be readily completed</w:t>
      </w:r>
      <w:r w:rsidR="00B522CF" w:rsidRPr="00FE73DE">
        <w:t>.</w:t>
      </w:r>
      <w:r w:rsidR="00D248E4" w:rsidRPr="00FE73DE">
        <w:t xml:space="preserve"> No overarching, comprehensive program specific CRM was established at the commencement of the BSP grant arrangement to allow for such insight to be readily obtained.</w:t>
      </w:r>
      <w:r w:rsidR="001A6348" w:rsidRPr="00FE73DE">
        <w:t xml:space="preserve"> </w:t>
      </w:r>
      <w:r w:rsidR="00D45758" w:rsidRPr="00FE73DE">
        <w:t xml:space="preserve">In response to an evaluation request seeking an </w:t>
      </w:r>
      <w:r w:rsidR="00B36985" w:rsidRPr="00FE73DE">
        <w:t>update on the</w:t>
      </w:r>
      <w:r w:rsidR="00D45758" w:rsidRPr="00FE73DE">
        <w:t xml:space="preserve"> current status of the CRM, </w:t>
      </w:r>
      <w:r w:rsidR="00B36985" w:rsidRPr="00FE73DE">
        <w:t xml:space="preserve">in June 2022 </w:t>
      </w:r>
      <w:r w:rsidR="00D45758" w:rsidRPr="00FE73DE">
        <w:t>IBA advised:</w:t>
      </w:r>
    </w:p>
    <w:p w14:paraId="1AADF569" w14:textId="77777777" w:rsidR="00D45758" w:rsidRPr="00FE73DE" w:rsidRDefault="00D45758" w:rsidP="0038672C">
      <w:pPr>
        <w:pStyle w:val="Boxbullett"/>
        <w:ind w:left="567"/>
      </w:pPr>
      <w:r w:rsidRPr="00FE73DE">
        <w:t>Business Solutions use Microsoft Dynamics CRM to manage the process flows for all the different Business Support services offered and while the original design is workable, major improvements are required to meet current business objectives. Identified shortcomings have been included within IBA’s Digital Transformation demand pipeline and resources are currently being identified to undertake identified improvements.</w:t>
      </w:r>
    </w:p>
    <w:p w14:paraId="1EAC81EE" w14:textId="77777777" w:rsidR="00D45758" w:rsidRPr="00FE73DE" w:rsidRDefault="00D45758" w:rsidP="0038672C">
      <w:pPr>
        <w:pStyle w:val="Boxbullett"/>
        <w:ind w:left="567"/>
      </w:pPr>
      <w:r w:rsidRPr="00FE73DE">
        <w:t>The program is currently finalising its CRM requirements which include:</w:t>
      </w:r>
    </w:p>
    <w:p w14:paraId="5B01578F" w14:textId="77777777" w:rsidR="00D45758" w:rsidRPr="00FE73DE" w:rsidRDefault="00D45758">
      <w:pPr>
        <w:pStyle w:val="Boxbullett"/>
        <w:numPr>
          <w:ilvl w:val="0"/>
          <w:numId w:val="22"/>
        </w:numPr>
      </w:pPr>
      <w:r w:rsidRPr="00FE73DE">
        <w:t xml:space="preserve">Enhance the current capability of the CRM to align with current and future business requirements. </w:t>
      </w:r>
    </w:p>
    <w:p w14:paraId="5D88E975" w14:textId="77777777" w:rsidR="00D45758" w:rsidRPr="00FE73DE" w:rsidRDefault="00D45758">
      <w:pPr>
        <w:pStyle w:val="Boxbullett"/>
        <w:numPr>
          <w:ilvl w:val="0"/>
          <w:numId w:val="22"/>
        </w:numPr>
      </w:pPr>
      <w:r w:rsidRPr="00FE73DE">
        <w:t xml:space="preserve">Accurately capture and manage all components of a customer journey. </w:t>
      </w:r>
    </w:p>
    <w:p w14:paraId="6871058B" w14:textId="77777777" w:rsidR="00D45758" w:rsidRPr="00FE73DE" w:rsidRDefault="00D45758">
      <w:pPr>
        <w:pStyle w:val="Boxbullett"/>
        <w:numPr>
          <w:ilvl w:val="0"/>
          <w:numId w:val="22"/>
        </w:numPr>
      </w:pPr>
      <w:r w:rsidRPr="00FE73DE">
        <w:t>Improve usability for staff through updated work flows reflecting the current and future customer journey.</w:t>
      </w:r>
    </w:p>
    <w:p w14:paraId="52EE8FBE" w14:textId="77777777" w:rsidR="00D45758" w:rsidRPr="00FE73DE" w:rsidRDefault="00D45758">
      <w:pPr>
        <w:pStyle w:val="Boxbullett"/>
        <w:numPr>
          <w:ilvl w:val="0"/>
          <w:numId w:val="22"/>
        </w:numPr>
      </w:pPr>
      <w:r w:rsidRPr="00FE73DE">
        <w:t xml:space="preserve">Pre-populate and capture of customer information. </w:t>
      </w:r>
    </w:p>
    <w:p w14:paraId="250D5B98" w14:textId="77777777" w:rsidR="00D45758" w:rsidRPr="00FE73DE" w:rsidRDefault="00D45758">
      <w:pPr>
        <w:pStyle w:val="Boxbullett"/>
        <w:numPr>
          <w:ilvl w:val="0"/>
          <w:numId w:val="22"/>
        </w:numPr>
      </w:pPr>
      <w:r w:rsidRPr="00FE73DE">
        <w:t xml:space="preserve">Integration of CRM with content manager to capture customer provided information into CRM to increase data integrity and reduce duplication of effort. </w:t>
      </w:r>
    </w:p>
    <w:p w14:paraId="0C7F9B75" w14:textId="77777777" w:rsidR="00D45758" w:rsidRPr="00FE73DE" w:rsidRDefault="00D45758">
      <w:pPr>
        <w:pStyle w:val="Boxbullett"/>
        <w:numPr>
          <w:ilvl w:val="0"/>
          <w:numId w:val="22"/>
        </w:numPr>
      </w:pPr>
      <w:r w:rsidRPr="00FE73DE">
        <w:t>Allow for detailed reporting for end to end visibility of customer outcomes and to enable continuous improvement.</w:t>
      </w:r>
    </w:p>
    <w:p w14:paraId="167B84B0" w14:textId="77777777" w:rsidR="00D45758" w:rsidRPr="00FE73DE" w:rsidRDefault="00D45758" w:rsidP="0038672C">
      <w:pPr>
        <w:pStyle w:val="Boxbullett"/>
        <w:ind w:left="567"/>
      </w:pPr>
      <w:r w:rsidRPr="00FE73DE">
        <w:t>It is anticipated that the improvements to IBA’s CRM will be implemented by 30 September 2022.</w:t>
      </w:r>
    </w:p>
    <w:p w14:paraId="3C7BFF07" w14:textId="77777777" w:rsidR="00AC6B21" w:rsidRPr="00FE73DE" w:rsidRDefault="00AC6B21" w:rsidP="00AC6B21">
      <w:r w:rsidRPr="00FE73DE">
        <w:t xml:space="preserve">The detail associated with external business support contracts is a valuable source of intelligence that is currently not readily reported on in the BSP performance reports. The introduction of the new business CRM provides an opportunity to better extract this information and have it available to inform future support initiatives. </w:t>
      </w:r>
    </w:p>
    <w:p w14:paraId="58F32B63" w14:textId="7350C33C" w:rsidR="00AC6B21" w:rsidRPr="00FE73DE" w:rsidRDefault="00B36985" w:rsidP="00B522CF">
      <w:r w:rsidRPr="00FE73DE">
        <w:t xml:space="preserve">These anticipated improvements in the </w:t>
      </w:r>
      <w:r w:rsidR="00B605BD" w:rsidRPr="00FE73DE">
        <w:t xml:space="preserve">IBA </w:t>
      </w:r>
      <w:r w:rsidRPr="00FE73DE">
        <w:t xml:space="preserve">Business Solutions CRM </w:t>
      </w:r>
      <w:r w:rsidR="00E52BA0">
        <w:t>may</w:t>
      </w:r>
      <w:r w:rsidR="00C80288">
        <w:t xml:space="preserve"> go </w:t>
      </w:r>
      <w:r w:rsidRPr="00FE73DE">
        <w:t xml:space="preserve">some way to address the shortfalls identified </w:t>
      </w:r>
      <w:r w:rsidR="00A74B0E" w:rsidRPr="00FE73DE">
        <w:t>in available</w:t>
      </w:r>
      <w:r w:rsidRPr="00FE73DE">
        <w:t xml:space="preserve"> customer data across the various service offerings </w:t>
      </w:r>
      <w:r w:rsidR="00AC6B21" w:rsidRPr="00FE73DE">
        <w:t>of the BSP</w:t>
      </w:r>
      <w:r w:rsidR="0002300B" w:rsidRPr="00FE73DE">
        <w:t>.</w:t>
      </w:r>
    </w:p>
    <w:p w14:paraId="0DC67D3C" w14:textId="191C00B3" w:rsidR="008B137B" w:rsidRPr="00FE73DE" w:rsidRDefault="008B137B">
      <w:pPr>
        <w:pStyle w:val="Heading1"/>
      </w:pPr>
      <w:bookmarkStart w:id="94" w:name="_Toc123734710"/>
      <w:bookmarkStart w:id="95" w:name="_Toc94116389"/>
      <w:r w:rsidRPr="00FE73DE">
        <w:t xml:space="preserve">Program </w:t>
      </w:r>
      <w:r w:rsidR="00B11880">
        <w:t>o</w:t>
      </w:r>
      <w:r w:rsidRPr="00FE73DE">
        <w:t>utcomes</w:t>
      </w:r>
      <w:r w:rsidR="00504BD1" w:rsidRPr="00FE73DE">
        <w:t xml:space="preserve"> of</w:t>
      </w:r>
      <w:r w:rsidR="00B11880">
        <w:t xml:space="preserve"> the</w:t>
      </w:r>
      <w:r w:rsidR="00504BD1" w:rsidRPr="00FE73DE">
        <w:t xml:space="preserve"> BSP</w:t>
      </w:r>
      <w:bookmarkEnd w:id="94"/>
    </w:p>
    <w:p w14:paraId="3C9D7D6E" w14:textId="11B42ECD" w:rsidR="00EE61BD" w:rsidRPr="00FE73DE" w:rsidRDefault="00753A5F" w:rsidP="000443B3">
      <w:r w:rsidRPr="00FE73DE">
        <w:t>This section</w:t>
      </w:r>
      <w:r w:rsidR="00362BAA" w:rsidRPr="00FE73DE">
        <w:t xml:space="preserve"> </w:t>
      </w:r>
      <w:r w:rsidR="00504BD1" w:rsidRPr="00FE73DE">
        <w:t>examines the achievement of BSP outcomes</w:t>
      </w:r>
      <w:r w:rsidR="00536056">
        <w:t>,</w:t>
      </w:r>
      <w:r w:rsidR="00504BD1" w:rsidRPr="00FE73DE">
        <w:t xml:space="preserve"> including</w:t>
      </w:r>
      <w:r w:rsidR="00362BAA" w:rsidRPr="00FE73DE">
        <w:t>:</w:t>
      </w:r>
    </w:p>
    <w:p w14:paraId="525F9DA2" w14:textId="121978DE" w:rsidR="00EE61BD" w:rsidRPr="00FE73DE" w:rsidRDefault="00EE61BD">
      <w:pPr>
        <w:pStyle w:val="ListBullet"/>
      </w:pPr>
      <w:r w:rsidRPr="00FE73DE">
        <w:t>Has the BSP achieved its short-term outcomes?</w:t>
      </w:r>
    </w:p>
    <w:p w14:paraId="392F2C64" w14:textId="763E931F" w:rsidR="00EE61BD" w:rsidRPr="00FE73DE" w:rsidRDefault="00EE61BD">
      <w:pPr>
        <w:pStyle w:val="ListBullet"/>
      </w:pPr>
      <w:r w:rsidRPr="00FE73DE">
        <w:t>Has the BSP achieved its medium-term outcomes?</w:t>
      </w:r>
    </w:p>
    <w:p w14:paraId="61C6B851" w14:textId="5A846B9E" w:rsidR="00EE61BD" w:rsidRPr="00FE73DE" w:rsidRDefault="00EE61BD">
      <w:pPr>
        <w:pStyle w:val="ListBullet"/>
      </w:pPr>
      <w:r w:rsidRPr="00FE73DE">
        <w:t>Has the BSP achieved its long-term outcomes?</w:t>
      </w:r>
    </w:p>
    <w:p w14:paraId="55768C90" w14:textId="5281CE44" w:rsidR="00E816FB" w:rsidRPr="00FE73DE" w:rsidRDefault="00E816FB" w:rsidP="00E816FB">
      <w:pPr>
        <w:spacing w:after="120" w:line="240" w:lineRule="auto"/>
        <w:rPr>
          <w:szCs w:val="24"/>
        </w:rPr>
      </w:pPr>
      <w:r w:rsidRPr="00FE73DE">
        <w:rPr>
          <w:noProof/>
          <w:lang w:eastAsia="en-AU"/>
        </w:rPr>
        <mc:AlternateContent>
          <mc:Choice Requires="wps">
            <w:drawing>
              <wp:anchor distT="45720" distB="45720" distL="114300" distR="114300" simplePos="0" relativeHeight="251658242" behindDoc="0" locked="0" layoutInCell="1" allowOverlap="1" wp14:anchorId="5E83C84C" wp14:editId="714CF256">
                <wp:simplePos x="0" y="0"/>
                <wp:positionH relativeFrom="column">
                  <wp:posOffset>-32385</wp:posOffset>
                </wp:positionH>
                <wp:positionV relativeFrom="paragraph">
                  <wp:posOffset>456565</wp:posOffset>
                </wp:positionV>
                <wp:extent cx="5681980" cy="2655570"/>
                <wp:effectExtent l="0" t="0" r="13970" b="1143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2655570"/>
                        </a:xfrm>
                        <a:prstGeom prst="rect">
                          <a:avLst/>
                        </a:prstGeom>
                        <a:solidFill>
                          <a:srgbClr val="FFFFFF"/>
                        </a:solidFill>
                        <a:ln w="9525">
                          <a:solidFill>
                            <a:srgbClr val="000000"/>
                          </a:solidFill>
                          <a:miter lim="800000"/>
                          <a:headEnd/>
                          <a:tailEnd/>
                        </a:ln>
                      </wps:spPr>
                      <wps:txbx>
                        <w:txbxContent>
                          <w:p w14:paraId="00A7E407" w14:textId="77777777" w:rsidR="00272B9C" w:rsidRDefault="00272B9C" w:rsidP="00E816FB">
                            <w:pPr>
                              <w:spacing w:after="120" w:line="240" w:lineRule="auto"/>
                              <w:jc w:val="center"/>
                              <w:rPr>
                                <w:b/>
                              </w:rPr>
                            </w:pPr>
                            <w:r>
                              <w:rPr>
                                <w:b/>
                              </w:rPr>
                              <w:t>Summary of Key Outcomes for BSP</w:t>
                            </w:r>
                          </w:p>
                          <w:p w14:paraId="43E3A0E8" w14:textId="55D5EB12" w:rsidR="00272B9C" w:rsidRDefault="00272B9C" w:rsidP="00E816FB">
                            <w:pPr>
                              <w:spacing w:after="120" w:line="240" w:lineRule="auto"/>
                            </w:pPr>
                            <w:r>
                              <w:rPr>
                                <w:b/>
                              </w:rPr>
                              <w:t>Short-term</w:t>
                            </w:r>
                            <w:r>
                              <w:t xml:space="preserve"> </w:t>
                            </w:r>
                            <w:r w:rsidRPr="009B27D3">
                              <w:rPr>
                                <w:b/>
                                <w:bCs/>
                              </w:rPr>
                              <w:t>outcomes</w:t>
                            </w:r>
                            <w:r>
                              <w:t xml:space="preserve"> are evidence that the program engaged customers somewhere on their business journey and has assisted to equip them with skills, knowledge, tools and possibly increased financial capacity. Also has reduced barriers for aspirant businesses to enter the business sector.</w:t>
                            </w:r>
                          </w:p>
                          <w:p w14:paraId="0EA0BF40" w14:textId="6BAA35AC" w:rsidR="00272B9C" w:rsidRDefault="00272B9C" w:rsidP="00E816FB">
                            <w:pPr>
                              <w:spacing w:after="120" w:line="240" w:lineRule="auto"/>
                            </w:pPr>
                            <w:r>
                              <w:rPr>
                                <w:b/>
                              </w:rPr>
                              <w:t xml:space="preserve">Medium-term outcomes </w:t>
                            </w:r>
                            <w:r>
                              <w:t>reflect an ability for businesses to grow, service loans, improve capability and opportunity.</w:t>
                            </w:r>
                          </w:p>
                          <w:p w14:paraId="47D5A675" w14:textId="10753054" w:rsidR="00272B9C" w:rsidRDefault="00272B9C" w:rsidP="00E816FB">
                            <w:pPr>
                              <w:spacing w:after="120" w:line="240" w:lineRule="auto"/>
                            </w:pPr>
                            <w:r>
                              <w:rPr>
                                <w:b/>
                              </w:rPr>
                              <w:t>Long-term outcomes</w:t>
                            </w:r>
                            <w:r>
                              <w:t xml:space="preserve"> involve businesses growing within a broader network to take advantage of business opportunities, e.g. IPP and Supply Nation. It also involves understanding the contribution of the program to building the business sector and the positive benefits such as broader employment and wealth creation.</w:t>
                            </w:r>
                          </w:p>
                          <w:p w14:paraId="6A5FB6C9" w14:textId="20208DE5" w:rsidR="00272B9C" w:rsidRPr="00536056" w:rsidRDefault="00272B9C" w:rsidP="00E816FB">
                            <w:pPr>
                              <w:spacing w:after="120" w:line="240" w:lineRule="auto"/>
                              <w:rPr>
                                <w:i/>
                                <w:iCs/>
                              </w:rPr>
                            </w:pPr>
                            <w:r w:rsidRPr="00536056">
                              <w:rPr>
                                <w:i/>
                                <w:iCs/>
                              </w:rPr>
                              <w:t xml:space="preserve">Note: These outcome levels are relatively consistent with the </w:t>
                            </w:r>
                            <w:r w:rsidR="00736FE4">
                              <w:rPr>
                                <w:i/>
                                <w:iCs/>
                              </w:rPr>
                              <w:t>three</w:t>
                            </w:r>
                            <w:r w:rsidRPr="00536056">
                              <w:rPr>
                                <w:i/>
                                <w:iCs/>
                              </w:rPr>
                              <w:t xml:space="preserve"> impact stages found within the IBA impact report.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C84C" id="Text Box 30" o:spid="_x0000_s1027" type="#_x0000_t202" style="position:absolute;left:0;text-align:left;margin-left:-2.55pt;margin-top:35.95pt;width:447.4pt;height:209.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">
                <v:textbox>
                  <w:txbxContent>
                    <w:p w14:paraId="00A7E407" w14:textId="77777777" w:rsidR="00272B9C" w:rsidRDefault="00272B9C" w:rsidP="00E816FB">
                      <w:pPr>
                        <w:spacing w:after="120" w:line="240" w:lineRule="auto"/>
                        <w:jc w:val="center"/>
                        <w:rPr>
                          <w:b/>
                        </w:rPr>
                      </w:pPr>
                      <w:r>
                        <w:rPr>
                          <w:b/>
                        </w:rPr>
                        <w:t>Summary of Key Outcomes for BSP</w:t>
                      </w:r>
                    </w:p>
                    <w:p w14:paraId="43E3A0E8" w14:textId="55D5EB12" w:rsidR="00272B9C" w:rsidRDefault="00272B9C" w:rsidP="00E816FB">
                      <w:pPr>
                        <w:spacing w:after="120" w:line="240" w:lineRule="auto"/>
                      </w:pPr>
                      <w:r>
                        <w:rPr>
                          <w:b/>
                        </w:rPr>
                        <w:t>Short-term</w:t>
                      </w:r>
                      <w:r>
                        <w:t xml:space="preserve"> </w:t>
                      </w:r>
                      <w:r w:rsidRPr="009B27D3">
                        <w:rPr>
                          <w:b/>
                          <w:bCs/>
                        </w:rPr>
                        <w:t>outcomes</w:t>
                      </w:r>
                      <w:r>
                        <w:t xml:space="preserve"> are evidence that the program engaged customers somewhere on their business journey and has assisted to equip them with skills, knowledge, tools and possibly increased financial capacity. Also has reduced barriers for aspirant businesses to enter the business sector.</w:t>
                      </w:r>
                    </w:p>
                    <w:p w14:paraId="0EA0BF40" w14:textId="6BAA35AC" w:rsidR="00272B9C" w:rsidRDefault="00272B9C" w:rsidP="00E816FB">
                      <w:pPr>
                        <w:spacing w:after="120" w:line="240" w:lineRule="auto"/>
                      </w:pPr>
                      <w:r>
                        <w:rPr>
                          <w:b/>
                        </w:rPr>
                        <w:t xml:space="preserve">Medium-term outcomes </w:t>
                      </w:r>
                      <w:r>
                        <w:t>reflect an ability for businesses to grow, service loans, improve capability and opportunity.</w:t>
                      </w:r>
                    </w:p>
                    <w:p w14:paraId="47D5A675" w14:textId="10753054" w:rsidR="00272B9C" w:rsidRDefault="00272B9C" w:rsidP="00E816FB">
                      <w:pPr>
                        <w:spacing w:after="120" w:line="240" w:lineRule="auto"/>
                      </w:pPr>
                      <w:r>
                        <w:rPr>
                          <w:b/>
                        </w:rPr>
                        <w:t>Long-term outcomes</w:t>
                      </w:r>
                      <w:r>
                        <w:t xml:space="preserve"> involve businesses growing within a broader network to take advantage of business opportunities, e.g. IPP and Supply Nation. It also involves understanding the contribution of the program to building the business sector and the positive benefits such as broader employment and wealth creation.</w:t>
                      </w:r>
                    </w:p>
                    <w:p w14:paraId="6A5FB6C9" w14:textId="20208DE5" w:rsidR="00272B9C" w:rsidRPr="00536056" w:rsidRDefault="00272B9C" w:rsidP="00E816FB">
                      <w:pPr>
                        <w:spacing w:after="120" w:line="240" w:lineRule="auto"/>
                        <w:rPr>
                          <w:i/>
                          <w:iCs/>
                        </w:rPr>
                      </w:pPr>
                      <w:r w:rsidRPr="00536056">
                        <w:rPr>
                          <w:i/>
                          <w:iCs/>
                        </w:rPr>
                        <w:t xml:space="preserve">Note: These outcome levels are relatively consistent with the </w:t>
                      </w:r>
                      <w:r w:rsidR="00736FE4">
                        <w:rPr>
                          <w:i/>
                          <w:iCs/>
                        </w:rPr>
                        <w:t>three</w:t>
                      </w:r>
                      <w:r w:rsidRPr="00536056">
                        <w:rPr>
                          <w:i/>
                          <w:iCs/>
                        </w:rPr>
                        <w:t xml:space="preserve"> impact stages found within the IBA impact report.</w:t>
                      </w:r>
                    </w:p>
                  </w:txbxContent>
                </v:textbox>
                <w10:wrap type="square"/>
              </v:shape>
            </w:pict>
          </mc:Fallback>
        </mc:AlternateContent>
      </w:r>
      <w:r w:rsidRPr="00FE73DE">
        <w:rPr>
          <w:szCs w:val="24"/>
        </w:rPr>
        <w:t xml:space="preserve">The outcomes are adapted from </w:t>
      </w:r>
      <w:r w:rsidR="001105FD">
        <w:rPr>
          <w:szCs w:val="24"/>
        </w:rPr>
        <w:t xml:space="preserve">the proposed theory of change and </w:t>
      </w:r>
      <w:r w:rsidRPr="00FE73DE">
        <w:rPr>
          <w:szCs w:val="24"/>
        </w:rPr>
        <w:t xml:space="preserve">program logic which was developed as a component of the BSP </w:t>
      </w:r>
      <w:r w:rsidR="00753A5F" w:rsidRPr="00FE73DE">
        <w:rPr>
          <w:szCs w:val="24"/>
        </w:rPr>
        <w:t>E</w:t>
      </w:r>
      <w:r w:rsidRPr="00FE73DE">
        <w:rPr>
          <w:szCs w:val="24"/>
        </w:rPr>
        <w:t xml:space="preserve">valuation </w:t>
      </w:r>
      <w:r w:rsidR="00753A5F" w:rsidRPr="00FE73DE">
        <w:rPr>
          <w:szCs w:val="24"/>
        </w:rPr>
        <w:t>S</w:t>
      </w:r>
      <w:r w:rsidRPr="00FE73DE">
        <w:rPr>
          <w:szCs w:val="24"/>
        </w:rPr>
        <w:t>trategy (</w:t>
      </w:r>
      <w:r w:rsidR="00A33FA4" w:rsidRPr="00FE73DE">
        <w:rPr>
          <w:szCs w:val="24"/>
        </w:rPr>
        <w:t>see</w:t>
      </w:r>
      <w:r w:rsidRPr="00FE73DE">
        <w:rPr>
          <w:szCs w:val="24"/>
        </w:rPr>
        <w:t xml:space="preserve"> Appendix </w:t>
      </w:r>
      <w:r w:rsidR="00736FE4">
        <w:rPr>
          <w:szCs w:val="24"/>
        </w:rPr>
        <w:t>D</w:t>
      </w:r>
      <w:r w:rsidRPr="00FE73DE">
        <w:rPr>
          <w:szCs w:val="24"/>
        </w:rPr>
        <w:t xml:space="preserve">). </w:t>
      </w:r>
    </w:p>
    <w:p w14:paraId="3FFB5ED5" w14:textId="7A79B58B" w:rsidR="00E816FB" w:rsidRPr="00FE73DE" w:rsidRDefault="00E816FB" w:rsidP="00E816FB">
      <w:pPr>
        <w:spacing w:after="120" w:line="240" w:lineRule="auto"/>
        <w:rPr>
          <w:szCs w:val="24"/>
        </w:rPr>
      </w:pPr>
      <w:r w:rsidRPr="00FE73DE">
        <w:rPr>
          <w:szCs w:val="24"/>
        </w:rPr>
        <w:t xml:space="preserve">Although </w:t>
      </w:r>
      <w:r w:rsidR="00753A5F" w:rsidRPr="00FE73DE">
        <w:rPr>
          <w:szCs w:val="24"/>
        </w:rPr>
        <w:t xml:space="preserve">a </w:t>
      </w:r>
      <w:r w:rsidRPr="00FE73DE">
        <w:rPr>
          <w:szCs w:val="24"/>
        </w:rPr>
        <w:t xml:space="preserve">business journey </w:t>
      </w:r>
      <w:r w:rsidR="00753A5F" w:rsidRPr="00FE73DE">
        <w:rPr>
          <w:szCs w:val="24"/>
        </w:rPr>
        <w:t xml:space="preserve">may be </w:t>
      </w:r>
      <w:r w:rsidRPr="00FE73DE">
        <w:rPr>
          <w:szCs w:val="24"/>
        </w:rPr>
        <w:t>described here a</w:t>
      </w:r>
      <w:r w:rsidR="009B27D3" w:rsidRPr="00FE73DE">
        <w:rPr>
          <w:szCs w:val="24"/>
        </w:rPr>
        <w:t xml:space="preserve">s </w:t>
      </w:r>
      <w:r w:rsidRPr="00FE73DE">
        <w:rPr>
          <w:szCs w:val="24"/>
        </w:rPr>
        <w:t>linear, it is evident that BSP customers can access services at any stage of the business journey. They may also access</w:t>
      </w:r>
      <w:r w:rsidR="009B27D3" w:rsidRPr="00FE73DE">
        <w:rPr>
          <w:szCs w:val="24"/>
        </w:rPr>
        <w:t xml:space="preserve"> the same or different</w:t>
      </w:r>
      <w:r w:rsidRPr="00FE73DE">
        <w:rPr>
          <w:szCs w:val="24"/>
        </w:rPr>
        <w:t xml:space="preserve"> support multiple times during their business journey</w:t>
      </w:r>
      <w:r w:rsidR="009B27D3" w:rsidRPr="00FE73DE">
        <w:rPr>
          <w:szCs w:val="24"/>
        </w:rPr>
        <w:t>.</w:t>
      </w:r>
      <w:r w:rsidRPr="00FE73DE">
        <w:rPr>
          <w:szCs w:val="24"/>
        </w:rPr>
        <w:t xml:space="preserve"> </w:t>
      </w:r>
    </w:p>
    <w:tbl>
      <w:tblPr>
        <w:tblStyle w:val="Summaryboxtablestyle"/>
        <w:tblW w:w="5000" w:type="pct"/>
        <w:tblLook w:val="04A0" w:firstRow="1" w:lastRow="0" w:firstColumn="1" w:lastColumn="0" w:noHBand="0" w:noVBand="1"/>
      </w:tblPr>
      <w:tblGrid>
        <w:gridCol w:w="8890"/>
      </w:tblGrid>
      <w:tr w:rsidR="00E816FB" w:rsidRPr="00FE73DE" w14:paraId="4903D51A" w14:textId="77777777" w:rsidTr="00566D4B">
        <w:trPr>
          <w:cnfStyle w:val="100000000000" w:firstRow="1" w:lastRow="0" w:firstColumn="0" w:lastColumn="0" w:oddVBand="0" w:evenVBand="0" w:oddHBand="0" w:evenHBand="0" w:firstRowFirstColumn="0" w:firstRowLastColumn="0" w:lastRowFirstColumn="0" w:lastRowLastColumn="0"/>
          <w:tblHeader/>
        </w:trPr>
        <w:tc>
          <w:tcPr>
            <w:tcW w:w="5000" w:type="pct"/>
            <w:tcBorders>
              <w:top w:val="single" w:sz="4" w:space="0" w:color="6B818C" w:themeColor="accent5"/>
              <w:left w:val="single" w:sz="4" w:space="0" w:color="6B818C" w:themeColor="accent5"/>
              <w:bottom w:val="nil"/>
              <w:right w:val="single" w:sz="4" w:space="0" w:color="6B818C" w:themeColor="accent5"/>
            </w:tcBorders>
            <w:hideMark/>
          </w:tcPr>
          <w:p w14:paraId="6ED3A8E9" w14:textId="3A1F728C" w:rsidR="00E816FB" w:rsidRPr="00FE73DE" w:rsidRDefault="00E816FB">
            <w:pPr>
              <w:pStyle w:val="TableText"/>
            </w:pPr>
            <w:r w:rsidRPr="00FE73DE">
              <w:t xml:space="preserve">Findings summary </w:t>
            </w:r>
            <w:r w:rsidR="00B11880">
              <w:t>– Program outcomes of the BSP</w:t>
            </w:r>
          </w:p>
        </w:tc>
      </w:tr>
      <w:tr w:rsidR="00E816FB" w:rsidRPr="00FE73DE" w14:paraId="2C4DEB5D" w14:textId="77777777" w:rsidTr="00E816FB">
        <w:tc>
          <w:tcPr>
            <w:tcW w:w="5000" w:type="pct"/>
            <w:tcBorders>
              <w:top w:val="nil"/>
              <w:left w:val="single" w:sz="4" w:space="0" w:color="6B818C" w:themeColor="accent5"/>
              <w:bottom w:val="single" w:sz="4" w:space="0" w:color="6B818C" w:themeColor="accent5"/>
              <w:right w:val="single" w:sz="4" w:space="0" w:color="6B818C" w:themeColor="accent5"/>
            </w:tcBorders>
          </w:tcPr>
          <w:p w14:paraId="331313FF" w14:textId="102194D8" w:rsidR="00E816FB" w:rsidRPr="00D35FFF" w:rsidRDefault="00E816FB">
            <w:pPr>
              <w:pStyle w:val="Findingssummarylist"/>
              <w:numPr>
                <w:ilvl w:val="0"/>
                <w:numId w:val="0"/>
              </w:numPr>
              <w:rPr>
                <w:b/>
                <w:sz w:val="22"/>
                <w:szCs w:val="22"/>
              </w:rPr>
            </w:pPr>
            <w:r w:rsidRPr="00D35FFF">
              <w:rPr>
                <w:b/>
                <w:sz w:val="22"/>
                <w:szCs w:val="22"/>
              </w:rPr>
              <w:t>Short</w:t>
            </w:r>
            <w:r w:rsidR="009B27D3" w:rsidRPr="00D35FFF">
              <w:rPr>
                <w:b/>
                <w:sz w:val="22"/>
                <w:szCs w:val="22"/>
              </w:rPr>
              <w:t>-</w:t>
            </w:r>
            <w:r w:rsidR="009C3494">
              <w:rPr>
                <w:b/>
                <w:sz w:val="22"/>
                <w:szCs w:val="22"/>
              </w:rPr>
              <w:t>t</w:t>
            </w:r>
            <w:r w:rsidRPr="00D35FFF">
              <w:rPr>
                <w:b/>
                <w:sz w:val="22"/>
                <w:szCs w:val="22"/>
              </w:rPr>
              <w:t>erm</w:t>
            </w:r>
          </w:p>
          <w:p w14:paraId="7DF2F766" w14:textId="42C277C2" w:rsidR="00E816FB" w:rsidRPr="00D35FFF" w:rsidRDefault="00E816FB" w:rsidP="0066574D">
            <w:pPr>
              <w:pStyle w:val="Findingssummarylist"/>
              <w:rPr>
                <w:sz w:val="22"/>
                <w:szCs w:val="22"/>
              </w:rPr>
            </w:pPr>
            <w:r w:rsidRPr="00D35FFF">
              <w:rPr>
                <w:sz w:val="22"/>
                <w:szCs w:val="22"/>
              </w:rPr>
              <w:t>The</w:t>
            </w:r>
            <w:r w:rsidR="00E80033" w:rsidRPr="00D35FFF">
              <w:rPr>
                <w:sz w:val="22"/>
                <w:szCs w:val="22"/>
              </w:rPr>
              <w:t xml:space="preserve"> </w:t>
            </w:r>
            <w:r w:rsidR="00870EAE" w:rsidRPr="00D35FFF">
              <w:rPr>
                <w:sz w:val="22"/>
                <w:szCs w:val="22"/>
              </w:rPr>
              <w:t xml:space="preserve">number of businesses in the </w:t>
            </w:r>
            <w:r w:rsidR="00E80033" w:rsidRPr="00D35FFF">
              <w:rPr>
                <w:sz w:val="22"/>
                <w:szCs w:val="22"/>
              </w:rPr>
              <w:t>IBA business</w:t>
            </w:r>
            <w:r w:rsidRPr="00D35FFF">
              <w:rPr>
                <w:sz w:val="22"/>
                <w:szCs w:val="22"/>
              </w:rPr>
              <w:t xml:space="preserve"> loan portfolio</w:t>
            </w:r>
            <w:r w:rsidR="00870EAE" w:rsidRPr="00D35FFF">
              <w:rPr>
                <w:sz w:val="22"/>
                <w:szCs w:val="22"/>
              </w:rPr>
              <w:t xml:space="preserve"> </w:t>
            </w:r>
            <w:r w:rsidR="00536056" w:rsidRPr="00D35FFF">
              <w:rPr>
                <w:sz w:val="22"/>
                <w:szCs w:val="22"/>
              </w:rPr>
              <w:t>grew</w:t>
            </w:r>
            <w:r w:rsidR="00870EAE" w:rsidRPr="00D35FFF">
              <w:rPr>
                <w:sz w:val="22"/>
                <w:szCs w:val="22"/>
              </w:rPr>
              <w:t xml:space="preserve">, </w:t>
            </w:r>
            <w:r w:rsidRPr="00D35FFF">
              <w:rPr>
                <w:sz w:val="22"/>
                <w:szCs w:val="22"/>
              </w:rPr>
              <w:t>including a doubling of loans from 237 in 201</w:t>
            </w:r>
            <w:r w:rsidR="008557E8" w:rsidRPr="00D35FFF">
              <w:rPr>
                <w:sz w:val="22"/>
                <w:szCs w:val="22"/>
              </w:rPr>
              <w:t>6–</w:t>
            </w:r>
            <w:r w:rsidRPr="00D35FFF">
              <w:rPr>
                <w:sz w:val="22"/>
                <w:szCs w:val="22"/>
              </w:rPr>
              <w:t>17 to 492 in 202</w:t>
            </w:r>
            <w:r w:rsidR="008557E8" w:rsidRPr="00D35FFF">
              <w:rPr>
                <w:sz w:val="22"/>
                <w:szCs w:val="22"/>
              </w:rPr>
              <w:t>0–</w:t>
            </w:r>
            <w:r w:rsidRPr="00D35FFF">
              <w:rPr>
                <w:sz w:val="22"/>
                <w:szCs w:val="22"/>
              </w:rPr>
              <w:t>21</w:t>
            </w:r>
            <w:r w:rsidR="00870EAE" w:rsidRPr="00D35FFF">
              <w:rPr>
                <w:sz w:val="22"/>
                <w:szCs w:val="22"/>
              </w:rPr>
              <w:t>. T</w:t>
            </w:r>
            <w:r w:rsidRPr="00D35FFF">
              <w:rPr>
                <w:sz w:val="22"/>
                <w:szCs w:val="22"/>
              </w:rPr>
              <w:t xml:space="preserve">he </w:t>
            </w:r>
            <w:r w:rsidR="00870EAE" w:rsidRPr="00D35FFF">
              <w:rPr>
                <w:sz w:val="22"/>
                <w:szCs w:val="22"/>
              </w:rPr>
              <w:t xml:space="preserve">overall </w:t>
            </w:r>
            <w:r w:rsidRPr="00D35FFF">
              <w:rPr>
                <w:sz w:val="22"/>
                <w:szCs w:val="22"/>
              </w:rPr>
              <w:t xml:space="preserve">value of </w:t>
            </w:r>
            <w:r w:rsidR="00870EAE" w:rsidRPr="00D35FFF">
              <w:rPr>
                <w:sz w:val="22"/>
                <w:szCs w:val="22"/>
              </w:rPr>
              <w:t xml:space="preserve">the portfolio </w:t>
            </w:r>
            <w:r w:rsidRPr="00D35FFF">
              <w:rPr>
                <w:sz w:val="22"/>
                <w:szCs w:val="22"/>
              </w:rPr>
              <w:t xml:space="preserve">stayed relatively stable at around $55 million. </w:t>
            </w:r>
            <w:r w:rsidR="00870EAE" w:rsidRPr="00D35FFF">
              <w:rPr>
                <w:sz w:val="22"/>
                <w:szCs w:val="22"/>
              </w:rPr>
              <w:t>W</w:t>
            </w:r>
            <w:r w:rsidR="008527CB" w:rsidRPr="00D35FFF">
              <w:rPr>
                <w:sz w:val="22"/>
                <w:szCs w:val="22"/>
              </w:rPr>
              <w:t xml:space="preserve">hile there </w:t>
            </w:r>
            <w:r w:rsidR="00536056" w:rsidRPr="00D35FFF">
              <w:rPr>
                <w:sz w:val="22"/>
                <w:szCs w:val="22"/>
              </w:rPr>
              <w:t>were</w:t>
            </w:r>
            <w:r w:rsidR="008527CB" w:rsidRPr="00D35FFF">
              <w:rPr>
                <w:sz w:val="22"/>
                <w:szCs w:val="22"/>
              </w:rPr>
              <w:t xml:space="preserve"> more loans serviced in recent years, they </w:t>
            </w:r>
            <w:r w:rsidR="00536056" w:rsidRPr="00D35FFF">
              <w:rPr>
                <w:sz w:val="22"/>
                <w:szCs w:val="22"/>
              </w:rPr>
              <w:t>were</w:t>
            </w:r>
            <w:r w:rsidR="008527CB" w:rsidRPr="00D35FFF">
              <w:rPr>
                <w:sz w:val="22"/>
                <w:szCs w:val="22"/>
              </w:rPr>
              <w:t xml:space="preserve"> of lower value on average compared with 201</w:t>
            </w:r>
            <w:r w:rsidR="008557E8" w:rsidRPr="00D35FFF">
              <w:rPr>
                <w:sz w:val="22"/>
                <w:szCs w:val="22"/>
              </w:rPr>
              <w:t>6–</w:t>
            </w:r>
            <w:r w:rsidR="008527CB" w:rsidRPr="00D35FFF">
              <w:rPr>
                <w:sz w:val="22"/>
                <w:szCs w:val="22"/>
              </w:rPr>
              <w:t>17 (approximately $202,000 per loan on average for 201</w:t>
            </w:r>
            <w:r w:rsidR="008557E8" w:rsidRPr="00D35FFF">
              <w:rPr>
                <w:sz w:val="22"/>
                <w:szCs w:val="22"/>
              </w:rPr>
              <w:t>6–</w:t>
            </w:r>
            <w:r w:rsidR="008527CB" w:rsidRPr="00D35FFF">
              <w:rPr>
                <w:sz w:val="22"/>
                <w:szCs w:val="22"/>
              </w:rPr>
              <w:t>17 compared with $111,000 per loan for 202</w:t>
            </w:r>
            <w:r w:rsidR="008557E8" w:rsidRPr="00D35FFF">
              <w:rPr>
                <w:sz w:val="22"/>
                <w:szCs w:val="22"/>
              </w:rPr>
              <w:t>0–</w:t>
            </w:r>
            <w:r w:rsidR="008527CB" w:rsidRPr="00D35FFF">
              <w:rPr>
                <w:sz w:val="22"/>
                <w:szCs w:val="22"/>
              </w:rPr>
              <w:t>21). Many of</w:t>
            </w:r>
            <w:r w:rsidRPr="00D35FFF">
              <w:rPr>
                <w:sz w:val="22"/>
                <w:szCs w:val="22"/>
              </w:rPr>
              <w:t xml:space="preserve"> the additional loans </w:t>
            </w:r>
            <w:r w:rsidR="00E80033" w:rsidRPr="00D35FFF">
              <w:rPr>
                <w:sz w:val="22"/>
                <w:szCs w:val="22"/>
              </w:rPr>
              <w:t xml:space="preserve">funded under the BSP </w:t>
            </w:r>
            <w:r w:rsidRPr="00D35FFF">
              <w:rPr>
                <w:sz w:val="22"/>
                <w:szCs w:val="22"/>
              </w:rPr>
              <w:t xml:space="preserve">were new </w:t>
            </w:r>
            <w:r w:rsidR="00E80033" w:rsidRPr="00D35FFF">
              <w:rPr>
                <w:sz w:val="22"/>
                <w:szCs w:val="22"/>
              </w:rPr>
              <w:t xml:space="preserve">to BSP </w:t>
            </w:r>
            <w:r w:rsidRPr="00D35FFF">
              <w:rPr>
                <w:sz w:val="22"/>
                <w:szCs w:val="22"/>
              </w:rPr>
              <w:t>and high</w:t>
            </w:r>
            <w:r w:rsidR="009B27D3" w:rsidRPr="00D35FFF">
              <w:rPr>
                <w:sz w:val="22"/>
                <w:szCs w:val="22"/>
              </w:rPr>
              <w:t>er-</w:t>
            </w:r>
            <w:r w:rsidRPr="00D35FFF">
              <w:rPr>
                <w:sz w:val="22"/>
                <w:szCs w:val="22"/>
              </w:rPr>
              <w:t xml:space="preserve">risk </w:t>
            </w:r>
            <w:r w:rsidR="00E80033" w:rsidRPr="00D35FFF">
              <w:rPr>
                <w:sz w:val="22"/>
                <w:szCs w:val="22"/>
              </w:rPr>
              <w:t>customers</w:t>
            </w:r>
            <w:r w:rsidR="00536056" w:rsidRPr="00D35FFF">
              <w:rPr>
                <w:sz w:val="22"/>
                <w:szCs w:val="22"/>
              </w:rPr>
              <w:t>,</w:t>
            </w:r>
            <w:r w:rsidR="00E80033" w:rsidRPr="00D35FFF">
              <w:rPr>
                <w:sz w:val="22"/>
                <w:szCs w:val="22"/>
              </w:rPr>
              <w:t xml:space="preserve"> </w:t>
            </w:r>
            <w:r w:rsidRPr="00D35FFF">
              <w:rPr>
                <w:sz w:val="22"/>
                <w:szCs w:val="22"/>
              </w:rPr>
              <w:t xml:space="preserve">particularly in </w:t>
            </w:r>
            <w:r w:rsidR="00536056" w:rsidRPr="00D35FFF">
              <w:rPr>
                <w:sz w:val="22"/>
                <w:szCs w:val="22"/>
              </w:rPr>
              <w:t>later</w:t>
            </w:r>
            <w:r w:rsidRPr="00D35FFF">
              <w:rPr>
                <w:sz w:val="22"/>
                <w:szCs w:val="22"/>
              </w:rPr>
              <w:t xml:space="preserve"> years.</w:t>
            </w:r>
          </w:p>
          <w:p w14:paraId="0D787C09" w14:textId="1B8B107D" w:rsidR="00C73865" w:rsidRPr="009C3494" w:rsidRDefault="009C3494" w:rsidP="009C3494">
            <w:pPr>
              <w:pStyle w:val="Findingssummarylist"/>
              <w:rPr>
                <w:sz w:val="22"/>
                <w:szCs w:val="22"/>
              </w:rPr>
            </w:pPr>
            <w:r w:rsidRPr="00D35FFF">
              <w:rPr>
                <w:sz w:val="22"/>
                <w:szCs w:val="22"/>
              </w:rPr>
              <w:t>Where industry data was available for BSP-funded loans, the construction industry was dominant in relation to number and overall value of loans. Some industry sectors that had low levels of loans could be potentially increased through sharing lessons learnt and mentoring.</w:t>
            </w:r>
            <w:r>
              <w:rPr>
                <w:sz w:val="22"/>
                <w:szCs w:val="22"/>
              </w:rPr>
              <w:t xml:space="preserve"> </w:t>
            </w:r>
            <w:r w:rsidRPr="009C3494">
              <w:rPr>
                <w:sz w:val="22"/>
                <w:szCs w:val="22"/>
              </w:rPr>
              <w:t>A</w:t>
            </w:r>
            <w:r w:rsidR="00C73865" w:rsidRPr="009C3494">
              <w:rPr>
                <w:sz w:val="22"/>
                <w:szCs w:val="22"/>
              </w:rPr>
              <w:t xml:space="preserve">lmost all industries </w:t>
            </w:r>
            <w:r w:rsidR="00536056" w:rsidRPr="009C3494">
              <w:rPr>
                <w:sz w:val="22"/>
                <w:szCs w:val="22"/>
              </w:rPr>
              <w:t>saw</w:t>
            </w:r>
            <w:r w:rsidR="00C73865" w:rsidRPr="009C3494">
              <w:rPr>
                <w:sz w:val="22"/>
                <w:szCs w:val="22"/>
              </w:rPr>
              <w:t xml:space="preserve"> an increase in the number of loans recorded each financial year, the value of loans recorded each year </w:t>
            </w:r>
            <w:r w:rsidR="00536056" w:rsidRPr="009C3494">
              <w:rPr>
                <w:sz w:val="22"/>
                <w:szCs w:val="22"/>
              </w:rPr>
              <w:t>saw</w:t>
            </w:r>
            <w:r w:rsidR="00C73865" w:rsidRPr="009C3494">
              <w:rPr>
                <w:sz w:val="22"/>
                <w:szCs w:val="22"/>
              </w:rPr>
              <w:t xml:space="preserve"> less change. Of the 18 industries present across all yearly data, half </w:t>
            </w:r>
            <w:r w:rsidR="00536056" w:rsidRPr="009C3494">
              <w:rPr>
                <w:sz w:val="22"/>
                <w:szCs w:val="22"/>
              </w:rPr>
              <w:t>showed</w:t>
            </w:r>
            <w:r w:rsidR="00C73865" w:rsidRPr="009C3494">
              <w:rPr>
                <w:sz w:val="22"/>
                <w:szCs w:val="22"/>
              </w:rPr>
              <w:t xml:space="preserve"> an overall increase in the number of loans within the portfolio, and half a decrease in the value recorded across time.</w:t>
            </w:r>
          </w:p>
          <w:p w14:paraId="165812F5" w14:textId="63B8DEFC" w:rsidR="0066574D" w:rsidRPr="00D35FFF" w:rsidRDefault="0066574D" w:rsidP="0066574D">
            <w:pPr>
              <w:pStyle w:val="Findingssummarylist"/>
              <w:rPr>
                <w:sz w:val="22"/>
                <w:szCs w:val="22"/>
              </w:rPr>
            </w:pPr>
            <w:r w:rsidRPr="00D35FFF">
              <w:rPr>
                <w:sz w:val="22"/>
                <w:szCs w:val="22"/>
              </w:rPr>
              <w:t>Of the Indigenous business survey respondents who were IBA business customers (n=22), 79</w:t>
            </w:r>
            <w:r w:rsidR="008557E8" w:rsidRPr="00D35FFF">
              <w:rPr>
                <w:sz w:val="22"/>
                <w:szCs w:val="22"/>
              </w:rPr>
              <w:t>%</w:t>
            </w:r>
            <w:r w:rsidRPr="00D35FFF">
              <w:rPr>
                <w:sz w:val="22"/>
                <w:szCs w:val="22"/>
              </w:rPr>
              <w:t xml:space="preserve"> were ‘Satisfied or ‘Extremely Satisfied’ with the business engagement experience with IBA, based on their current business journey.</w:t>
            </w:r>
          </w:p>
          <w:p w14:paraId="391F95AD" w14:textId="7B6484B5" w:rsidR="0066574D" w:rsidRPr="00D35FFF" w:rsidRDefault="0066574D" w:rsidP="0066574D">
            <w:pPr>
              <w:pStyle w:val="Findingssummarylist"/>
              <w:rPr>
                <w:sz w:val="22"/>
                <w:szCs w:val="22"/>
              </w:rPr>
            </w:pPr>
            <w:r w:rsidRPr="00D35FFF">
              <w:rPr>
                <w:sz w:val="22"/>
                <w:szCs w:val="22"/>
              </w:rPr>
              <w:t>When IBA customers were asked ‘How have the business support products/services you have received from IBA helped your business?’ the most frequent reasons given were marketing and networking, followed by revenue growth, capital investment, increased employment</w:t>
            </w:r>
            <w:r w:rsidR="00206A1E" w:rsidRPr="00D35FFF">
              <w:rPr>
                <w:sz w:val="22"/>
                <w:szCs w:val="22"/>
              </w:rPr>
              <w:t>,</w:t>
            </w:r>
            <w:r w:rsidRPr="00D35FFF">
              <w:rPr>
                <w:sz w:val="22"/>
                <w:szCs w:val="22"/>
              </w:rPr>
              <w:t xml:space="preserve"> and maturing the business capability. Of the 20 respondents</w:t>
            </w:r>
            <w:r w:rsidR="00206A1E" w:rsidRPr="00D35FFF">
              <w:rPr>
                <w:sz w:val="22"/>
                <w:szCs w:val="22"/>
              </w:rPr>
              <w:t xml:space="preserve"> to this question</w:t>
            </w:r>
            <w:r w:rsidRPr="00D35FFF">
              <w:rPr>
                <w:sz w:val="22"/>
                <w:szCs w:val="22"/>
              </w:rPr>
              <w:t xml:space="preserve">, only </w:t>
            </w:r>
            <w:r w:rsidR="00D35FFF">
              <w:rPr>
                <w:sz w:val="22"/>
                <w:szCs w:val="22"/>
              </w:rPr>
              <w:t>two</w:t>
            </w:r>
            <w:r w:rsidRPr="00D35FFF">
              <w:rPr>
                <w:sz w:val="22"/>
                <w:szCs w:val="22"/>
              </w:rPr>
              <w:t xml:space="preserve"> considered that the support they received had not helped at all. </w:t>
            </w:r>
          </w:p>
          <w:p w14:paraId="0C5BCEF7" w14:textId="3BA665A1" w:rsidR="0066574D" w:rsidRPr="00D35FFF" w:rsidRDefault="0066574D" w:rsidP="0066574D">
            <w:pPr>
              <w:pStyle w:val="Findingssummarylist"/>
              <w:rPr>
                <w:sz w:val="22"/>
                <w:szCs w:val="22"/>
              </w:rPr>
            </w:pPr>
            <w:r w:rsidRPr="00D35FFF">
              <w:rPr>
                <w:sz w:val="22"/>
                <w:szCs w:val="22"/>
              </w:rPr>
              <w:t xml:space="preserve">Reported barriers and challenges to accessing IBA business services predominately related to </w:t>
            </w:r>
            <w:r w:rsidR="00D35FFF">
              <w:rPr>
                <w:sz w:val="22"/>
                <w:szCs w:val="22"/>
              </w:rPr>
              <w:t>two</w:t>
            </w:r>
            <w:r w:rsidRPr="00D35FFF">
              <w:rPr>
                <w:sz w:val="22"/>
                <w:szCs w:val="22"/>
              </w:rPr>
              <w:t xml:space="preserve"> themes</w:t>
            </w:r>
            <w:r w:rsidR="00206A1E" w:rsidRPr="00D35FFF">
              <w:rPr>
                <w:sz w:val="22"/>
                <w:szCs w:val="22"/>
              </w:rPr>
              <w:t>:</w:t>
            </w:r>
            <w:r w:rsidRPr="00D35FFF">
              <w:rPr>
                <w:sz w:val="22"/>
                <w:szCs w:val="22"/>
              </w:rPr>
              <w:t xml:space="preserve"> lack of follow-up, responsiveness</w:t>
            </w:r>
            <w:r w:rsidR="00206A1E" w:rsidRPr="00D35FFF">
              <w:rPr>
                <w:sz w:val="22"/>
                <w:szCs w:val="22"/>
              </w:rPr>
              <w:t>,</w:t>
            </w:r>
            <w:r w:rsidRPr="00D35FFF">
              <w:rPr>
                <w:sz w:val="22"/>
                <w:szCs w:val="22"/>
              </w:rPr>
              <w:t xml:space="preserve"> or availability of IBA staff to assist; and difficult/complex application processes, with repeat requests for information, resulting in delays.</w:t>
            </w:r>
          </w:p>
          <w:p w14:paraId="3ADABA94" w14:textId="472F4AEE" w:rsidR="00E816FB" w:rsidRPr="00D35FFF" w:rsidRDefault="00E816FB" w:rsidP="009761AD">
            <w:pPr>
              <w:pStyle w:val="Findingssummarylist"/>
              <w:numPr>
                <w:ilvl w:val="0"/>
                <w:numId w:val="0"/>
              </w:numPr>
              <w:ind w:left="284" w:hanging="284"/>
              <w:rPr>
                <w:b/>
                <w:sz w:val="22"/>
                <w:szCs w:val="22"/>
              </w:rPr>
            </w:pPr>
            <w:r w:rsidRPr="00D35FFF">
              <w:rPr>
                <w:b/>
                <w:sz w:val="22"/>
                <w:szCs w:val="22"/>
              </w:rPr>
              <w:t>Medium</w:t>
            </w:r>
            <w:r w:rsidR="009B27D3" w:rsidRPr="00D35FFF">
              <w:rPr>
                <w:b/>
                <w:sz w:val="22"/>
                <w:szCs w:val="22"/>
              </w:rPr>
              <w:t>-</w:t>
            </w:r>
            <w:r w:rsidR="009C3494">
              <w:rPr>
                <w:b/>
                <w:sz w:val="22"/>
                <w:szCs w:val="22"/>
              </w:rPr>
              <w:t>t</w:t>
            </w:r>
            <w:r w:rsidRPr="00D35FFF">
              <w:rPr>
                <w:b/>
                <w:sz w:val="22"/>
                <w:szCs w:val="22"/>
              </w:rPr>
              <w:t>erm</w:t>
            </w:r>
          </w:p>
          <w:p w14:paraId="1F2F756B" w14:textId="74783991" w:rsidR="00E816FB" w:rsidRPr="00D35FFF" w:rsidRDefault="00E816FB" w:rsidP="0066574D">
            <w:pPr>
              <w:pStyle w:val="Findingssummarylist"/>
              <w:rPr>
                <w:sz w:val="22"/>
                <w:szCs w:val="22"/>
              </w:rPr>
            </w:pPr>
            <w:r w:rsidRPr="00D35FFF">
              <w:rPr>
                <w:sz w:val="22"/>
                <w:szCs w:val="22"/>
              </w:rPr>
              <w:t xml:space="preserve">Loan survivability rates demonstrated </w:t>
            </w:r>
            <w:r w:rsidR="009C3494">
              <w:rPr>
                <w:sz w:val="22"/>
                <w:szCs w:val="22"/>
              </w:rPr>
              <w:t>that</w:t>
            </w:r>
            <w:r w:rsidR="009C3494" w:rsidRPr="00D35FFF">
              <w:rPr>
                <w:sz w:val="22"/>
                <w:szCs w:val="22"/>
              </w:rPr>
              <w:t xml:space="preserve"> </w:t>
            </w:r>
            <w:r w:rsidRPr="00D35FFF">
              <w:rPr>
                <w:sz w:val="22"/>
                <w:szCs w:val="22"/>
              </w:rPr>
              <w:t>businesses were viable in the short term.</w:t>
            </w:r>
            <w:r w:rsidR="000360D8">
              <w:rPr>
                <w:sz w:val="22"/>
                <w:szCs w:val="22"/>
              </w:rPr>
              <w:t xml:space="preserve"> Results against the </w:t>
            </w:r>
            <w:r w:rsidR="000360D8">
              <w:rPr>
                <w:sz w:val="22"/>
              </w:rPr>
              <w:t xml:space="preserve">four-year </w:t>
            </w:r>
            <w:r w:rsidR="000360D8" w:rsidRPr="00D54F1B">
              <w:rPr>
                <w:sz w:val="22"/>
              </w:rPr>
              <w:t xml:space="preserve">business survivability rates were </w:t>
            </w:r>
            <w:r w:rsidR="000360D8">
              <w:rPr>
                <w:sz w:val="22"/>
              </w:rPr>
              <w:t>consistent with or greater than broader ABS rates for most similar sized business.</w:t>
            </w:r>
            <w:r w:rsidRPr="00D35FFF">
              <w:rPr>
                <w:sz w:val="22"/>
                <w:szCs w:val="22"/>
              </w:rPr>
              <w:t xml:space="preserve"> However, this </w:t>
            </w:r>
            <w:r w:rsidR="009C3494">
              <w:rPr>
                <w:sz w:val="22"/>
                <w:szCs w:val="22"/>
              </w:rPr>
              <w:t>does</w:t>
            </w:r>
            <w:r w:rsidR="009C3494" w:rsidRPr="00D35FFF">
              <w:rPr>
                <w:sz w:val="22"/>
                <w:szCs w:val="22"/>
              </w:rPr>
              <w:t xml:space="preserve"> </w:t>
            </w:r>
            <w:r w:rsidRPr="00D35FFF">
              <w:rPr>
                <w:sz w:val="22"/>
                <w:szCs w:val="22"/>
              </w:rPr>
              <w:t>not indicate whether business</w:t>
            </w:r>
            <w:r w:rsidR="009C3494">
              <w:rPr>
                <w:sz w:val="22"/>
                <w:szCs w:val="22"/>
              </w:rPr>
              <w:t>es</w:t>
            </w:r>
            <w:r w:rsidRPr="00D35FFF">
              <w:rPr>
                <w:sz w:val="22"/>
                <w:szCs w:val="22"/>
              </w:rPr>
              <w:t xml:space="preserve"> </w:t>
            </w:r>
            <w:r w:rsidR="009C3494">
              <w:rPr>
                <w:sz w:val="22"/>
                <w:szCs w:val="22"/>
              </w:rPr>
              <w:t>were</w:t>
            </w:r>
            <w:r w:rsidR="009C3494" w:rsidRPr="00D35FFF">
              <w:rPr>
                <w:sz w:val="22"/>
                <w:szCs w:val="22"/>
              </w:rPr>
              <w:t xml:space="preserve"> </w:t>
            </w:r>
            <w:r w:rsidRPr="00D35FFF">
              <w:rPr>
                <w:sz w:val="22"/>
                <w:szCs w:val="22"/>
              </w:rPr>
              <w:t>growing or competitive. IBA</w:t>
            </w:r>
            <w:r w:rsidR="008527CB" w:rsidRPr="00D35FFF">
              <w:rPr>
                <w:sz w:val="22"/>
                <w:szCs w:val="22"/>
              </w:rPr>
              <w:t>’s</w:t>
            </w:r>
            <w:r w:rsidRPr="00D35FFF">
              <w:rPr>
                <w:sz w:val="22"/>
                <w:szCs w:val="22"/>
              </w:rPr>
              <w:t xml:space="preserve"> </w:t>
            </w:r>
            <w:r w:rsidR="00716C95" w:rsidRPr="00D35FFF">
              <w:rPr>
                <w:sz w:val="22"/>
                <w:szCs w:val="22"/>
              </w:rPr>
              <w:t xml:space="preserve">2020 </w:t>
            </w:r>
            <w:r w:rsidR="000360D8">
              <w:rPr>
                <w:sz w:val="22"/>
                <w:szCs w:val="22"/>
              </w:rPr>
              <w:t xml:space="preserve">Social Impact Survey (and associated </w:t>
            </w:r>
            <w:r w:rsidRPr="00D35FFF">
              <w:rPr>
                <w:sz w:val="22"/>
                <w:szCs w:val="22"/>
              </w:rPr>
              <w:t>framework</w:t>
            </w:r>
            <w:r w:rsidR="000360D8">
              <w:rPr>
                <w:sz w:val="22"/>
                <w:szCs w:val="22"/>
              </w:rPr>
              <w:t>)</w:t>
            </w:r>
            <w:r w:rsidRPr="00D35FFF">
              <w:rPr>
                <w:sz w:val="22"/>
                <w:szCs w:val="22"/>
              </w:rPr>
              <w:t xml:space="preserve"> did indicate some </w:t>
            </w:r>
            <w:r w:rsidR="008557E8" w:rsidRPr="00D35FFF">
              <w:rPr>
                <w:sz w:val="22"/>
                <w:szCs w:val="22"/>
              </w:rPr>
              <w:t>medium-term</w:t>
            </w:r>
            <w:r w:rsidRPr="00D35FFF">
              <w:rPr>
                <w:sz w:val="22"/>
                <w:szCs w:val="22"/>
              </w:rPr>
              <w:t xml:space="preserve"> benefits to engagement in the business and finance program including empowerment, </w:t>
            </w:r>
            <w:r w:rsidR="00716C95" w:rsidRPr="00D35FFF">
              <w:rPr>
                <w:sz w:val="22"/>
                <w:szCs w:val="22"/>
              </w:rPr>
              <w:t xml:space="preserve">financial </w:t>
            </w:r>
            <w:r w:rsidR="008557E8" w:rsidRPr="00D35FFF">
              <w:rPr>
                <w:sz w:val="22"/>
                <w:szCs w:val="22"/>
              </w:rPr>
              <w:t>resilience,</w:t>
            </w:r>
            <w:r w:rsidR="00716C95" w:rsidRPr="00D35FFF">
              <w:rPr>
                <w:sz w:val="22"/>
                <w:szCs w:val="22"/>
              </w:rPr>
              <w:t xml:space="preserve"> and wellbeing.</w:t>
            </w:r>
          </w:p>
          <w:p w14:paraId="08DCD398" w14:textId="27E933A4" w:rsidR="00E816FB" w:rsidRDefault="00E816FB" w:rsidP="006F4BE9">
            <w:pPr>
              <w:pStyle w:val="Findingssummarylist"/>
              <w:rPr>
                <w:sz w:val="22"/>
                <w:szCs w:val="22"/>
              </w:rPr>
            </w:pPr>
            <w:r w:rsidRPr="00D35FFF">
              <w:rPr>
                <w:sz w:val="22"/>
                <w:szCs w:val="22"/>
              </w:rPr>
              <w:t xml:space="preserve">There was no evidence that there were significant loan defaults </w:t>
            </w:r>
            <w:r w:rsidR="009C3494">
              <w:rPr>
                <w:sz w:val="22"/>
                <w:szCs w:val="22"/>
              </w:rPr>
              <w:t>by BSP customers.</w:t>
            </w:r>
            <w:r w:rsidR="009C3494" w:rsidRPr="00D35FFF">
              <w:rPr>
                <w:sz w:val="22"/>
                <w:szCs w:val="22"/>
              </w:rPr>
              <w:t xml:space="preserve"> </w:t>
            </w:r>
            <w:r w:rsidRPr="00D35FFF">
              <w:rPr>
                <w:sz w:val="22"/>
                <w:szCs w:val="22"/>
              </w:rPr>
              <w:t>IBA</w:t>
            </w:r>
            <w:r w:rsidR="0066574D" w:rsidRPr="00D35FFF">
              <w:rPr>
                <w:sz w:val="22"/>
                <w:szCs w:val="22"/>
              </w:rPr>
              <w:t xml:space="preserve"> instigat</w:t>
            </w:r>
            <w:r w:rsidR="009C3494">
              <w:rPr>
                <w:sz w:val="22"/>
                <w:szCs w:val="22"/>
              </w:rPr>
              <w:t>ed</w:t>
            </w:r>
            <w:r w:rsidR="0066574D" w:rsidRPr="00D35FFF">
              <w:rPr>
                <w:sz w:val="22"/>
                <w:szCs w:val="22"/>
              </w:rPr>
              <w:t xml:space="preserve"> various management actions</w:t>
            </w:r>
            <w:r w:rsidR="00091DE8" w:rsidRPr="00D35FFF">
              <w:rPr>
                <w:sz w:val="22"/>
                <w:szCs w:val="22"/>
              </w:rPr>
              <w:t>, including the appointment of external business support</w:t>
            </w:r>
            <w:r w:rsidR="009C3494">
              <w:rPr>
                <w:sz w:val="22"/>
                <w:szCs w:val="22"/>
              </w:rPr>
              <w:t>,</w:t>
            </w:r>
            <w:r w:rsidR="00091DE8" w:rsidRPr="00D35FFF">
              <w:rPr>
                <w:sz w:val="22"/>
                <w:szCs w:val="22"/>
              </w:rPr>
              <w:t xml:space="preserve"> to help business</w:t>
            </w:r>
            <w:r w:rsidR="009C3494">
              <w:rPr>
                <w:sz w:val="22"/>
                <w:szCs w:val="22"/>
              </w:rPr>
              <w:t>es</w:t>
            </w:r>
            <w:r w:rsidR="00091DE8" w:rsidRPr="00D35FFF">
              <w:rPr>
                <w:sz w:val="22"/>
                <w:szCs w:val="22"/>
              </w:rPr>
              <w:t xml:space="preserve"> recover prior to </w:t>
            </w:r>
            <w:r w:rsidRPr="00D35FFF">
              <w:rPr>
                <w:sz w:val="22"/>
                <w:szCs w:val="22"/>
              </w:rPr>
              <w:t>drawing down upon bad debt provisions.</w:t>
            </w:r>
            <w:r w:rsidR="006F4BE9">
              <w:rPr>
                <w:sz w:val="22"/>
                <w:szCs w:val="22"/>
              </w:rPr>
              <w:t xml:space="preserve"> </w:t>
            </w:r>
            <w:r w:rsidR="00F54AFE" w:rsidRPr="006F4BE9">
              <w:rPr>
                <w:sz w:val="22"/>
                <w:szCs w:val="22"/>
              </w:rPr>
              <w:t>In addition to the ‘Business as Usual’, the COVID</w:t>
            </w:r>
            <w:r w:rsidR="00343A6E" w:rsidRPr="006F4BE9">
              <w:rPr>
                <w:sz w:val="22"/>
                <w:szCs w:val="22"/>
              </w:rPr>
              <w:t>-19</w:t>
            </w:r>
            <w:r w:rsidR="00F54AFE" w:rsidRPr="006F4BE9">
              <w:rPr>
                <w:sz w:val="22"/>
                <w:szCs w:val="22"/>
              </w:rPr>
              <w:t xml:space="preserve"> IBRP provide</w:t>
            </w:r>
            <w:r w:rsidR="00343A6E" w:rsidRPr="006F4BE9">
              <w:rPr>
                <w:sz w:val="22"/>
                <w:szCs w:val="22"/>
              </w:rPr>
              <w:t>d</w:t>
            </w:r>
            <w:r w:rsidR="00F54AFE" w:rsidRPr="006F4BE9">
              <w:rPr>
                <w:sz w:val="22"/>
                <w:szCs w:val="22"/>
              </w:rPr>
              <w:t xml:space="preserve"> specific, additional support.</w:t>
            </w:r>
          </w:p>
          <w:p w14:paraId="386EE2BC" w14:textId="3FE4F90B" w:rsidR="000360D8" w:rsidRPr="006F4BE9" w:rsidRDefault="000360D8" w:rsidP="006F4BE9">
            <w:pPr>
              <w:pStyle w:val="Findingssummarylist"/>
              <w:rPr>
                <w:sz w:val="22"/>
                <w:szCs w:val="22"/>
              </w:rPr>
            </w:pPr>
            <w:r>
              <w:rPr>
                <w:sz w:val="22"/>
              </w:rPr>
              <w:t xml:space="preserve">No exit strategy was included in the BSP design to encourage mature businesses to seek access to business finance from other sources. This has resulted in there being little evidence of </w:t>
            </w:r>
            <w:r w:rsidRPr="00D54F1B">
              <w:rPr>
                <w:sz w:val="22"/>
              </w:rPr>
              <w:t>BSP-supported businesses hav</w:t>
            </w:r>
            <w:r>
              <w:rPr>
                <w:sz w:val="22"/>
              </w:rPr>
              <w:t>ing</w:t>
            </w:r>
            <w:r w:rsidRPr="00D54F1B">
              <w:rPr>
                <w:sz w:val="22"/>
              </w:rPr>
              <w:t xml:space="preserve"> graduated to accessing capital from mainstream/</w:t>
            </w:r>
            <w:r>
              <w:rPr>
                <w:sz w:val="22"/>
              </w:rPr>
              <w:t xml:space="preserve"> </w:t>
            </w:r>
            <w:r w:rsidRPr="00D54F1B">
              <w:rPr>
                <w:sz w:val="22"/>
              </w:rPr>
              <w:t xml:space="preserve">private sector lending organisations. </w:t>
            </w:r>
          </w:p>
          <w:p w14:paraId="1AAE2718" w14:textId="5E73D532" w:rsidR="00E816FB" w:rsidRPr="00D35FFF" w:rsidRDefault="00E816FB" w:rsidP="009761AD">
            <w:pPr>
              <w:pStyle w:val="TableText"/>
              <w:rPr>
                <w:b/>
                <w:bCs/>
                <w:sz w:val="22"/>
                <w:szCs w:val="22"/>
              </w:rPr>
            </w:pPr>
            <w:r w:rsidRPr="00D35FFF">
              <w:rPr>
                <w:b/>
                <w:bCs/>
                <w:sz w:val="22"/>
                <w:szCs w:val="22"/>
              </w:rPr>
              <w:t>Long</w:t>
            </w:r>
            <w:r w:rsidR="00B64DDD" w:rsidRPr="00D35FFF">
              <w:rPr>
                <w:b/>
                <w:bCs/>
                <w:sz w:val="22"/>
                <w:szCs w:val="22"/>
              </w:rPr>
              <w:t>-</w:t>
            </w:r>
            <w:r w:rsidR="009C3494">
              <w:rPr>
                <w:b/>
                <w:bCs/>
                <w:sz w:val="22"/>
                <w:szCs w:val="22"/>
              </w:rPr>
              <w:t>t</w:t>
            </w:r>
            <w:r w:rsidRPr="00D35FFF">
              <w:rPr>
                <w:b/>
                <w:bCs/>
                <w:sz w:val="22"/>
                <w:szCs w:val="22"/>
              </w:rPr>
              <w:t>erm</w:t>
            </w:r>
          </w:p>
          <w:p w14:paraId="261E7207" w14:textId="1CC6B928" w:rsidR="00E816FB" w:rsidRPr="00D35FFF" w:rsidRDefault="00E816FB" w:rsidP="0066574D">
            <w:pPr>
              <w:pStyle w:val="Findingssummarylist"/>
              <w:rPr>
                <w:sz w:val="22"/>
                <w:szCs w:val="22"/>
              </w:rPr>
            </w:pPr>
            <w:r w:rsidRPr="00D35FFF">
              <w:rPr>
                <w:sz w:val="22"/>
                <w:szCs w:val="22"/>
              </w:rPr>
              <w:t>There was anecdotal and some published material</w:t>
            </w:r>
            <w:r w:rsidR="006F4BE9">
              <w:rPr>
                <w:sz w:val="22"/>
                <w:szCs w:val="22"/>
              </w:rPr>
              <w:t xml:space="preserve"> indicating</w:t>
            </w:r>
            <w:r w:rsidRPr="00D35FFF">
              <w:rPr>
                <w:sz w:val="22"/>
                <w:szCs w:val="22"/>
              </w:rPr>
              <w:t xml:space="preserve"> that the Indigenous business sector is vibrant and growing. </w:t>
            </w:r>
            <w:r w:rsidR="00091DE8" w:rsidRPr="00D35FFF">
              <w:rPr>
                <w:sz w:val="22"/>
                <w:szCs w:val="28"/>
              </w:rPr>
              <w:t>The BSP has loaned money to 630 customers which is about 17% of Indigenous businesses in Australia</w:t>
            </w:r>
            <w:r w:rsidR="006F4BE9">
              <w:rPr>
                <w:sz w:val="22"/>
                <w:szCs w:val="28"/>
              </w:rPr>
              <w:t xml:space="preserve"> (based on 2018 estimates)</w:t>
            </w:r>
            <w:r w:rsidR="00091DE8" w:rsidRPr="00D35FFF">
              <w:rPr>
                <w:sz w:val="22"/>
                <w:szCs w:val="28"/>
              </w:rPr>
              <w:t xml:space="preserve">. </w:t>
            </w:r>
            <w:r w:rsidRPr="00D35FFF">
              <w:rPr>
                <w:sz w:val="22"/>
                <w:szCs w:val="22"/>
              </w:rPr>
              <w:t>The program impact was potentially higher in regional</w:t>
            </w:r>
            <w:r w:rsidR="00343A6E" w:rsidRPr="00D35FFF">
              <w:rPr>
                <w:sz w:val="22"/>
                <w:szCs w:val="22"/>
              </w:rPr>
              <w:t xml:space="preserve"> and</w:t>
            </w:r>
            <w:r w:rsidR="00091DE8" w:rsidRPr="00D35FFF">
              <w:rPr>
                <w:sz w:val="22"/>
                <w:szCs w:val="22"/>
              </w:rPr>
              <w:t xml:space="preserve"> </w:t>
            </w:r>
            <w:r w:rsidRPr="00D35FFF">
              <w:rPr>
                <w:sz w:val="22"/>
                <w:szCs w:val="22"/>
              </w:rPr>
              <w:t>remote areas where it can be more challenging to start up a business.</w:t>
            </w:r>
          </w:p>
          <w:p w14:paraId="14890197" w14:textId="0EB9ECC8" w:rsidR="00E816FB" w:rsidRPr="00D35FFF" w:rsidRDefault="00E816FB" w:rsidP="0066574D">
            <w:pPr>
              <w:pStyle w:val="Findingssummarylist"/>
              <w:rPr>
                <w:sz w:val="22"/>
                <w:szCs w:val="22"/>
              </w:rPr>
            </w:pPr>
            <w:r w:rsidRPr="00D35FFF">
              <w:rPr>
                <w:sz w:val="22"/>
                <w:szCs w:val="22"/>
              </w:rPr>
              <w:t>There was also evidence that the longer</w:t>
            </w:r>
            <w:r w:rsidR="00B64DDD" w:rsidRPr="00D35FFF">
              <w:rPr>
                <w:sz w:val="22"/>
                <w:szCs w:val="22"/>
              </w:rPr>
              <w:t>-</w:t>
            </w:r>
            <w:r w:rsidRPr="00D35FFF">
              <w:rPr>
                <w:sz w:val="22"/>
                <w:szCs w:val="22"/>
              </w:rPr>
              <w:t xml:space="preserve">term viability and potential of </w:t>
            </w:r>
            <w:r w:rsidR="00091DE8" w:rsidRPr="00D35FFF">
              <w:rPr>
                <w:sz w:val="22"/>
                <w:szCs w:val="22"/>
              </w:rPr>
              <w:t xml:space="preserve">Indigenous businesses </w:t>
            </w:r>
            <w:r w:rsidRPr="00D35FFF">
              <w:rPr>
                <w:sz w:val="22"/>
                <w:szCs w:val="22"/>
              </w:rPr>
              <w:t xml:space="preserve">to support economic wealth and employment could be improved through greater integration </w:t>
            </w:r>
            <w:r w:rsidR="00091DE8" w:rsidRPr="00D35FFF">
              <w:rPr>
                <w:sz w:val="22"/>
                <w:szCs w:val="22"/>
              </w:rPr>
              <w:t xml:space="preserve">and awareness of support across the </w:t>
            </w:r>
            <w:r w:rsidR="00716C95" w:rsidRPr="00D35FFF">
              <w:rPr>
                <w:sz w:val="22"/>
                <w:szCs w:val="22"/>
              </w:rPr>
              <w:t>Indigenous business ecosystem</w:t>
            </w:r>
            <w:r w:rsidRPr="00D35FFF">
              <w:rPr>
                <w:sz w:val="22"/>
                <w:szCs w:val="22"/>
              </w:rPr>
              <w:t xml:space="preserve">. </w:t>
            </w:r>
            <w:r w:rsidR="00716C95" w:rsidRPr="00D35FFF">
              <w:rPr>
                <w:sz w:val="22"/>
                <w:szCs w:val="22"/>
              </w:rPr>
              <w:t>This f</w:t>
            </w:r>
            <w:r w:rsidRPr="00D35FFF">
              <w:rPr>
                <w:sz w:val="22"/>
                <w:szCs w:val="22"/>
              </w:rPr>
              <w:t>urther emphas</w:t>
            </w:r>
            <w:r w:rsidR="00716C95" w:rsidRPr="00D35FFF">
              <w:rPr>
                <w:sz w:val="22"/>
                <w:szCs w:val="22"/>
              </w:rPr>
              <w:t xml:space="preserve">ises </w:t>
            </w:r>
            <w:r w:rsidRPr="00D35FFF">
              <w:rPr>
                <w:sz w:val="22"/>
                <w:szCs w:val="22"/>
              </w:rPr>
              <w:t>the importance of a referral system. There are opportunities for trialling</w:t>
            </w:r>
            <w:r w:rsidR="00343A6E" w:rsidRPr="00D35FFF">
              <w:rPr>
                <w:sz w:val="22"/>
                <w:szCs w:val="22"/>
              </w:rPr>
              <w:t xml:space="preserve"> or</w:t>
            </w:r>
            <w:r w:rsidR="00716C95" w:rsidRPr="00D35FFF">
              <w:rPr>
                <w:sz w:val="22"/>
                <w:szCs w:val="22"/>
              </w:rPr>
              <w:t xml:space="preserve"> </w:t>
            </w:r>
            <w:r w:rsidRPr="00D35FFF">
              <w:rPr>
                <w:sz w:val="22"/>
                <w:szCs w:val="22"/>
              </w:rPr>
              <w:t xml:space="preserve">investigating options for </w:t>
            </w:r>
            <w:r w:rsidR="008557E8" w:rsidRPr="00D35FFF">
              <w:rPr>
                <w:sz w:val="22"/>
                <w:szCs w:val="22"/>
              </w:rPr>
              <w:t>community-based</w:t>
            </w:r>
            <w:r w:rsidRPr="00D35FFF">
              <w:rPr>
                <w:sz w:val="22"/>
                <w:szCs w:val="22"/>
              </w:rPr>
              <w:t xml:space="preserve"> business development to improve broader impacts.</w:t>
            </w:r>
          </w:p>
          <w:p w14:paraId="3987DD9F" w14:textId="35034107" w:rsidR="00E816FB" w:rsidRPr="00FE73DE" w:rsidRDefault="00E816FB" w:rsidP="0066574D">
            <w:pPr>
              <w:pStyle w:val="Findingssummarylist"/>
            </w:pPr>
            <w:r w:rsidRPr="00D35FFF">
              <w:rPr>
                <w:sz w:val="22"/>
                <w:szCs w:val="22"/>
              </w:rPr>
              <w:t xml:space="preserve">There are a number of </w:t>
            </w:r>
            <w:r w:rsidR="006F4BE9">
              <w:rPr>
                <w:sz w:val="22"/>
                <w:szCs w:val="22"/>
              </w:rPr>
              <w:t xml:space="preserve">potential </w:t>
            </w:r>
            <w:r w:rsidRPr="00D35FFF">
              <w:rPr>
                <w:sz w:val="22"/>
                <w:szCs w:val="22"/>
              </w:rPr>
              <w:t>strategies to improve understand</w:t>
            </w:r>
            <w:r w:rsidR="006F4BE9">
              <w:rPr>
                <w:sz w:val="22"/>
                <w:szCs w:val="22"/>
              </w:rPr>
              <w:t>ing of</w:t>
            </w:r>
            <w:r w:rsidRPr="00D35FFF">
              <w:rPr>
                <w:sz w:val="22"/>
                <w:szCs w:val="22"/>
              </w:rPr>
              <w:t xml:space="preserve"> longer term outcomes</w:t>
            </w:r>
            <w:r w:rsidR="006F4BE9">
              <w:rPr>
                <w:sz w:val="22"/>
                <w:szCs w:val="22"/>
              </w:rPr>
              <w:t>,</w:t>
            </w:r>
            <w:r w:rsidRPr="00D35FFF">
              <w:rPr>
                <w:sz w:val="22"/>
                <w:szCs w:val="22"/>
              </w:rPr>
              <w:t xml:space="preserve"> including </w:t>
            </w:r>
            <w:r w:rsidR="006F4BE9">
              <w:rPr>
                <w:sz w:val="22"/>
                <w:szCs w:val="22"/>
              </w:rPr>
              <w:t xml:space="preserve">developing </w:t>
            </w:r>
            <w:r w:rsidRPr="00D35FFF">
              <w:rPr>
                <w:sz w:val="22"/>
                <w:szCs w:val="22"/>
              </w:rPr>
              <w:t xml:space="preserve">better knowledge of </w:t>
            </w:r>
            <w:r w:rsidR="006F4BE9">
              <w:rPr>
                <w:sz w:val="22"/>
                <w:szCs w:val="22"/>
              </w:rPr>
              <w:t xml:space="preserve">the </w:t>
            </w:r>
            <w:r w:rsidR="00343A6E" w:rsidRPr="00D35FFF">
              <w:rPr>
                <w:sz w:val="22"/>
                <w:szCs w:val="22"/>
              </w:rPr>
              <w:t xml:space="preserve">sector </w:t>
            </w:r>
            <w:r w:rsidRPr="00D35FFF">
              <w:rPr>
                <w:sz w:val="22"/>
                <w:szCs w:val="22"/>
              </w:rPr>
              <w:t>overall, tracking customers through their journey</w:t>
            </w:r>
            <w:r w:rsidR="00343A6E" w:rsidRPr="00D35FFF">
              <w:rPr>
                <w:sz w:val="22"/>
                <w:szCs w:val="22"/>
              </w:rPr>
              <w:t>,</w:t>
            </w:r>
            <w:r w:rsidRPr="00D35FFF">
              <w:rPr>
                <w:sz w:val="22"/>
                <w:szCs w:val="22"/>
              </w:rPr>
              <w:t xml:space="preserve"> and developing more sensitive measures of long</w:t>
            </w:r>
            <w:r w:rsidR="00B64DDD" w:rsidRPr="00D35FFF">
              <w:rPr>
                <w:sz w:val="22"/>
                <w:szCs w:val="22"/>
              </w:rPr>
              <w:t>-</w:t>
            </w:r>
            <w:r w:rsidRPr="00D35FFF">
              <w:rPr>
                <w:sz w:val="22"/>
                <w:szCs w:val="22"/>
              </w:rPr>
              <w:t xml:space="preserve">term business </w:t>
            </w:r>
            <w:r w:rsidR="00F54AFE" w:rsidRPr="00D35FFF">
              <w:rPr>
                <w:sz w:val="22"/>
                <w:szCs w:val="22"/>
              </w:rPr>
              <w:t>success</w:t>
            </w:r>
            <w:r w:rsidRPr="00D35FFF">
              <w:rPr>
                <w:sz w:val="22"/>
                <w:szCs w:val="22"/>
              </w:rPr>
              <w:t>.</w:t>
            </w:r>
          </w:p>
        </w:tc>
      </w:tr>
    </w:tbl>
    <w:p w14:paraId="02FE3D93" w14:textId="77777777" w:rsidR="00E816FB" w:rsidRPr="00FE73DE" w:rsidRDefault="00E816FB" w:rsidP="00B16713"/>
    <w:p w14:paraId="2C03698E" w14:textId="11DB8107" w:rsidR="00317D0C" w:rsidRPr="00FE73DE" w:rsidRDefault="00F54AFE" w:rsidP="00757C55">
      <w:pPr>
        <w:pStyle w:val="Heading2"/>
        <w:ind w:hanging="792"/>
      </w:pPr>
      <w:bookmarkStart w:id="96" w:name="_Toc123734711"/>
      <w:bookmarkStart w:id="97" w:name="_Hlk110848548"/>
      <w:r w:rsidRPr="00FE73DE">
        <w:t>S</w:t>
      </w:r>
      <w:r w:rsidR="00317D0C" w:rsidRPr="00FE73DE">
        <w:t>hort-</w:t>
      </w:r>
      <w:r w:rsidR="003C5F8C" w:rsidRPr="00FE73DE">
        <w:t>t</w:t>
      </w:r>
      <w:r w:rsidR="00317D0C" w:rsidRPr="00FE73DE">
        <w:t xml:space="preserve">erm </w:t>
      </w:r>
      <w:r w:rsidR="00B11880">
        <w:t>o</w:t>
      </w:r>
      <w:r w:rsidR="00317D0C" w:rsidRPr="00FE73DE">
        <w:t>utcomes</w:t>
      </w:r>
      <w:r w:rsidR="00B64DDD" w:rsidRPr="00FE73DE">
        <w:t xml:space="preserve"> –</w:t>
      </w:r>
      <w:r w:rsidRPr="00FE73DE">
        <w:t xml:space="preserve"> </w:t>
      </w:r>
      <w:r w:rsidR="00B11880">
        <w:t>e</w:t>
      </w:r>
      <w:r w:rsidRPr="00FE73DE">
        <w:t xml:space="preserve">nabling </w:t>
      </w:r>
      <w:r w:rsidR="00D36428" w:rsidRPr="00FE73DE">
        <w:t>c</w:t>
      </w:r>
      <w:r w:rsidRPr="00FE73DE">
        <w:t>ustomers al</w:t>
      </w:r>
      <w:r w:rsidR="00154896" w:rsidRPr="00FE73DE">
        <w:t xml:space="preserve">ong the </w:t>
      </w:r>
      <w:r w:rsidR="00D36428" w:rsidRPr="00FE73DE">
        <w:t>b</w:t>
      </w:r>
      <w:r w:rsidR="00154896" w:rsidRPr="00FE73DE">
        <w:t xml:space="preserve">usiness </w:t>
      </w:r>
      <w:r w:rsidR="00D36428" w:rsidRPr="00FE73DE">
        <w:t>d</w:t>
      </w:r>
      <w:r w:rsidR="00154896" w:rsidRPr="00FE73DE">
        <w:t xml:space="preserve">evelopment </w:t>
      </w:r>
      <w:r w:rsidR="00D36428" w:rsidRPr="00FE73DE">
        <w:t>j</w:t>
      </w:r>
      <w:r w:rsidR="00154896" w:rsidRPr="00FE73DE">
        <w:t>ourney</w:t>
      </w:r>
      <w:bookmarkEnd w:id="96"/>
    </w:p>
    <w:p w14:paraId="6CC84FE7" w14:textId="06166840" w:rsidR="00154896" w:rsidRPr="00FE73DE" w:rsidRDefault="00154896" w:rsidP="00154896">
      <w:bookmarkStart w:id="98" w:name="_Hlk105684940"/>
      <w:r w:rsidRPr="00FE73DE">
        <w:t>The program logic anticipated that in the short-term, BSP customers would become prepared for business success by accessing business support services. It anticipated that this would occur through a variety of ways including participating in learning and networking events, building their financial and business capabilities, being supported to develop quality and viable business plans, assistance in identifying markets, channels</w:t>
      </w:r>
      <w:r w:rsidR="00FD6929">
        <w:t>,</w:t>
      </w:r>
      <w:r w:rsidRPr="00FE73DE">
        <w:t xml:space="preserve"> and customers, and establishing or enhancing business systems and practices.</w:t>
      </w:r>
    </w:p>
    <w:p w14:paraId="5BAE5085" w14:textId="77777777" w:rsidR="00154896" w:rsidRPr="00FE73DE" w:rsidRDefault="00154896" w:rsidP="00154896">
      <w:r w:rsidRPr="00FE73DE">
        <w:t xml:space="preserve">In the short-term, the program logic anticipated that support under the BSP, particularly for early stage and pre-bank entrepreneurs, would assist the Indigenous business sector to grow and develop. It was hoped that this could be measured through an increase in the number, size, and type (sector) of businesses. It was anticipated that with such an increase in Indigenous businesses there would be a flow-on increase in the employment of Indigenous people, and the increased procurement of Indigenous-provided goods and services. </w:t>
      </w:r>
    </w:p>
    <w:p w14:paraId="5824F2B3" w14:textId="4E3E022D" w:rsidR="00154896" w:rsidRPr="00FE73DE" w:rsidRDefault="00154896">
      <w:pPr>
        <w:pStyle w:val="Heading3"/>
      </w:pPr>
      <w:bookmarkStart w:id="99" w:name="_Toc108632464"/>
      <w:bookmarkStart w:id="100" w:name="_Toc109569515"/>
      <w:bookmarkEnd w:id="98"/>
      <w:r w:rsidRPr="00FE73DE">
        <w:t xml:space="preserve">Provision of </w:t>
      </w:r>
      <w:r w:rsidR="00B11880">
        <w:t>l</w:t>
      </w:r>
      <w:r w:rsidRPr="00FE73DE">
        <w:t>oans</w:t>
      </w:r>
      <w:bookmarkEnd w:id="99"/>
      <w:bookmarkEnd w:id="100"/>
    </w:p>
    <w:bookmarkEnd w:id="97"/>
    <w:p w14:paraId="19B49489" w14:textId="7DD49752" w:rsidR="00190EAB" w:rsidRPr="00FE73DE" w:rsidRDefault="00701509" w:rsidP="00190EAB">
      <w:r w:rsidRPr="00FE73DE">
        <w:t xml:space="preserve">Over the </w:t>
      </w:r>
      <w:r w:rsidR="00FB34E3">
        <w:t>5-</w:t>
      </w:r>
      <w:r w:rsidRPr="00FE73DE">
        <w:t>year period of 201</w:t>
      </w:r>
      <w:r w:rsidR="008557E8">
        <w:t>6–</w:t>
      </w:r>
      <w:r w:rsidRPr="00FE73DE">
        <w:t>17 to 202</w:t>
      </w:r>
      <w:r w:rsidR="008557E8">
        <w:t>0–</w:t>
      </w:r>
      <w:r w:rsidRPr="00FE73DE">
        <w:t>21, the number of loans in IBA’s business loan portfolio grew every year, with a total of 492 loans in 202</w:t>
      </w:r>
      <w:r w:rsidR="008557E8">
        <w:t>0–</w:t>
      </w:r>
      <w:r w:rsidRPr="00FE73DE">
        <w:t>21 (</w:t>
      </w:r>
      <w:r w:rsidRPr="00FE73DE">
        <w:fldChar w:fldCharType="begin"/>
      </w:r>
      <w:r w:rsidRPr="00FE73DE">
        <w:instrText xml:space="preserve"> REF _Ref105427262 \h </w:instrText>
      </w:r>
      <w:r w:rsidRPr="00FE73DE">
        <w:fldChar w:fldCharType="separate"/>
      </w:r>
      <w:r w:rsidR="004718C9" w:rsidRPr="00FE73DE">
        <w:t xml:space="preserve">Table </w:t>
      </w:r>
      <w:r w:rsidR="004718C9">
        <w:rPr>
          <w:noProof/>
        </w:rPr>
        <w:t>6</w:t>
      </w:r>
      <w:r w:rsidRPr="00FE73DE">
        <w:fldChar w:fldCharType="end"/>
      </w:r>
      <w:r w:rsidRPr="00FE73DE">
        <w:t xml:space="preserve">). Over the period, the number of loans </w:t>
      </w:r>
      <w:r w:rsidR="00A557BD" w:rsidRPr="00FE73DE">
        <w:t>has</w:t>
      </w:r>
      <w:r w:rsidRPr="00FE73DE">
        <w:t xml:space="preserve"> more than doubled, while the average loan amount has considerably decreased from approximately $202,000 per loan for 201</w:t>
      </w:r>
      <w:r w:rsidR="008557E8">
        <w:t>6–</w:t>
      </w:r>
      <w:r w:rsidRPr="00FE73DE">
        <w:t>17 compared with $111,000 per loan for 202</w:t>
      </w:r>
      <w:r w:rsidR="008557E8">
        <w:t>0–</w:t>
      </w:r>
      <w:r w:rsidRPr="00FE73DE">
        <w:t xml:space="preserve">21. </w:t>
      </w:r>
      <w:r w:rsidR="00A557BD" w:rsidRPr="00FE73DE">
        <w:t>T</w:t>
      </w:r>
      <w:r w:rsidR="00190EAB" w:rsidRPr="00FE73DE">
        <w:t xml:space="preserve">he total value of all </w:t>
      </w:r>
      <w:r w:rsidR="00232938" w:rsidRPr="00FE73DE">
        <w:t xml:space="preserve">business </w:t>
      </w:r>
      <w:r w:rsidR="00190EAB" w:rsidRPr="00FE73DE">
        <w:t>loans stayed relatively stable</w:t>
      </w:r>
      <w:r w:rsidR="00232938" w:rsidRPr="00FE73DE">
        <w:rPr>
          <w:rStyle w:val="FootnoteReference"/>
        </w:rPr>
        <w:footnoteReference w:id="48"/>
      </w:r>
      <w:r w:rsidR="00190EAB" w:rsidRPr="00FE73DE">
        <w:t xml:space="preserve">. </w:t>
      </w:r>
    </w:p>
    <w:p w14:paraId="53E523CE" w14:textId="782E4C16" w:rsidR="00190EAB" w:rsidRPr="00FE73DE" w:rsidRDefault="00D65934" w:rsidP="00190EAB">
      <w:pPr>
        <w:pStyle w:val="Caption"/>
        <w:keepNext/>
      </w:pPr>
      <w:bookmarkStart w:id="101" w:name="_Ref105427262"/>
      <w:r w:rsidRPr="00FE73DE">
        <w:t xml:space="preserve">Table </w:t>
      </w:r>
      <w:fldSimple w:instr=" SEQ Table \* ARABIC ">
        <w:r w:rsidR="004718C9">
          <w:rPr>
            <w:noProof/>
          </w:rPr>
          <w:t>6</w:t>
        </w:r>
      </w:fldSimple>
      <w:bookmarkEnd w:id="101"/>
      <w:r w:rsidRPr="00FE73DE">
        <w:t xml:space="preserve">: </w:t>
      </w:r>
      <w:r w:rsidR="00190EAB" w:rsidRPr="00FE73DE">
        <w:t xml:space="preserve">Number and </w:t>
      </w:r>
      <w:r w:rsidR="00232938" w:rsidRPr="00FE73DE">
        <w:t>t</w:t>
      </w:r>
      <w:r w:rsidR="00190EAB" w:rsidRPr="00FE73DE">
        <w:t xml:space="preserve">otal </w:t>
      </w:r>
      <w:r w:rsidR="00232938" w:rsidRPr="00FE73DE">
        <w:t>v</w:t>
      </w:r>
      <w:r w:rsidR="00190EAB" w:rsidRPr="00FE73DE">
        <w:t xml:space="preserve">alue of </w:t>
      </w:r>
      <w:r w:rsidR="00A557BD" w:rsidRPr="00FE73DE">
        <w:t xml:space="preserve">business </w:t>
      </w:r>
      <w:r w:rsidR="00232938" w:rsidRPr="00FE73DE">
        <w:t>l</w:t>
      </w:r>
      <w:r w:rsidR="00190EAB" w:rsidRPr="00FE73DE">
        <w:t xml:space="preserve">oans by </w:t>
      </w:r>
      <w:r w:rsidR="00A557BD" w:rsidRPr="00FE73DE">
        <w:t>f</w:t>
      </w:r>
      <w:r w:rsidR="00190EAB" w:rsidRPr="00FE73DE">
        <w:t xml:space="preserve">inancial </w:t>
      </w:r>
      <w:r w:rsidR="00A557BD" w:rsidRPr="00FE73DE">
        <w:t>y</w:t>
      </w:r>
      <w:r w:rsidR="00190EAB" w:rsidRPr="00FE73DE">
        <w:t>ear</w:t>
      </w:r>
    </w:p>
    <w:tbl>
      <w:tblPr>
        <w:tblStyle w:val="Summaryboxtablestyle"/>
        <w:tblW w:w="0" w:type="auto"/>
        <w:tblLook w:val="04A0" w:firstRow="1" w:lastRow="0" w:firstColumn="1" w:lastColumn="0" w:noHBand="0" w:noVBand="1"/>
      </w:tblPr>
      <w:tblGrid>
        <w:gridCol w:w="2967"/>
        <w:gridCol w:w="2963"/>
        <w:gridCol w:w="2960"/>
      </w:tblGrid>
      <w:tr w:rsidR="00190EAB" w:rsidRPr="00FE73DE" w14:paraId="1598BCEA" w14:textId="77777777" w:rsidTr="003C69DA">
        <w:trPr>
          <w:cnfStyle w:val="100000000000" w:firstRow="1" w:lastRow="0" w:firstColumn="0" w:lastColumn="0" w:oddVBand="0" w:evenVBand="0" w:oddHBand="0" w:evenHBand="0" w:firstRowFirstColumn="0" w:firstRowLastColumn="0" w:lastRowFirstColumn="0" w:lastRowLastColumn="0"/>
          <w:tblHeader/>
        </w:trPr>
        <w:tc>
          <w:tcPr>
            <w:tcW w:w="3113" w:type="dxa"/>
          </w:tcPr>
          <w:p w14:paraId="189B6DCE" w14:textId="77777777" w:rsidR="00190EAB" w:rsidRPr="00FE73DE" w:rsidRDefault="00190EAB" w:rsidP="00586122">
            <w:pPr>
              <w:pStyle w:val="TableText"/>
              <w:rPr>
                <w:b w:val="0"/>
              </w:rPr>
            </w:pPr>
            <w:r w:rsidRPr="00FE73DE">
              <w:t>Financial Year</w:t>
            </w:r>
          </w:p>
        </w:tc>
        <w:tc>
          <w:tcPr>
            <w:tcW w:w="3113" w:type="dxa"/>
          </w:tcPr>
          <w:p w14:paraId="1DD034C1" w14:textId="0A030488" w:rsidR="00190EAB" w:rsidRPr="00FE73DE" w:rsidRDefault="00190EAB" w:rsidP="00586122">
            <w:pPr>
              <w:pStyle w:val="TableText"/>
              <w:rPr>
                <w:b w:val="0"/>
              </w:rPr>
            </w:pPr>
            <w:r w:rsidRPr="00FE73DE">
              <w:t xml:space="preserve">Number of </w:t>
            </w:r>
            <w:r w:rsidR="00A557BD" w:rsidRPr="00FE73DE">
              <w:t>l</w:t>
            </w:r>
            <w:r w:rsidRPr="00FE73DE">
              <w:t>oans</w:t>
            </w:r>
            <w:r w:rsidR="00A557BD" w:rsidRPr="00FE73DE">
              <w:t xml:space="preserve"> in the portfolio</w:t>
            </w:r>
          </w:p>
        </w:tc>
        <w:tc>
          <w:tcPr>
            <w:tcW w:w="3113" w:type="dxa"/>
          </w:tcPr>
          <w:p w14:paraId="57849D70" w14:textId="6756973E" w:rsidR="00190EAB" w:rsidRPr="00FE73DE" w:rsidRDefault="00190EAB" w:rsidP="00586122">
            <w:pPr>
              <w:pStyle w:val="TableText"/>
              <w:rPr>
                <w:b w:val="0"/>
              </w:rPr>
            </w:pPr>
            <w:r w:rsidRPr="00FE73DE">
              <w:t xml:space="preserve">Total </w:t>
            </w:r>
            <w:r w:rsidR="00A557BD" w:rsidRPr="00FE73DE">
              <w:t>v</w:t>
            </w:r>
            <w:r w:rsidRPr="00FE73DE">
              <w:t xml:space="preserve">alue of </w:t>
            </w:r>
            <w:r w:rsidR="00A557BD" w:rsidRPr="00FE73DE">
              <w:t>a</w:t>
            </w:r>
            <w:r w:rsidRPr="00FE73DE">
              <w:t xml:space="preserve">ll </w:t>
            </w:r>
            <w:r w:rsidR="00A557BD" w:rsidRPr="00FE73DE">
              <w:t>l</w:t>
            </w:r>
            <w:r w:rsidRPr="00FE73DE">
              <w:t xml:space="preserve">oans </w:t>
            </w:r>
            <w:r w:rsidR="0019533D" w:rsidRPr="00FE73DE">
              <w:br/>
            </w:r>
            <w:r w:rsidRPr="00FE73DE">
              <w:t>(in millions of $)</w:t>
            </w:r>
          </w:p>
        </w:tc>
      </w:tr>
      <w:tr w:rsidR="00190EAB" w:rsidRPr="00FE73DE" w14:paraId="0D1ED686" w14:textId="77777777" w:rsidTr="00190EAB">
        <w:tc>
          <w:tcPr>
            <w:tcW w:w="3113" w:type="dxa"/>
          </w:tcPr>
          <w:p w14:paraId="1F940DB7" w14:textId="7219AC6C" w:rsidR="00190EAB" w:rsidRPr="00FE73DE" w:rsidRDefault="00190EAB" w:rsidP="00586122">
            <w:pPr>
              <w:pStyle w:val="TableText"/>
            </w:pPr>
            <w:r w:rsidRPr="00FE73DE">
              <w:t>201</w:t>
            </w:r>
            <w:r w:rsidR="008557E8">
              <w:t>6–</w:t>
            </w:r>
            <w:r w:rsidRPr="00FE73DE">
              <w:t>17</w:t>
            </w:r>
          </w:p>
        </w:tc>
        <w:tc>
          <w:tcPr>
            <w:tcW w:w="3113" w:type="dxa"/>
          </w:tcPr>
          <w:p w14:paraId="0DDEDB82" w14:textId="77777777" w:rsidR="00190EAB" w:rsidRPr="00FE73DE" w:rsidRDefault="00190EAB" w:rsidP="00586122">
            <w:pPr>
              <w:pStyle w:val="TableText"/>
            </w:pPr>
            <w:r w:rsidRPr="00FE73DE">
              <w:t>237</w:t>
            </w:r>
          </w:p>
        </w:tc>
        <w:tc>
          <w:tcPr>
            <w:tcW w:w="3113" w:type="dxa"/>
          </w:tcPr>
          <w:p w14:paraId="3997BC48" w14:textId="77777777" w:rsidR="00190EAB" w:rsidRPr="00FE73DE" w:rsidRDefault="00190EAB" w:rsidP="00586122">
            <w:pPr>
              <w:pStyle w:val="TableText"/>
            </w:pPr>
            <w:r w:rsidRPr="00FE73DE">
              <w:t>47.9</w:t>
            </w:r>
          </w:p>
        </w:tc>
      </w:tr>
      <w:tr w:rsidR="00190EAB" w:rsidRPr="00FE73DE" w14:paraId="62EAAD4B" w14:textId="77777777" w:rsidTr="00190EAB">
        <w:trPr>
          <w:cnfStyle w:val="000000010000" w:firstRow="0" w:lastRow="0" w:firstColumn="0" w:lastColumn="0" w:oddVBand="0" w:evenVBand="0" w:oddHBand="0" w:evenHBand="1" w:firstRowFirstColumn="0" w:firstRowLastColumn="0" w:lastRowFirstColumn="0" w:lastRowLastColumn="0"/>
        </w:trPr>
        <w:tc>
          <w:tcPr>
            <w:tcW w:w="3113" w:type="dxa"/>
          </w:tcPr>
          <w:p w14:paraId="73188747" w14:textId="0E573EDB" w:rsidR="00190EAB" w:rsidRPr="00FE73DE" w:rsidRDefault="00190EAB" w:rsidP="00586122">
            <w:pPr>
              <w:pStyle w:val="TableText"/>
            </w:pPr>
            <w:r w:rsidRPr="00FE73DE">
              <w:t>201</w:t>
            </w:r>
            <w:r w:rsidR="008557E8">
              <w:t>7–</w:t>
            </w:r>
            <w:r w:rsidRPr="00FE73DE">
              <w:t>18</w:t>
            </w:r>
          </w:p>
        </w:tc>
        <w:tc>
          <w:tcPr>
            <w:tcW w:w="3113" w:type="dxa"/>
          </w:tcPr>
          <w:p w14:paraId="0F0A9C44" w14:textId="77777777" w:rsidR="00190EAB" w:rsidRPr="00FE73DE" w:rsidRDefault="00190EAB" w:rsidP="00586122">
            <w:pPr>
              <w:pStyle w:val="TableText"/>
            </w:pPr>
            <w:r w:rsidRPr="00FE73DE">
              <w:t>299</w:t>
            </w:r>
          </w:p>
        </w:tc>
        <w:tc>
          <w:tcPr>
            <w:tcW w:w="3113" w:type="dxa"/>
          </w:tcPr>
          <w:p w14:paraId="25199EB8" w14:textId="5ED5D001" w:rsidR="00190EAB" w:rsidRPr="00FE73DE" w:rsidRDefault="00190EAB" w:rsidP="00586122">
            <w:pPr>
              <w:pStyle w:val="TableText"/>
            </w:pPr>
            <w:r w:rsidRPr="00FE73DE">
              <w:t>55</w:t>
            </w:r>
            <w:r w:rsidR="000477F1" w:rsidRPr="00FE73DE">
              <w:t>.0</w:t>
            </w:r>
          </w:p>
        </w:tc>
      </w:tr>
      <w:tr w:rsidR="00190EAB" w:rsidRPr="00FE73DE" w14:paraId="06AAEB72" w14:textId="77777777" w:rsidTr="00190EAB">
        <w:tc>
          <w:tcPr>
            <w:tcW w:w="3113" w:type="dxa"/>
          </w:tcPr>
          <w:p w14:paraId="6006F5C7" w14:textId="5AC92342" w:rsidR="00190EAB" w:rsidRPr="00FE73DE" w:rsidRDefault="00190EAB" w:rsidP="00586122">
            <w:pPr>
              <w:pStyle w:val="TableText"/>
            </w:pPr>
            <w:r w:rsidRPr="00FE73DE">
              <w:t>201</w:t>
            </w:r>
            <w:r w:rsidR="008557E8">
              <w:t>8–</w:t>
            </w:r>
            <w:r w:rsidRPr="00FE73DE">
              <w:t>29</w:t>
            </w:r>
          </w:p>
        </w:tc>
        <w:tc>
          <w:tcPr>
            <w:tcW w:w="3113" w:type="dxa"/>
          </w:tcPr>
          <w:p w14:paraId="060FC3D7" w14:textId="77777777" w:rsidR="00190EAB" w:rsidRPr="00FE73DE" w:rsidRDefault="00190EAB" w:rsidP="00586122">
            <w:pPr>
              <w:pStyle w:val="TableText"/>
            </w:pPr>
            <w:r w:rsidRPr="00FE73DE">
              <w:rPr>
                <w:rFonts w:ascii="Calibri" w:hAnsi="Calibri" w:cs="Calibri"/>
                <w:color w:val="000000"/>
              </w:rPr>
              <w:t>410</w:t>
            </w:r>
          </w:p>
        </w:tc>
        <w:tc>
          <w:tcPr>
            <w:tcW w:w="3113" w:type="dxa"/>
          </w:tcPr>
          <w:p w14:paraId="25D8BBD7" w14:textId="77777777" w:rsidR="00190EAB" w:rsidRPr="00FE73DE" w:rsidRDefault="00190EAB" w:rsidP="00586122">
            <w:pPr>
              <w:pStyle w:val="TableText"/>
            </w:pPr>
            <w:r w:rsidRPr="00FE73DE">
              <w:t>63.9</w:t>
            </w:r>
          </w:p>
        </w:tc>
      </w:tr>
      <w:tr w:rsidR="00190EAB" w:rsidRPr="00FE73DE" w14:paraId="383FFF5E" w14:textId="77777777" w:rsidTr="00190EAB">
        <w:trPr>
          <w:cnfStyle w:val="000000010000" w:firstRow="0" w:lastRow="0" w:firstColumn="0" w:lastColumn="0" w:oddVBand="0" w:evenVBand="0" w:oddHBand="0" w:evenHBand="1" w:firstRowFirstColumn="0" w:firstRowLastColumn="0" w:lastRowFirstColumn="0" w:lastRowLastColumn="0"/>
        </w:trPr>
        <w:tc>
          <w:tcPr>
            <w:tcW w:w="3113" w:type="dxa"/>
          </w:tcPr>
          <w:p w14:paraId="66171AB3" w14:textId="0191DCBD" w:rsidR="00190EAB" w:rsidRPr="00FE73DE" w:rsidRDefault="00190EAB" w:rsidP="00586122">
            <w:pPr>
              <w:pStyle w:val="TableText"/>
            </w:pPr>
            <w:r w:rsidRPr="00FE73DE">
              <w:t>201</w:t>
            </w:r>
            <w:r w:rsidR="008557E8">
              <w:t>9–</w:t>
            </w:r>
            <w:r w:rsidRPr="00FE73DE">
              <w:t>20</w:t>
            </w:r>
          </w:p>
        </w:tc>
        <w:tc>
          <w:tcPr>
            <w:tcW w:w="3113" w:type="dxa"/>
          </w:tcPr>
          <w:p w14:paraId="1F683E43" w14:textId="77777777" w:rsidR="00190EAB" w:rsidRPr="00FE73DE" w:rsidRDefault="00190EAB" w:rsidP="00586122">
            <w:pPr>
              <w:pStyle w:val="TableText"/>
            </w:pPr>
            <w:r w:rsidRPr="00FE73DE">
              <w:rPr>
                <w:rFonts w:ascii="Calibri" w:hAnsi="Calibri" w:cs="Calibri"/>
                <w:color w:val="000000"/>
              </w:rPr>
              <w:t>469</w:t>
            </w:r>
          </w:p>
        </w:tc>
        <w:tc>
          <w:tcPr>
            <w:tcW w:w="3113" w:type="dxa"/>
          </w:tcPr>
          <w:p w14:paraId="7D296621" w14:textId="77777777" w:rsidR="00190EAB" w:rsidRPr="00FE73DE" w:rsidRDefault="00190EAB" w:rsidP="00586122">
            <w:pPr>
              <w:pStyle w:val="TableText"/>
            </w:pPr>
            <w:r w:rsidRPr="00FE73DE">
              <w:t>57.5</w:t>
            </w:r>
          </w:p>
        </w:tc>
      </w:tr>
      <w:tr w:rsidR="00190EAB" w:rsidRPr="00FE73DE" w14:paraId="3A5EECA5" w14:textId="77777777" w:rsidTr="00190EAB">
        <w:tc>
          <w:tcPr>
            <w:tcW w:w="3113" w:type="dxa"/>
          </w:tcPr>
          <w:p w14:paraId="0A348AE6" w14:textId="1004123A" w:rsidR="00190EAB" w:rsidRPr="00FE73DE" w:rsidRDefault="00190EAB" w:rsidP="00586122">
            <w:pPr>
              <w:pStyle w:val="TableText"/>
            </w:pPr>
            <w:r w:rsidRPr="00FE73DE">
              <w:t>202</w:t>
            </w:r>
            <w:r w:rsidR="008557E8">
              <w:t>0–</w:t>
            </w:r>
            <w:r w:rsidRPr="00FE73DE">
              <w:t>21</w:t>
            </w:r>
          </w:p>
        </w:tc>
        <w:tc>
          <w:tcPr>
            <w:tcW w:w="3113" w:type="dxa"/>
          </w:tcPr>
          <w:p w14:paraId="1CC1538D" w14:textId="77777777" w:rsidR="00190EAB" w:rsidRPr="00FE73DE" w:rsidRDefault="00190EAB" w:rsidP="00586122">
            <w:pPr>
              <w:pStyle w:val="TableText"/>
            </w:pPr>
            <w:r w:rsidRPr="00FE73DE">
              <w:rPr>
                <w:rFonts w:ascii="Calibri" w:hAnsi="Calibri" w:cs="Calibri"/>
                <w:color w:val="000000"/>
              </w:rPr>
              <w:t>492</w:t>
            </w:r>
          </w:p>
        </w:tc>
        <w:tc>
          <w:tcPr>
            <w:tcW w:w="3113" w:type="dxa"/>
          </w:tcPr>
          <w:p w14:paraId="3FAF1254" w14:textId="77777777" w:rsidR="00190EAB" w:rsidRPr="00FE73DE" w:rsidRDefault="00190EAB" w:rsidP="00586122">
            <w:pPr>
              <w:pStyle w:val="TableText"/>
            </w:pPr>
            <w:r w:rsidRPr="00FE73DE">
              <w:t>54.4</w:t>
            </w:r>
          </w:p>
        </w:tc>
      </w:tr>
    </w:tbl>
    <w:p w14:paraId="66A93E65" w14:textId="169611AA" w:rsidR="00190EAB" w:rsidRPr="00FE73DE" w:rsidRDefault="00190EAB" w:rsidP="0038672C">
      <w:pPr>
        <w:pStyle w:val="TableNote"/>
      </w:pPr>
      <w:r w:rsidRPr="00FE73DE">
        <w:t xml:space="preserve">Source: Analysis of IBA provided </w:t>
      </w:r>
      <w:r w:rsidR="00A557BD" w:rsidRPr="00FE73DE">
        <w:t>information</w:t>
      </w:r>
    </w:p>
    <w:p w14:paraId="53F56AF0" w14:textId="16D3617B" w:rsidR="004F2FFE" w:rsidRPr="00FE73DE" w:rsidRDefault="004F2FFE" w:rsidP="004F2FFE">
      <w:r w:rsidRPr="00FE73DE">
        <w:t xml:space="preserve">As discussed earlier in </w:t>
      </w:r>
      <w:r w:rsidR="00D35FFF">
        <w:t>s</w:t>
      </w:r>
      <w:r w:rsidRPr="00FE73DE">
        <w:t>ection 4.1.3, business loans funded by BSP have primarily gone to pre-bank or high</w:t>
      </w:r>
      <w:r w:rsidR="00FB34E3">
        <w:t>er-</w:t>
      </w:r>
      <w:r w:rsidRPr="00FE73DE">
        <w:t>risk customers, including 90% of customers since 201</w:t>
      </w:r>
      <w:r w:rsidR="008557E8">
        <w:t>7–</w:t>
      </w:r>
      <w:r w:rsidRPr="00FE73DE">
        <w:t>18. High</w:t>
      </w:r>
      <w:r w:rsidR="00FB34E3">
        <w:t>er-</w:t>
      </w:r>
      <w:r w:rsidRPr="00FE73DE">
        <w:t xml:space="preserve">risk pre-bank customers have </w:t>
      </w:r>
      <w:r w:rsidR="00FB34E3">
        <w:t>b</w:t>
      </w:r>
      <w:r w:rsidR="008B62F3">
        <w:t>e</w:t>
      </w:r>
      <w:r w:rsidR="00FB34E3">
        <w:t>c</w:t>
      </w:r>
      <w:r w:rsidR="008B62F3">
        <w:t>o</w:t>
      </w:r>
      <w:r w:rsidR="00FB34E3">
        <w:t>me</w:t>
      </w:r>
      <w:r w:rsidRPr="00FE73DE">
        <w:t xml:space="preserve"> the dominant loan type in the latter years of the program (see earlier </w:t>
      </w:r>
      <w:r w:rsidRPr="00FE73DE">
        <w:fldChar w:fldCharType="begin"/>
      </w:r>
      <w:r w:rsidRPr="00FE73DE">
        <w:instrText xml:space="preserve"> REF _Ref105430630 \h </w:instrText>
      </w:r>
      <w:r w:rsidRPr="00FE73DE">
        <w:fldChar w:fldCharType="separate"/>
      </w:r>
      <w:r w:rsidR="004718C9" w:rsidRPr="00FE73DE">
        <w:t xml:space="preserve">Figure </w:t>
      </w:r>
      <w:r w:rsidR="004718C9">
        <w:rPr>
          <w:noProof/>
        </w:rPr>
        <w:t>14</w:t>
      </w:r>
      <w:r w:rsidRPr="00FE73DE">
        <w:fldChar w:fldCharType="end"/>
      </w:r>
      <w:r w:rsidRPr="00FE73DE">
        <w:t xml:space="preserve">). </w:t>
      </w:r>
    </w:p>
    <w:p w14:paraId="05CB9B56" w14:textId="317A5604" w:rsidR="00190EAB" w:rsidRPr="00FE73DE" w:rsidRDefault="00190EAB">
      <w:pPr>
        <w:pStyle w:val="Heading3"/>
      </w:pPr>
      <w:bookmarkStart w:id="102" w:name="_Ref115712770"/>
      <w:r w:rsidRPr="00FE73DE">
        <w:t xml:space="preserve">Overview of </w:t>
      </w:r>
      <w:r w:rsidR="00C52ACC" w:rsidRPr="00FE73DE">
        <w:t>i</w:t>
      </w:r>
      <w:r w:rsidRPr="00FE73DE">
        <w:t>ndustries</w:t>
      </w:r>
      <w:bookmarkEnd w:id="102"/>
    </w:p>
    <w:p w14:paraId="6389FA62" w14:textId="04F28ABC" w:rsidR="000B7C0B" w:rsidRPr="00FE73DE" w:rsidRDefault="00190EAB" w:rsidP="000B7C0B">
      <w:r w:rsidRPr="00FE73DE">
        <w:t>In 201</w:t>
      </w:r>
      <w:r w:rsidR="008557E8">
        <w:t>6–</w:t>
      </w:r>
      <w:r w:rsidRPr="00FE73DE">
        <w:t xml:space="preserve">17, </w:t>
      </w:r>
      <w:r w:rsidR="00D65934" w:rsidRPr="00FE73DE">
        <w:t xml:space="preserve">the </w:t>
      </w:r>
      <w:r w:rsidR="000B7C0B" w:rsidRPr="00FE73DE">
        <w:t xml:space="preserve">overall IBA </w:t>
      </w:r>
      <w:r w:rsidR="003C69DA" w:rsidRPr="00FE73DE">
        <w:t xml:space="preserve">business loan </w:t>
      </w:r>
      <w:r w:rsidR="00D65934" w:rsidRPr="00FE73DE">
        <w:t xml:space="preserve">portfolio consisted of loans across </w:t>
      </w:r>
      <w:r w:rsidRPr="00FE73DE">
        <w:t>18 industries. Where</w:t>
      </w:r>
      <w:r w:rsidR="00D65934" w:rsidRPr="00FE73DE">
        <w:t xml:space="preserve"> industry</w:t>
      </w:r>
      <w:r w:rsidRPr="00FE73DE">
        <w:t xml:space="preserve"> data </w:t>
      </w:r>
      <w:r w:rsidR="00FB34E3">
        <w:t>wa</w:t>
      </w:r>
      <w:r w:rsidRPr="00FE73DE">
        <w:t>s available for those loans funded under BSP, the</w:t>
      </w:r>
      <w:r w:rsidR="00FB34E3">
        <w:t xml:space="preserve"> Construction</w:t>
      </w:r>
      <w:r w:rsidRPr="00FE73DE">
        <w:t xml:space="preserve"> industry received the most loans, and the highest value loans (receiving over 17</w:t>
      </w:r>
      <w:r w:rsidR="004806E3" w:rsidRPr="00FE73DE">
        <w:t>%</w:t>
      </w:r>
      <w:r w:rsidRPr="00FE73DE">
        <w:t xml:space="preserve"> of loan value and 20</w:t>
      </w:r>
      <w:r w:rsidR="004806E3" w:rsidRPr="00FE73DE">
        <w:t>%</w:t>
      </w:r>
      <w:r w:rsidR="00915FF4" w:rsidRPr="00FE73DE">
        <w:t xml:space="preserve"> </w:t>
      </w:r>
      <w:r w:rsidRPr="00FE73DE">
        <w:t>of all loans</w:t>
      </w:r>
      <w:r w:rsidR="00D65934" w:rsidRPr="00FE73DE">
        <w:t xml:space="preserve"> committed </w:t>
      </w:r>
      <w:r w:rsidRPr="00FE73DE">
        <w:t>since 201</w:t>
      </w:r>
      <w:r w:rsidR="008557E8">
        <w:t>6–</w:t>
      </w:r>
      <w:r w:rsidRPr="00FE73DE">
        <w:t>17)</w:t>
      </w:r>
      <w:r w:rsidR="00830F8D" w:rsidRPr="00FE73DE">
        <w:t xml:space="preserve">. The breakdown by industry </w:t>
      </w:r>
      <w:r w:rsidR="00D12D1F" w:rsidRPr="00FE73DE">
        <w:t xml:space="preserve">(based on ANZIC industry codes) </w:t>
      </w:r>
      <w:r w:rsidR="00FA2741" w:rsidRPr="00FE73DE">
        <w:t xml:space="preserve">for loan count and as a percentage of overall funds committed </w:t>
      </w:r>
      <w:r w:rsidR="00D12D1F" w:rsidRPr="00FE73DE">
        <w:t>is</w:t>
      </w:r>
      <w:r w:rsidR="00FA2741" w:rsidRPr="00FE73DE">
        <w:t xml:space="preserve"> </w:t>
      </w:r>
      <w:r w:rsidR="00830F8D" w:rsidRPr="00FE73DE">
        <w:t xml:space="preserve">shown </w:t>
      </w:r>
      <w:r w:rsidR="00FA2741" w:rsidRPr="00FE73DE">
        <w:t xml:space="preserve">below in </w:t>
      </w:r>
      <w:r w:rsidR="00FA2741" w:rsidRPr="00FE73DE">
        <w:fldChar w:fldCharType="begin"/>
      </w:r>
      <w:r w:rsidR="00FA2741" w:rsidRPr="00FE73DE">
        <w:instrText xml:space="preserve"> REF _Ref110856288 \h </w:instrText>
      </w:r>
      <w:r w:rsidR="00FA2741" w:rsidRPr="00FE73DE">
        <w:fldChar w:fldCharType="separate"/>
      </w:r>
      <w:r w:rsidR="004718C9" w:rsidRPr="00FE73DE">
        <w:t xml:space="preserve">Figure </w:t>
      </w:r>
      <w:r w:rsidR="004718C9">
        <w:rPr>
          <w:noProof/>
        </w:rPr>
        <w:t>25</w:t>
      </w:r>
      <w:r w:rsidR="00FA2741" w:rsidRPr="00FE73DE">
        <w:fldChar w:fldCharType="end"/>
      </w:r>
      <w:r w:rsidR="00FA2741" w:rsidRPr="00FE73DE">
        <w:t xml:space="preserve"> and </w:t>
      </w:r>
      <w:r w:rsidR="00FA2741" w:rsidRPr="00FE73DE">
        <w:fldChar w:fldCharType="begin"/>
      </w:r>
      <w:r w:rsidR="00FA2741" w:rsidRPr="00FE73DE">
        <w:instrText xml:space="preserve"> REF _Ref110856289 \h </w:instrText>
      </w:r>
      <w:r w:rsidR="00FA2741" w:rsidRPr="00FE73DE">
        <w:fldChar w:fldCharType="separate"/>
      </w:r>
      <w:r w:rsidR="004718C9" w:rsidRPr="00FE73DE">
        <w:t xml:space="preserve">Figure </w:t>
      </w:r>
      <w:r w:rsidR="004718C9">
        <w:rPr>
          <w:noProof/>
        </w:rPr>
        <w:t>26</w:t>
      </w:r>
      <w:r w:rsidR="00FA2741" w:rsidRPr="00FE73DE">
        <w:fldChar w:fldCharType="end"/>
      </w:r>
      <w:r w:rsidR="00FA2741" w:rsidRPr="00FE73DE">
        <w:t xml:space="preserve">. The full detail by industry is provided in Appendix </w:t>
      </w:r>
      <w:r w:rsidR="00D35FFF">
        <w:t>F</w:t>
      </w:r>
      <w:r w:rsidR="00FA2741" w:rsidRPr="00FE73DE">
        <w:t>.</w:t>
      </w:r>
    </w:p>
    <w:p w14:paraId="5C25EB1C" w14:textId="4B05683B" w:rsidR="00DF06DD" w:rsidRPr="00FE73DE" w:rsidRDefault="00DF06DD" w:rsidP="00DF06DD">
      <w:pPr>
        <w:rPr>
          <w:szCs w:val="24"/>
        </w:rPr>
      </w:pPr>
      <w:r w:rsidRPr="00FE73DE">
        <w:rPr>
          <w:szCs w:val="24"/>
        </w:rPr>
        <w:t xml:space="preserve">Of </w:t>
      </w:r>
      <w:r w:rsidRPr="00FE73DE">
        <w:t xml:space="preserve">the </w:t>
      </w:r>
      <w:r w:rsidR="00D35FFF">
        <w:t>nine</w:t>
      </w:r>
      <w:r w:rsidRPr="00FE73DE">
        <w:t xml:space="preserve"> industries that showed overall growth in the IBA business loan data, </w:t>
      </w:r>
      <w:r w:rsidR="00D35FFF">
        <w:t>four</w:t>
      </w:r>
      <w:r w:rsidRPr="00FE73DE">
        <w:t xml:space="preserve"> industries showed growth year on year. These industries were: Construction, Accommodation and Food Services, Professional, Scientific, and Technical Services, and Administrative and Support Services.</w:t>
      </w:r>
    </w:p>
    <w:p w14:paraId="7CD92DF3" w14:textId="3435A170" w:rsidR="00D12D1F" w:rsidRPr="00FE73DE" w:rsidRDefault="00D12D1F" w:rsidP="00D12D1F">
      <w:pPr>
        <w:rPr>
          <w:szCs w:val="24"/>
        </w:rPr>
      </w:pPr>
      <w:r w:rsidRPr="00FE73DE">
        <w:rPr>
          <w:szCs w:val="24"/>
        </w:rPr>
        <w:t>This dominance of the construction sector was consistent with broader Australian industry trends reflecting the opportunities within the construction sector. However, the growth of Indigenous loans in this sector is also encouraging, suggesting Indigenous businesses are gaining a market share. Supply Nation flags construction as a key industry type where Indigenous businesses can be competitive and have significant opportunities. The construction sector is also a key industry type under the IPP, whereby government and big business seeks Indigenous-based expertise. This sector is also one where businesses of different sizes can develop</w:t>
      </w:r>
      <w:r w:rsidR="00E57D68">
        <w:rPr>
          <w:szCs w:val="24"/>
        </w:rPr>
        <w:t>,</w:t>
      </w:r>
      <w:r w:rsidRPr="00FE73DE">
        <w:rPr>
          <w:szCs w:val="24"/>
        </w:rPr>
        <w:t xml:space="preserve"> including sole traders.</w:t>
      </w:r>
    </w:p>
    <w:p w14:paraId="3635BAF9" w14:textId="41DFED76" w:rsidR="007F0623" w:rsidRPr="00FE73DE" w:rsidRDefault="00FA2741" w:rsidP="000B7C0B">
      <w:r w:rsidRPr="00FE73DE">
        <w:rPr>
          <w:noProof/>
          <w:lang w:eastAsia="en-AU"/>
        </w:rPr>
        <w:drawing>
          <wp:inline distT="0" distB="0" distL="0" distR="0" wp14:anchorId="0F05D872" wp14:editId="24D2B113">
            <wp:extent cx="5005070" cy="4450715"/>
            <wp:effectExtent l="0" t="0" r="508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5070" cy="4450715"/>
                    </a:xfrm>
                    <a:prstGeom prst="rect">
                      <a:avLst/>
                    </a:prstGeom>
                    <a:noFill/>
                  </pic:spPr>
                </pic:pic>
              </a:graphicData>
            </a:graphic>
          </wp:inline>
        </w:drawing>
      </w:r>
    </w:p>
    <w:p w14:paraId="1C16D6E4" w14:textId="27BC37D9" w:rsidR="007F0623" w:rsidRPr="00FE73DE" w:rsidRDefault="007F0623" w:rsidP="007F0623">
      <w:pPr>
        <w:pStyle w:val="Caption"/>
        <w:keepLines w:val="0"/>
      </w:pPr>
      <w:bookmarkStart w:id="103" w:name="_Ref110856288"/>
      <w:r w:rsidRPr="00FE73DE">
        <w:t xml:space="preserve">Figure </w:t>
      </w:r>
      <w:fldSimple w:instr=" SEQ Figure \* ARABIC ">
        <w:r w:rsidR="004718C9">
          <w:rPr>
            <w:noProof/>
          </w:rPr>
          <w:t>25</w:t>
        </w:r>
      </w:fldSimple>
      <w:bookmarkEnd w:id="103"/>
      <w:r w:rsidRPr="00FE73DE">
        <w:t>: Number of BSP loans for period 201</w:t>
      </w:r>
      <w:r w:rsidR="008557E8">
        <w:t>6–</w:t>
      </w:r>
      <w:r w:rsidRPr="00FE73DE">
        <w:t>17 to 202</w:t>
      </w:r>
      <w:r w:rsidR="008557E8">
        <w:t>0–</w:t>
      </w:r>
      <w:r w:rsidRPr="00FE73DE">
        <w:t xml:space="preserve">21, by industry </w:t>
      </w:r>
    </w:p>
    <w:p w14:paraId="2CCC931A" w14:textId="186712C7" w:rsidR="004806E3" w:rsidRPr="00FE73DE" w:rsidRDefault="004806E3" w:rsidP="004806E3">
      <w:pPr>
        <w:rPr>
          <w:szCs w:val="24"/>
        </w:rPr>
      </w:pPr>
      <w:r w:rsidRPr="00FE73DE">
        <w:rPr>
          <w:szCs w:val="24"/>
        </w:rPr>
        <w:t xml:space="preserve">Two other industries that Supply Nation flagged as having competitiveness for Indigenous businesses were the health sector and tourism. Tourism is not identified as a separate industry type in this analysis as it does not have its own ANZIC category. The </w:t>
      </w:r>
      <w:r w:rsidR="00A33FA4" w:rsidRPr="00FE73DE">
        <w:rPr>
          <w:szCs w:val="24"/>
        </w:rPr>
        <w:t>h</w:t>
      </w:r>
      <w:r w:rsidRPr="00FE73DE">
        <w:rPr>
          <w:szCs w:val="24"/>
        </w:rPr>
        <w:t>ealth care and social assistance industry received 21 loans (3%) but accounts for 7% of total BSP loans. There may be future opportunities to develop service industries</w:t>
      </w:r>
      <w:r w:rsidR="00E57D68">
        <w:rPr>
          <w:szCs w:val="24"/>
        </w:rPr>
        <w:t>,</w:t>
      </w:r>
      <w:r w:rsidRPr="00FE73DE">
        <w:rPr>
          <w:szCs w:val="24"/>
        </w:rPr>
        <w:t xml:space="preserve"> particularly in remote/regional areas, where Indigenous businesses can form strong networks to supply health services.</w:t>
      </w:r>
    </w:p>
    <w:p w14:paraId="3F340850" w14:textId="70FF3F67" w:rsidR="004806E3" w:rsidRPr="00FE73DE" w:rsidRDefault="004806E3" w:rsidP="004806E3">
      <w:pPr>
        <w:rPr>
          <w:szCs w:val="24"/>
        </w:rPr>
      </w:pPr>
      <w:r w:rsidRPr="00FE73DE">
        <w:rPr>
          <w:szCs w:val="24"/>
        </w:rPr>
        <w:t xml:space="preserve">In terms of market share, </w:t>
      </w:r>
      <w:r w:rsidR="00D35FFF">
        <w:rPr>
          <w:szCs w:val="24"/>
        </w:rPr>
        <w:t>two</w:t>
      </w:r>
      <w:r w:rsidRPr="00FE73DE">
        <w:rPr>
          <w:szCs w:val="24"/>
        </w:rPr>
        <w:t xml:space="preserve"> prominent industries that were seen as dominant in the broader industry (ABS </w:t>
      </w:r>
      <w:r w:rsidR="00E57D68">
        <w:rPr>
          <w:szCs w:val="24"/>
        </w:rPr>
        <w:t>f</w:t>
      </w:r>
      <w:r w:rsidRPr="00FE73DE">
        <w:rPr>
          <w:szCs w:val="24"/>
        </w:rPr>
        <w:t>igures) but were not as important in the BSP case</w:t>
      </w:r>
      <w:r w:rsidR="00E57D68">
        <w:rPr>
          <w:szCs w:val="24"/>
        </w:rPr>
        <w:t xml:space="preserve"> were:</w:t>
      </w:r>
      <w:r w:rsidRPr="00FE73DE">
        <w:rPr>
          <w:szCs w:val="24"/>
        </w:rPr>
        <w:t xml:space="preserve"> </w:t>
      </w:r>
    </w:p>
    <w:p w14:paraId="4A2FC3EC" w14:textId="2A9455FB" w:rsidR="004806E3" w:rsidRPr="00FE73DE" w:rsidRDefault="004806E3">
      <w:pPr>
        <w:pStyle w:val="ListBullet"/>
      </w:pPr>
      <w:r w:rsidRPr="00FE73DE">
        <w:t>rental, hiring and real-estate (2% of BSP loans, 11% for broader industry trends)</w:t>
      </w:r>
    </w:p>
    <w:p w14:paraId="257C0CED" w14:textId="5411544D" w:rsidR="004806E3" w:rsidRPr="00FE73DE" w:rsidRDefault="004806E3">
      <w:pPr>
        <w:pStyle w:val="ListBullet"/>
      </w:pPr>
      <w:r w:rsidRPr="00FE73DE">
        <w:t xml:space="preserve">professional, scientific and technical services (6% of BSP loans, 13% for broader industry trend). </w:t>
      </w:r>
    </w:p>
    <w:p w14:paraId="2308B1EC" w14:textId="31C97C79" w:rsidR="004806E3" w:rsidRPr="00FE73DE" w:rsidRDefault="004806E3" w:rsidP="004806E3">
      <w:pPr>
        <w:rPr>
          <w:szCs w:val="24"/>
        </w:rPr>
      </w:pPr>
      <w:r w:rsidRPr="00FE73DE">
        <w:rPr>
          <w:szCs w:val="24"/>
        </w:rPr>
        <w:t>The</w:t>
      </w:r>
      <w:r w:rsidR="00A33FA4" w:rsidRPr="00FE73DE">
        <w:rPr>
          <w:szCs w:val="24"/>
        </w:rPr>
        <w:t>se differences highlight possible</w:t>
      </w:r>
      <w:r w:rsidRPr="00FE73DE">
        <w:rPr>
          <w:szCs w:val="24"/>
        </w:rPr>
        <w:t xml:space="preserve"> opportunities for Indigenous businesses to gain a higher market share in potentially lucrative business sectors.</w:t>
      </w:r>
    </w:p>
    <w:p w14:paraId="12D90FAE" w14:textId="77777777" w:rsidR="007F0623" w:rsidRPr="00FE73DE" w:rsidRDefault="007F0623" w:rsidP="000B7C0B"/>
    <w:p w14:paraId="69EE3203" w14:textId="2EBA8A48" w:rsidR="007F0623" w:rsidRPr="00FE73DE" w:rsidRDefault="00FA2741" w:rsidP="000B7C0B">
      <w:r w:rsidRPr="00FE73DE">
        <w:rPr>
          <w:noProof/>
          <w:lang w:eastAsia="en-AU"/>
        </w:rPr>
        <w:drawing>
          <wp:inline distT="0" distB="0" distL="0" distR="0" wp14:anchorId="55DE1175" wp14:editId="4AD4479E">
            <wp:extent cx="5389245" cy="4334510"/>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9245" cy="4334510"/>
                    </a:xfrm>
                    <a:prstGeom prst="rect">
                      <a:avLst/>
                    </a:prstGeom>
                    <a:noFill/>
                  </pic:spPr>
                </pic:pic>
              </a:graphicData>
            </a:graphic>
          </wp:inline>
        </w:drawing>
      </w:r>
    </w:p>
    <w:p w14:paraId="65B6ED17" w14:textId="17F48B8A" w:rsidR="00FA2741" w:rsidRPr="00FE73DE" w:rsidRDefault="00FA2741" w:rsidP="00FA2741">
      <w:pPr>
        <w:pStyle w:val="Caption"/>
        <w:keepLines w:val="0"/>
      </w:pPr>
      <w:bookmarkStart w:id="104" w:name="_Ref110856289"/>
      <w:r w:rsidRPr="00FE73DE">
        <w:t xml:space="preserve">Figure </w:t>
      </w:r>
      <w:fldSimple w:instr=" SEQ Figure \* ARABIC ">
        <w:r w:rsidR="004718C9">
          <w:rPr>
            <w:noProof/>
          </w:rPr>
          <w:t>26</w:t>
        </w:r>
      </w:fldSimple>
      <w:bookmarkEnd w:id="104"/>
      <w:r w:rsidRPr="00FE73DE">
        <w:t xml:space="preserve">: Loan value as a percentage of total loan value ($70.9 million), by industry </w:t>
      </w:r>
    </w:p>
    <w:p w14:paraId="65B65204" w14:textId="510ADC8D" w:rsidR="008D5DE6" w:rsidRPr="00FE73DE" w:rsidRDefault="008D5DE6" w:rsidP="008D5DE6">
      <w:pPr>
        <w:rPr>
          <w:szCs w:val="24"/>
        </w:rPr>
      </w:pPr>
      <w:r w:rsidRPr="00FE73DE">
        <w:rPr>
          <w:szCs w:val="24"/>
        </w:rPr>
        <w:t>In terms of actual loan amounts, the dominance of industry sectors changed. The most dominant sectors based on overall share of loans were construction</w:t>
      </w:r>
      <w:r w:rsidR="00E57D68">
        <w:rPr>
          <w:szCs w:val="24"/>
        </w:rPr>
        <w:t>;</w:t>
      </w:r>
      <w:r w:rsidRPr="00FE73DE">
        <w:rPr>
          <w:szCs w:val="24"/>
        </w:rPr>
        <w:t xml:space="preserve"> agriculture</w:t>
      </w:r>
      <w:r w:rsidR="00E57D68">
        <w:rPr>
          <w:szCs w:val="24"/>
        </w:rPr>
        <w:t>,</w:t>
      </w:r>
      <w:r w:rsidRPr="00FE73DE">
        <w:rPr>
          <w:szCs w:val="24"/>
        </w:rPr>
        <w:t xml:space="preserve"> forestry and fisheries</w:t>
      </w:r>
      <w:r w:rsidR="00E57D68">
        <w:rPr>
          <w:szCs w:val="24"/>
        </w:rPr>
        <w:t>;</w:t>
      </w:r>
      <w:r w:rsidRPr="00FE73DE">
        <w:rPr>
          <w:szCs w:val="24"/>
        </w:rPr>
        <w:t xml:space="preserve"> and mining. </w:t>
      </w:r>
      <w:r w:rsidR="00CA53FE">
        <w:rPr>
          <w:szCs w:val="24"/>
        </w:rPr>
        <w:t>The a</w:t>
      </w:r>
      <w:r w:rsidRPr="00FE73DE">
        <w:rPr>
          <w:szCs w:val="24"/>
        </w:rPr>
        <w:t>griculture</w:t>
      </w:r>
      <w:r w:rsidR="00CA53FE">
        <w:rPr>
          <w:szCs w:val="24"/>
        </w:rPr>
        <w:t>,</w:t>
      </w:r>
      <w:r w:rsidRPr="00FE73DE">
        <w:rPr>
          <w:szCs w:val="24"/>
        </w:rPr>
        <w:t xml:space="preserve"> forestry and fisheries and mining </w:t>
      </w:r>
      <w:r w:rsidR="00CA53FE">
        <w:rPr>
          <w:szCs w:val="24"/>
        </w:rPr>
        <w:t xml:space="preserve">sectors consist of </w:t>
      </w:r>
      <w:r w:rsidRPr="00FE73DE">
        <w:rPr>
          <w:szCs w:val="24"/>
        </w:rPr>
        <w:t xml:space="preserve">businesses that are typically developed on land subject to native title and are often located in regional and remote Australia. Such </w:t>
      </w:r>
      <w:r w:rsidR="00CA53FE">
        <w:rPr>
          <w:szCs w:val="24"/>
        </w:rPr>
        <w:t>businesses</w:t>
      </w:r>
      <w:r w:rsidR="00CA53FE" w:rsidRPr="00FE73DE">
        <w:rPr>
          <w:szCs w:val="24"/>
        </w:rPr>
        <w:t xml:space="preserve"> </w:t>
      </w:r>
      <w:r w:rsidRPr="00FE73DE">
        <w:rPr>
          <w:szCs w:val="24"/>
        </w:rPr>
        <w:t xml:space="preserve">can require economies of scale </w:t>
      </w:r>
      <w:r w:rsidR="00CA53FE" w:rsidRPr="00FE73DE">
        <w:rPr>
          <w:szCs w:val="24"/>
        </w:rPr>
        <w:t xml:space="preserve">and significant investment </w:t>
      </w:r>
      <w:r w:rsidRPr="00FE73DE">
        <w:rPr>
          <w:szCs w:val="24"/>
        </w:rPr>
        <w:t>to develop.</w:t>
      </w:r>
    </w:p>
    <w:p w14:paraId="22B6F27D" w14:textId="61119FDC" w:rsidR="008D5DE6" w:rsidRPr="00FE73DE" w:rsidRDefault="008D5DE6" w:rsidP="008D5DE6">
      <w:pPr>
        <w:rPr>
          <w:szCs w:val="24"/>
        </w:rPr>
      </w:pPr>
      <w:r w:rsidRPr="00FE73DE">
        <w:rPr>
          <w:szCs w:val="24"/>
        </w:rPr>
        <w:t>Indigenous people hold more than 20% of the land mass of Australia and the resources within it. There are opportunities for Indigenous people to use their cultural or geographical advantage to develop industries such as arts, natural resource management, tourism</w:t>
      </w:r>
      <w:r w:rsidR="00CA53FE">
        <w:rPr>
          <w:szCs w:val="24"/>
        </w:rPr>
        <w:t>,</w:t>
      </w:r>
      <w:r w:rsidRPr="00FE73DE">
        <w:rPr>
          <w:szCs w:val="24"/>
        </w:rPr>
        <w:t xml:space="preserve"> and the mining sector</w:t>
      </w:r>
      <w:r w:rsidR="00932F81" w:rsidRPr="00FE73DE">
        <w:rPr>
          <w:rStyle w:val="FootnoteReference"/>
          <w:szCs w:val="24"/>
        </w:rPr>
        <w:footnoteReference w:id="49"/>
      </w:r>
      <w:r w:rsidRPr="00FE73DE">
        <w:rPr>
          <w:szCs w:val="24"/>
        </w:rPr>
        <w:t>. This would help address the issues that:</w:t>
      </w:r>
    </w:p>
    <w:p w14:paraId="5F815C08" w14:textId="1C5CAE57" w:rsidR="008D5DE6" w:rsidRPr="00FE73DE" w:rsidRDefault="008D5DE6" w:rsidP="00CA53FE">
      <w:pPr>
        <w:pStyle w:val="Boxbullett"/>
        <w:ind w:left="567"/>
      </w:pPr>
      <w:r w:rsidRPr="00FE73DE">
        <w:t>In regional areas, 21% of non Indigenous businesses are in agricultural forestry and fishing compared to only 4% of Indigenous businesses. This underscores the important connection between land ownership and business opportunity</w:t>
      </w:r>
      <w:r w:rsidR="00CA53FE">
        <w:t>.</w:t>
      </w:r>
      <w:r w:rsidRPr="00FE73DE">
        <w:t xml:space="preserve"> (University of Melbourne study)</w:t>
      </w:r>
    </w:p>
    <w:p w14:paraId="00B488B6" w14:textId="270251BB" w:rsidR="008D5DE6" w:rsidRPr="00FE73DE" w:rsidRDefault="008D5DE6" w:rsidP="008D5DE6">
      <w:pPr>
        <w:rPr>
          <w:szCs w:val="24"/>
        </w:rPr>
      </w:pPr>
      <w:r w:rsidRPr="00FE73DE">
        <w:rPr>
          <w:szCs w:val="24"/>
        </w:rPr>
        <w:t>In lieu of this, the lessons learnt from the current successful enterprises in these industries within the BSP could be potentially transferred through case stud</w:t>
      </w:r>
      <w:r w:rsidR="00CA53FE">
        <w:rPr>
          <w:szCs w:val="24"/>
        </w:rPr>
        <w:t>ies</w:t>
      </w:r>
      <w:r w:rsidRPr="00FE73DE">
        <w:rPr>
          <w:szCs w:val="24"/>
        </w:rPr>
        <w:t xml:space="preserve"> or mentoring. Indigenous people would be likely to learn significantly from their peers</w:t>
      </w:r>
      <w:r w:rsidR="003E2456">
        <w:rPr>
          <w:szCs w:val="24"/>
        </w:rPr>
        <w:t>,</w:t>
      </w:r>
      <w:r w:rsidRPr="00FE73DE">
        <w:rPr>
          <w:szCs w:val="24"/>
        </w:rPr>
        <w:t xml:space="preserve"> and the desire for increased opportunities for mentoring was found in the business survey.</w:t>
      </w:r>
    </w:p>
    <w:p w14:paraId="0A37049C" w14:textId="42498DBF" w:rsidR="00EE7570" w:rsidRPr="00FE73DE" w:rsidRDefault="00EE7570" w:rsidP="00EE7570">
      <w:pPr>
        <w:rPr>
          <w:szCs w:val="24"/>
        </w:rPr>
      </w:pPr>
      <w:r w:rsidRPr="00FE73DE">
        <w:rPr>
          <w:szCs w:val="24"/>
        </w:rPr>
        <w:t>In understanding trends across industry sectors it is worth considering that the BSP</w:t>
      </w:r>
      <w:r w:rsidR="003E2456">
        <w:rPr>
          <w:szCs w:val="24"/>
        </w:rPr>
        <w:t>,</w:t>
      </w:r>
      <w:r w:rsidRPr="00FE73DE">
        <w:rPr>
          <w:szCs w:val="24"/>
        </w:rPr>
        <w:t xml:space="preserve"> through its start-up </w:t>
      </w:r>
      <w:r w:rsidR="00C41669" w:rsidRPr="00FE73DE">
        <w:rPr>
          <w:szCs w:val="24"/>
        </w:rPr>
        <w:t>package</w:t>
      </w:r>
      <w:r w:rsidRPr="00FE73DE">
        <w:rPr>
          <w:szCs w:val="24"/>
        </w:rPr>
        <w:t xml:space="preserve">, provides a </w:t>
      </w:r>
      <w:r w:rsidR="00C41669" w:rsidRPr="00FE73DE">
        <w:rPr>
          <w:szCs w:val="24"/>
        </w:rPr>
        <w:t xml:space="preserve">grant </w:t>
      </w:r>
      <w:r w:rsidRPr="00FE73DE">
        <w:rPr>
          <w:szCs w:val="24"/>
        </w:rPr>
        <w:t>(30%) and</w:t>
      </w:r>
      <w:r w:rsidR="00C41669" w:rsidRPr="00FE73DE">
        <w:rPr>
          <w:szCs w:val="24"/>
        </w:rPr>
        <w:t xml:space="preserve"> </w:t>
      </w:r>
      <w:r w:rsidRPr="00FE73DE">
        <w:rPr>
          <w:szCs w:val="24"/>
        </w:rPr>
        <w:t xml:space="preserve">finance (70%) component. The provision of this </w:t>
      </w:r>
      <w:r w:rsidR="00C41669" w:rsidRPr="00FE73DE">
        <w:rPr>
          <w:szCs w:val="24"/>
        </w:rPr>
        <w:t xml:space="preserve">grant </w:t>
      </w:r>
      <w:r w:rsidRPr="00FE73DE">
        <w:rPr>
          <w:szCs w:val="24"/>
        </w:rPr>
        <w:t xml:space="preserve">component </w:t>
      </w:r>
      <w:r w:rsidR="00C41669" w:rsidRPr="00FE73DE">
        <w:rPr>
          <w:szCs w:val="24"/>
        </w:rPr>
        <w:t>is based on the purchase of capital items</w:t>
      </w:r>
      <w:r w:rsidR="003E2456">
        <w:rPr>
          <w:szCs w:val="24"/>
        </w:rPr>
        <w:t>, which</w:t>
      </w:r>
      <w:r w:rsidR="00C41669" w:rsidRPr="00FE73DE">
        <w:rPr>
          <w:szCs w:val="24"/>
        </w:rPr>
        <w:t xml:space="preserve"> </w:t>
      </w:r>
      <w:r w:rsidRPr="00FE73DE">
        <w:rPr>
          <w:szCs w:val="24"/>
        </w:rPr>
        <w:t>helps provide security against the loan for industries that are capital intensive such as construction. Securing these assets can reduce barriers to business development. For other business sectors</w:t>
      </w:r>
      <w:r w:rsidR="003E2456">
        <w:rPr>
          <w:szCs w:val="24"/>
        </w:rPr>
        <w:t>,</w:t>
      </w:r>
      <w:r w:rsidRPr="00FE73DE">
        <w:rPr>
          <w:szCs w:val="24"/>
        </w:rPr>
        <w:t xml:space="preserve"> there could be alternative incentives to assist early start-ups like funds for research and development or education</w:t>
      </w:r>
      <w:r w:rsidR="003E2456">
        <w:rPr>
          <w:szCs w:val="24"/>
        </w:rPr>
        <w:t xml:space="preserve"> and </w:t>
      </w:r>
      <w:r w:rsidRPr="00FE73DE">
        <w:rPr>
          <w:szCs w:val="24"/>
        </w:rPr>
        <w:t>training.</w:t>
      </w:r>
    </w:p>
    <w:p w14:paraId="5F112E32" w14:textId="1CD9C362" w:rsidR="001B4D90" w:rsidRPr="00FE73DE" w:rsidRDefault="001B4D90">
      <w:pPr>
        <w:pStyle w:val="Heading3"/>
      </w:pPr>
      <w:bookmarkStart w:id="105" w:name="_Toc108632465"/>
      <w:bookmarkStart w:id="106" w:name="_Toc109569516"/>
      <w:r w:rsidRPr="00FE73DE">
        <w:t xml:space="preserve">Implementation of </w:t>
      </w:r>
      <w:r w:rsidR="00A65BD8" w:rsidRPr="00FE73DE">
        <w:t>the BSP</w:t>
      </w:r>
      <w:bookmarkEnd w:id="105"/>
      <w:bookmarkEnd w:id="106"/>
    </w:p>
    <w:p w14:paraId="31260D41" w14:textId="304A6E18" w:rsidR="001B4D90" w:rsidRPr="00FE73DE" w:rsidRDefault="001B4D90" w:rsidP="001B4D90">
      <w:pPr>
        <w:rPr>
          <w:szCs w:val="24"/>
        </w:rPr>
      </w:pPr>
      <w:r w:rsidRPr="00FE73DE">
        <w:rPr>
          <w:szCs w:val="24"/>
        </w:rPr>
        <w:t>The program in the short term was required to provide business support to a range of both loan and non-loan customers. A key requirement was to provide a tailored approach to meeting customer needs and enabling the building of key skills and capabilities.</w:t>
      </w:r>
    </w:p>
    <w:p w14:paraId="1BD74F55" w14:textId="6902A450" w:rsidR="001B4D90" w:rsidRPr="00FE73DE" w:rsidRDefault="001B4D90" w:rsidP="001B4D90">
      <w:pPr>
        <w:rPr>
          <w:rFonts w:eastAsiaTheme="minorHAnsi" w:cstheme="minorBidi"/>
          <w:szCs w:val="24"/>
        </w:rPr>
      </w:pPr>
      <w:r w:rsidRPr="00FE73DE">
        <w:rPr>
          <w:szCs w:val="24"/>
        </w:rPr>
        <w:t xml:space="preserve">The support program needed to ensure BSP customers were prepared for business success, through accessing services </w:t>
      </w:r>
      <w:r w:rsidR="003E2456">
        <w:rPr>
          <w:szCs w:val="24"/>
        </w:rPr>
        <w:t>for</w:t>
      </w:r>
      <w:r w:rsidRPr="00FE73DE">
        <w:rPr>
          <w:szCs w:val="24"/>
        </w:rPr>
        <w:t>:</w:t>
      </w:r>
    </w:p>
    <w:p w14:paraId="2E0B25C1" w14:textId="3F2823D0" w:rsidR="001B4D90" w:rsidRPr="00FE73DE" w:rsidRDefault="001B4D90">
      <w:pPr>
        <w:pStyle w:val="ListBullet"/>
      </w:pPr>
      <w:r w:rsidRPr="00FE73DE">
        <w:t xml:space="preserve">participating in learning and networking events </w:t>
      </w:r>
    </w:p>
    <w:p w14:paraId="7CB42797" w14:textId="74430529" w:rsidR="001B4D90" w:rsidRPr="00FE73DE" w:rsidRDefault="001B4D90">
      <w:pPr>
        <w:pStyle w:val="ListBullet"/>
      </w:pPr>
      <w:r w:rsidRPr="00FE73DE">
        <w:t>building their financial and business capabilities</w:t>
      </w:r>
    </w:p>
    <w:p w14:paraId="5F488A1A" w14:textId="77777777" w:rsidR="003E2456" w:rsidRDefault="001B4D90">
      <w:pPr>
        <w:pStyle w:val="ListBullet"/>
      </w:pPr>
      <w:r w:rsidRPr="00FE73DE">
        <w:t>being supported to develop quality and viable business plans</w:t>
      </w:r>
    </w:p>
    <w:p w14:paraId="265FBAD3" w14:textId="1B902C80" w:rsidR="001B4D90" w:rsidRPr="00FE73DE" w:rsidRDefault="001B4D90">
      <w:pPr>
        <w:pStyle w:val="ListBullet"/>
      </w:pPr>
      <w:r w:rsidRPr="00FE73DE">
        <w:t>assistance in identifying markets, channels</w:t>
      </w:r>
      <w:r w:rsidR="003E2456">
        <w:t>,</w:t>
      </w:r>
      <w:r w:rsidRPr="00FE73DE">
        <w:t xml:space="preserve"> and customers</w:t>
      </w:r>
    </w:p>
    <w:p w14:paraId="418F0AF1" w14:textId="20D8F0FA" w:rsidR="001B4D90" w:rsidRPr="00FE73DE" w:rsidRDefault="001B4D90">
      <w:pPr>
        <w:pStyle w:val="ListBullet"/>
      </w:pPr>
      <w:r w:rsidRPr="00FE73DE">
        <w:t>establishing or enhancing business systems and practices.</w:t>
      </w:r>
    </w:p>
    <w:p w14:paraId="6DE7C3D2" w14:textId="42E4E42B" w:rsidR="00C36E39" w:rsidRPr="00FE73DE" w:rsidRDefault="001B4D90" w:rsidP="00C36E39">
      <w:r w:rsidRPr="00FE73DE">
        <w:rPr>
          <w:szCs w:val="24"/>
        </w:rPr>
        <w:t>In relation to the BSP achieving this</w:t>
      </w:r>
      <w:r w:rsidR="003E2456">
        <w:rPr>
          <w:szCs w:val="24"/>
        </w:rPr>
        <w:t>,</w:t>
      </w:r>
      <w:r w:rsidRPr="00FE73DE">
        <w:rPr>
          <w:szCs w:val="24"/>
        </w:rPr>
        <w:t xml:space="preserve"> there was limited evidence that the support program did build business capacity. </w:t>
      </w:r>
      <w:r w:rsidR="00C36E39" w:rsidRPr="00FE73DE">
        <w:t xml:space="preserve">Of the 20 respondents to </w:t>
      </w:r>
      <w:r w:rsidR="003E2456">
        <w:t>the</w:t>
      </w:r>
      <w:r w:rsidR="00C36E39" w:rsidRPr="00FE73DE">
        <w:t xml:space="preserve"> Indigenous business survey who provided an answer when asked ‘How have the business support products/ services you have received from IBA helped your business?’ the most frequent reasons given were: marketing (n=6); networking (n=6); revenue growth (n=5); capital investment (n=5); increased employment (n=5); and maturing the business capability (n=5). The detailed breakdown of responses is shown below in </w:t>
      </w:r>
      <w:r w:rsidR="00C36E39" w:rsidRPr="00FE73DE">
        <w:fldChar w:fldCharType="begin"/>
      </w:r>
      <w:r w:rsidR="00C36E39" w:rsidRPr="00FE73DE">
        <w:instrText xml:space="preserve"> REF _Ref105066783 \h </w:instrText>
      </w:r>
      <w:r w:rsidR="00C36E39" w:rsidRPr="00FE73DE">
        <w:fldChar w:fldCharType="separate"/>
      </w:r>
      <w:r w:rsidR="004718C9" w:rsidRPr="00FE73DE">
        <w:rPr>
          <w:szCs w:val="20"/>
        </w:rPr>
        <w:t xml:space="preserve">Table </w:t>
      </w:r>
      <w:r w:rsidR="004718C9">
        <w:rPr>
          <w:noProof/>
          <w:szCs w:val="20"/>
        </w:rPr>
        <w:t>7</w:t>
      </w:r>
      <w:r w:rsidR="00C36E39" w:rsidRPr="00FE73DE">
        <w:fldChar w:fldCharType="end"/>
      </w:r>
      <w:r w:rsidR="00C36E39" w:rsidRPr="00FE73DE">
        <w:t>.</w:t>
      </w:r>
    </w:p>
    <w:p w14:paraId="6F50363D" w14:textId="01C5AFAD" w:rsidR="00C36E39" w:rsidRPr="00FE73DE" w:rsidRDefault="00C36E39" w:rsidP="00C36E39">
      <w:pPr>
        <w:pStyle w:val="Caption"/>
        <w:keepNext/>
        <w:rPr>
          <w:szCs w:val="20"/>
        </w:rPr>
      </w:pPr>
      <w:bookmarkStart w:id="107" w:name="_Ref105066783"/>
      <w:r w:rsidRPr="00FE73DE">
        <w:rPr>
          <w:szCs w:val="20"/>
        </w:rPr>
        <w:t xml:space="preserve">Table </w:t>
      </w:r>
      <w:r w:rsidRPr="00FE73DE">
        <w:rPr>
          <w:szCs w:val="20"/>
        </w:rPr>
        <w:fldChar w:fldCharType="begin"/>
      </w:r>
      <w:r w:rsidRPr="00FE73DE">
        <w:rPr>
          <w:szCs w:val="20"/>
        </w:rPr>
        <w:instrText xml:space="preserve"> SEQ Table \* ARABIC </w:instrText>
      </w:r>
      <w:r w:rsidRPr="00FE73DE">
        <w:rPr>
          <w:szCs w:val="20"/>
        </w:rPr>
        <w:fldChar w:fldCharType="separate"/>
      </w:r>
      <w:r w:rsidR="004718C9">
        <w:rPr>
          <w:noProof/>
          <w:szCs w:val="20"/>
        </w:rPr>
        <w:t>7</w:t>
      </w:r>
      <w:r w:rsidRPr="00FE73DE">
        <w:rPr>
          <w:szCs w:val="20"/>
        </w:rPr>
        <w:fldChar w:fldCharType="end"/>
      </w:r>
      <w:bookmarkEnd w:id="107"/>
      <w:r w:rsidRPr="00FE73DE">
        <w:rPr>
          <w:szCs w:val="20"/>
        </w:rPr>
        <w:t xml:space="preserve">: </w:t>
      </w:r>
      <w:r w:rsidRPr="00FE73DE">
        <w:t>Responses to the question ‘How have the business support products/ services you have received from IBA helped your business?’</w:t>
      </w:r>
    </w:p>
    <w:tbl>
      <w:tblPr>
        <w:tblStyle w:val="Summaryboxtablestyle"/>
        <w:tblW w:w="5000" w:type="pct"/>
        <w:tblLook w:val="04A0" w:firstRow="1" w:lastRow="0" w:firstColumn="1" w:lastColumn="0" w:noHBand="0" w:noVBand="1"/>
      </w:tblPr>
      <w:tblGrid>
        <w:gridCol w:w="4957"/>
        <w:gridCol w:w="1559"/>
        <w:gridCol w:w="2374"/>
      </w:tblGrid>
      <w:tr w:rsidR="00C36E39" w:rsidRPr="00FE73DE" w14:paraId="0AC74D62" w14:textId="77777777" w:rsidTr="003E2456">
        <w:trPr>
          <w:cnfStyle w:val="100000000000" w:firstRow="1" w:lastRow="0" w:firstColumn="0" w:lastColumn="0" w:oddVBand="0" w:evenVBand="0" w:oddHBand="0" w:evenHBand="0" w:firstRowFirstColumn="0" w:firstRowLastColumn="0" w:lastRowFirstColumn="0" w:lastRowLastColumn="0"/>
          <w:trHeight w:val="288"/>
          <w:tblHeader/>
        </w:trPr>
        <w:tc>
          <w:tcPr>
            <w:tcW w:w="2788" w:type="pct"/>
            <w:noWrap/>
          </w:tcPr>
          <w:p w14:paraId="733DB22D" w14:textId="77777777" w:rsidR="00C36E39" w:rsidRPr="00FE73DE" w:rsidRDefault="00C36E39" w:rsidP="003E2456">
            <w:pPr>
              <w:pStyle w:val="TableText"/>
            </w:pPr>
            <w:r w:rsidRPr="00FE73DE">
              <w:t>Response</w:t>
            </w:r>
          </w:p>
        </w:tc>
        <w:tc>
          <w:tcPr>
            <w:tcW w:w="877" w:type="pct"/>
            <w:noWrap/>
          </w:tcPr>
          <w:p w14:paraId="20E95778" w14:textId="77777777" w:rsidR="00C36E39" w:rsidRPr="00FE73DE" w:rsidRDefault="00C36E39" w:rsidP="003E2456">
            <w:pPr>
              <w:pStyle w:val="TableText"/>
              <w:jc w:val="right"/>
            </w:pPr>
            <w:r w:rsidRPr="00FE73DE">
              <w:t>Count</w:t>
            </w:r>
          </w:p>
        </w:tc>
        <w:tc>
          <w:tcPr>
            <w:tcW w:w="1335" w:type="pct"/>
          </w:tcPr>
          <w:p w14:paraId="32CD5875" w14:textId="77777777" w:rsidR="00C36E39" w:rsidRPr="00FE73DE" w:rsidRDefault="00C36E39" w:rsidP="003E2456">
            <w:pPr>
              <w:pStyle w:val="TableText"/>
              <w:jc w:val="right"/>
            </w:pPr>
            <w:r w:rsidRPr="00FE73DE">
              <w:t>Percentage (n=20)*</w:t>
            </w:r>
          </w:p>
        </w:tc>
      </w:tr>
      <w:tr w:rsidR="00C36E39" w:rsidRPr="00FE73DE" w14:paraId="5EBCEDB4" w14:textId="77777777" w:rsidTr="003E2456">
        <w:trPr>
          <w:trHeight w:val="288"/>
        </w:trPr>
        <w:tc>
          <w:tcPr>
            <w:tcW w:w="2788" w:type="pct"/>
            <w:noWrap/>
            <w:hideMark/>
          </w:tcPr>
          <w:p w14:paraId="1AF06A04" w14:textId="77777777" w:rsidR="00C36E39" w:rsidRPr="00FE73DE" w:rsidRDefault="00C36E39" w:rsidP="003E2456">
            <w:pPr>
              <w:pStyle w:val="TableText"/>
              <w:rPr>
                <w:bCs/>
              </w:rPr>
            </w:pPr>
            <w:r w:rsidRPr="00FE73DE">
              <w:rPr>
                <w:bCs/>
              </w:rPr>
              <w:t>Marketing</w:t>
            </w:r>
          </w:p>
        </w:tc>
        <w:tc>
          <w:tcPr>
            <w:tcW w:w="877" w:type="pct"/>
            <w:noWrap/>
            <w:hideMark/>
          </w:tcPr>
          <w:p w14:paraId="141FE4E3" w14:textId="77777777" w:rsidR="00C36E39" w:rsidRPr="00FE73DE" w:rsidRDefault="00C36E39" w:rsidP="003E2456">
            <w:pPr>
              <w:pStyle w:val="TableText"/>
              <w:jc w:val="right"/>
              <w:rPr>
                <w:bCs/>
              </w:rPr>
            </w:pPr>
            <w:r w:rsidRPr="00FE73DE">
              <w:rPr>
                <w:bCs/>
              </w:rPr>
              <w:t>6</w:t>
            </w:r>
          </w:p>
        </w:tc>
        <w:tc>
          <w:tcPr>
            <w:tcW w:w="1335" w:type="pct"/>
          </w:tcPr>
          <w:p w14:paraId="269C8C3E" w14:textId="77777777" w:rsidR="00C36E39" w:rsidRPr="00FE73DE" w:rsidRDefault="00C36E39" w:rsidP="003E2456">
            <w:pPr>
              <w:pStyle w:val="TableText"/>
              <w:jc w:val="right"/>
              <w:rPr>
                <w:bCs/>
              </w:rPr>
            </w:pPr>
            <w:r w:rsidRPr="00FE73DE">
              <w:t>30%</w:t>
            </w:r>
          </w:p>
        </w:tc>
      </w:tr>
      <w:tr w:rsidR="00C36E39" w:rsidRPr="00FE73DE" w14:paraId="03758ABF"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10F801AA" w14:textId="77777777" w:rsidR="00C36E39" w:rsidRPr="00FE73DE" w:rsidRDefault="00C36E39" w:rsidP="003E2456">
            <w:pPr>
              <w:pStyle w:val="TableText"/>
              <w:rPr>
                <w:bCs/>
              </w:rPr>
            </w:pPr>
            <w:r w:rsidRPr="00FE73DE">
              <w:rPr>
                <w:bCs/>
              </w:rPr>
              <w:t>Networking</w:t>
            </w:r>
          </w:p>
        </w:tc>
        <w:tc>
          <w:tcPr>
            <w:tcW w:w="877" w:type="pct"/>
            <w:noWrap/>
            <w:hideMark/>
          </w:tcPr>
          <w:p w14:paraId="1564801F" w14:textId="77777777" w:rsidR="00C36E39" w:rsidRPr="00FE73DE" w:rsidRDefault="00C36E39" w:rsidP="003E2456">
            <w:pPr>
              <w:pStyle w:val="TableText"/>
              <w:jc w:val="right"/>
              <w:rPr>
                <w:bCs/>
              </w:rPr>
            </w:pPr>
            <w:r w:rsidRPr="00FE73DE">
              <w:rPr>
                <w:bCs/>
              </w:rPr>
              <w:t>6</w:t>
            </w:r>
          </w:p>
        </w:tc>
        <w:tc>
          <w:tcPr>
            <w:tcW w:w="1335" w:type="pct"/>
          </w:tcPr>
          <w:p w14:paraId="4B93E2ED" w14:textId="77777777" w:rsidR="00C36E39" w:rsidRPr="00FE73DE" w:rsidRDefault="00C36E39" w:rsidP="003E2456">
            <w:pPr>
              <w:pStyle w:val="TableText"/>
              <w:jc w:val="right"/>
              <w:rPr>
                <w:bCs/>
              </w:rPr>
            </w:pPr>
            <w:r w:rsidRPr="00FE73DE">
              <w:t>30%</w:t>
            </w:r>
          </w:p>
        </w:tc>
      </w:tr>
      <w:tr w:rsidR="00C36E39" w:rsidRPr="00FE73DE" w14:paraId="2C2FF341" w14:textId="77777777" w:rsidTr="003E2456">
        <w:trPr>
          <w:trHeight w:val="288"/>
        </w:trPr>
        <w:tc>
          <w:tcPr>
            <w:tcW w:w="2788" w:type="pct"/>
            <w:noWrap/>
            <w:hideMark/>
          </w:tcPr>
          <w:p w14:paraId="4F588366" w14:textId="77777777" w:rsidR="00C36E39" w:rsidRPr="00FE73DE" w:rsidRDefault="00C36E39" w:rsidP="003E2456">
            <w:pPr>
              <w:pStyle w:val="TableText"/>
              <w:rPr>
                <w:bCs/>
              </w:rPr>
            </w:pPr>
            <w:r w:rsidRPr="00FE73DE">
              <w:rPr>
                <w:bCs/>
              </w:rPr>
              <w:t>Revenue growth</w:t>
            </w:r>
          </w:p>
        </w:tc>
        <w:tc>
          <w:tcPr>
            <w:tcW w:w="877" w:type="pct"/>
            <w:noWrap/>
            <w:hideMark/>
          </w:tcPr>
          <w:p w14:paraId="11B5BADF" w14:textId="77777777" w:rsidR="00C36E39" w:rsidRPr="00FE73DE" w:rsidRDefault="00C36E39" w:rsidP="003E2456">
            <w:pPr>
              <w:pStyle w:val="TableText"/>
              <w:jc w:val="right"/>
              <w:rPr>
                <w:bCs/>
              </w:rPr>
            </w:pPr>
            <w:r w:rsidRPr="00FE73DE">
              <w:rPr>
                <w:bCs/>
              </w:rPr>
              <w:t>5</w:t>
            </w:r>
          </w:p>
        </w:tc>
        <w:tc>
          <w:tcPr>
            <w:tcW w:w="1335" w:type="pct"/>
          </w:tcPr>
          <w:p w14:paraId="03CEB630" w14:textId="77777777" w:rsidR="00C36E39" w:rsidRPr="00FE73DE" w:rsidRDefault="00C36E39" w:rsidP="003E2456">
            <w:pPr>
              <w:pStyle w:val="TableText"/>
              <w:jc w:val="right"/>
              <w:rPr>
                <w:bCs/>
              </w:rPr>
            </w:pPr>
            <w:r w:rsidRPr="00FE73DE">
              <w:t>25%</w:t>
            </w:r>
          </w:p>
        </w:tc>
      </w:tr>
      <w:tr w:rsidR="00C36E39" w:rsidRPr="00FE73DE" w14:paraId="5DA3019E"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4693D7B5" w14:textId="77777777" w:rsidR="00C36E39" w:rsidRPr="00FE73DE" w:rsidRDefault="00C36E39" w:rsidP="003E2456">
            <w:pPr>
              <w:pStyle w:val="TableText"/>
              <w:rPr>
                <w:bCs/>
              </w:rPr>
            </w:pPr>
            <w:r w:rsidRPr="00FE73DE">
              <w:rPr>
                <w:bCs/>
              </w:rPr>
              <w:t>Capital investment</w:t>
            </w:r>
          </w:p>
        </w:tc>
        <w:tc>
          <w:tcPr>
            <w:tcW w:w="877" w:type="pct"/>
            <w:noWrap/>
            <w:hideMark/>
          </w:tcPr>
          <w:p w14:paraId="30C72574" w14:textId="77777777" w:rsidR="00C36E39" w:rsidRPr="00FE73DE" w:rsidRDefault="00C36E39" w:rsidP="003E2456">
            <w:pPr>
              <w:pStyle w:val="TableText"/>
              <w:jc w:val="right"/>
              <w:rPr>
                <w:bCs/>
              </w:rPr>
            </w:pPr>
            <w:r w:rsidRPr="00FE73DE">
              <w:rPr>
                <w:bCs/>
              </w:rPr>
              <w:t>5</w:t>
            </w:r>
          </w:p>
        </w:tc>
        <w:tc>
          <w:tcPr>
            <w:tcW w:w="1335" w:type="pct"/>
          </w:tcPr>
          <w:p w14:paraId="62F49FCA" w14:textId="77777777" w:rsidR="00C36E39" w:rsidRPr="00FE73DE" w:rsidRDefault="00C36E39" w:rsidP="003E2456">
            <w:pPr>
              <w:pStyle w:val="TableText"/>
              <w:jc w:val="right"/>
              <w:rPr>
                <w:bCs/>
              </w:rPr>
            </w:pPr>
            <w:r w:rsidRPr="00FE73DE">
              <w:t>25%</w:t>
            </w:r>
          </w:p>
        </w:tc>
      </w:tr>
      <w:tr w:rsidR="00C36E39" w:rsidRPr="00FE73DE" w14:paraId="30346DEB" w14:textId="77777777" w:rsidTr="003E2456">
        <w:trPr>
          <w:trHeight w:val="288"/>
        </w:trPr>
        <w:tc>
          <w:tcPr>
            <w:tcW w:w="2788" w:type="pct"/>
            <w:noWrap/>
            <w:hideMark/>
          </w:tcPr>
          <w:p w14:paraId="5181E031" w14:textId="77777777" w:rsidR="00C36E39" w:rsidRPr="00FE73DE" w:rsidRDefault="00C36E39" w:rsidP="003E2456">
            <w:pPr>
              <w:pStyle w:val="TableText"/>
              <w:rPr>
                <w:bCs/>
              </w:rPr>
            </w:pPr>
            <w:r w:rsidRPr="00FE73DE">
              <w:rPr>
                <w:bCs/>
              </w:rPr>
              <w:t>Increased employment</w:t>
            </w:r>
          </w:p>
        </w:tc>
        <w:tc>
          <w:tcPr>
            <w:tcW w:w="877" w:type="pct"/>
            <w:noWrap/>
            <w:hideMark/>
          </w:tcPr>
          <w:p w14:paraId="7E8290D0" w14:textId="77777777" w:rsidR="00C36E39" w:rsidRPr="00FE73DE" w:rsidRDefault="00C36E39" w:rsidP="003E2456">
            <w:pPr>
              <w:pStyle w:val="TableText"/>
              <w:jc w:val="right"/>
              <w:rPr>
                <w:bCs/>
              </w:rPr>
            </w:pPr>
            <w:r w:rsidRPr="00FE73DE">
              <w:rPr>
                <w:bCs/>
              </w:rPr>
              <w:t>5</w:t>
            </w:r>
          </w:p>
        </w:tc>
        <w:tc>
          <w:tcPr>
            <w:tcW w:w="1335" w:type="pct"/>
          </w:tcPr>
          <w:p w14:paraId="71FA73AB" w14:textId="77777777" w:rsidR="00C36E39" w:rsidRPr="00FE73DE" w:rsidRDefault="00C36E39" w:rsidP="003E2456">
            <w:pPr>
              <w:pStyle w:val="TableText"/>
              <w:jc w:val="right"/>
              <w:rPr>
                <w:bCs/>
              </w:rPr>
            </w:pPr>
            <w:r w:rsidRPr="00FE73DE">
              <w:t>25%</w:t>
            </w:r>
          </w:p>
        </w:tc>
      </w:tr>
      <w:tr w:rsidR="00C36E39" w:rsidRPr="00FE73DE" w14:paraId="37256736"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6669A184" w14:textId="77777777" w:rsidR="00C36E39" w:rsidRPr="00FE73DE" w:rsidRDefault="00C36E39" w:rsidP="003E2456">
            <w:pPr>
              <w:pStyle w:val="TableText"/>
              <w:rPr>
                <w:bCs/>
              </w:rPr>
            </w:pPr>
            <w:r w:rsidRPr="00FE73DE">
              <w:rPr>
                <w:bCs/>
              </w:rPr>
              <w:t>Maturing the business capability</w:t>
            </w:r>
          </w:p>
        </w:tc>
        <w:tc>
          <w:tcPr>
            <w:tcW w:w="877" w:type="pct"/>
            <w:noWrap/>
            <w:hideMark/>
          </w:tcPr>
          <w:p w14:paraId="7D663A4A" w14:textId="77777777" w:rsidR="00C36E39" w:rsidRPr="00FE73DE" w:rsidRDefault="00C36E39" w:rsidP="003E2456">
            <w:pPr>
              <w:pStyle w:val="TableText"/>
              <w:jc w:val="right"/>
              <w:rPr>
                <w:bCs/>
              </w:rPr>
            </w:pPr>
            <w:r w:rsidRPr="00FE73DE">
              <w:rPr>
                <w:bCs/>
              </w:rPr>
              <w:t>5</w:t>
            </w:r>
          </w:p>
        </w:tc>
        <w:tc>
          <w:tcPr>
            <w:tcW w:w="1335" w:type="pct"/>
          </w:tcPr>
          <w:p w14:paraId="55D713F4" w14:textId="77777777" w:rsidR="00C36E39" w:rsidRPr="00FE73DE" w:rsidRDefault="00C36E39" w:rsidP="003E2456">
            <w:pPr>
              <w:pStyle w:val="TableText"/>
              <w:jc w:val="right"/>
              <w:rPr>
                <w:bCs/>
              </w:rPr>
            </w:pPr>
            <w:r w:rsidRPr="00FE73DE">
              <w:t>25%</w:t>
            </w:r>
          </w:p>
        </w:tc>
      </w:tr>
      <w:tr w:rsidR="00C36E39" w:rsidRPr="00FE73DE" w14:paraId="20A84A20" w14:textId="77777777" w:rsidTr="003E2456">
        <w:trPr>
          <w:trHeight w:val="288"/>
        </w:trPr>
        <w:tc>
          <w:tcPr>
            <w:tcW w:w="2788" w:type="pct"/>
            <w:noWrap/>
            <w:hideMark/>
          </w:tcPr>
          <w:p w14:paraId="30F547DA" w14:textId="77777777" w:rsidR="00C36E39" w:rsidRPr="00FE73DE" w:rsidRDefault="00C36E39" w:rsidP="003E2456">
            <w:pPr>
              <w:pStyle w:val="TableText"/>
              <w:rPr>
                <w:bCs/>
              </w:rPr>
            </w:pPr>
            <w:r w:rsidRPr="00FE73DE">
              <w:rPr>
                <w:bCs/>
              </w:rPr>
              <w:t>Accessing new markets</w:t>
            </w:r>
          </w:p>
        </w:tc>
        <w:tc>
          <w:tcPr>
            <w:tcW w:w="877" w:type="pct"/>
            <w:noWrap/>
            <w:hideMark/>
          </w:tcPr>
          <w:p w14:paraId="4CD249BD" w14:textId="77777777" w:rsidR="00C36E39" w:rsidRPr="00FE73DE" w:rsidRDefault="00C36E39" w:rsidP="003E2456">
            <w:pPr>
              <w:pStyle w:val="TableText"/>
              <w:jc w:val="right"/>
              <w:rPr>
                <w:bCs/>
              </w:rPr>
            </w:pPr>
            <w:r w:rsidRPr="00FE73DE">
              <w:rPr>
                <w:bCs/>
              </w:rPr>
              <w:t>4</w:t>
            </w:r>
          </w:p>
        </w:tc>
        <w:tc>
          <w:tcPr>
            <w:tcW w:w="1335" w:type="pct"/>
          </w:tcPr>
          <w:p w14:paraId="3A63C5CE" w14:textId="77777777" w:rsidR="00C36E39" w:rsidRPr="00FE73DE" w:rsidRDefault="00C36E39" w:rsidP="003E2456">
            <w:pPr>
              <w:pStyle w:val="TableText"/>
              <w:jc w:val="right"/>
              <w:rPr>
                <w:bCs/>
              </w:rPr>
            </w:pPr>
            <w:r w:rsidRPr="00FE73DE">
              <w:t>20%</w:t>
            </w:r>
          </w:p>
        </w:tc>
      </w:tr>
      <w:tr w:rsidR="00C36E39" w:rsidRPr="00FE73DE" w14:paraId="6B44FC05"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733082BE" w14:textId="77777777" w:rsidR="00C36E39" w:rsidRPr="00FE73DE" w:rsidRDefault="00C36E39" w:rsidP="003E2456">
            <w:pPr>
              <w:pStyle w:val="TableText"/>
              <w:rPr>
                <w:bCs/>
              </w:rPr>
            </w:pPr>
            <w:r w:rsidRPr="00FE73DE">
              <w:rPr>
                <w:bCs/>
              </w:rPr>
              <w:t>Easing financial stress</w:t>
            </w:r>
          </w:p>
        </w:tc>
        <w:tc>
          <w:tcPr>
            <w:tcW w:w="877" w:type="pct"/>
            <w:noWrap/>
            <w:hideMark/>
          </w:tcPr>
          <w:p w14:paraId="27149A0D" w14:textId="77777777" w:rsidR="00C36E39" w:rsidRPr="00FE73DE" w:rsidRDefault="00C36E39" w:rsidP="003E2456">
            <w:pPr>
              <w:pStyle w:val="TableText"/>
              <w:jc w:val="right"/>
              <w:rPr>
                <w:bCs/>
              </w:rPr>
            </w:pPr>
            <w:r w:rsidRPr="00FE73DE">
              <w:rPr>
                <w:bCs/>
              </w:rPr>
              <w:t>4</w:t>
            </w:r>
          </w:p>
        </w:tc>
        <w:tc>
          <w:tcPr>
            <w:tcW w:w="1335" w:type="pct"/>
          </w:tcPr>
          <w:p w14:paraId="5C66B545" w14:textId="77777777" w:rsidR="00C36E39" w:rsidRPr="00FE73DE" w:rsidRDefault="00C36E39" w:rsidP="003E2456">
            <w:pPr>
              <w:pStyle w:val="TableText"/>
              <w:jc w:val="right"/>
              <w:rPr>
                <w:bCs/>
              </w:rPr>
            </w:pPr>
            <w:r w:rsidRPr="00FE73DE">
              <w:t>20%</w:t>
            </w:r>
          </w:p>
        </w:tc>
      </w:tr>
      <w:tr w:rsidR="00C36E39" w:rsidRPr="00FE73DE" w14:paraId="4F0A21CF" w14:textId="77777777" w:rsidTr="003E2456">
        <w:trPr>
          <w:trHeight w:val="288"/>
        </w:trPr>
        <w:tc>
          <w:tcPr>
            <w:tcW w:w="2788" w:type="pct"/>
            <w:noWrap/>
            <w:hideMark/>
          </w:tcPr>
          <w:p w14:paraId="5085317E" w14:textId="77777777" w:rsidR="00C36E39" w:rsidRPr="00FE73DE" w:rsidRDefault="00C36E39" w:rsidP="003E2456">
            <w:pPr>
              <w:pStyle w:val="TableText"/>
              <w:rPr>
                <w:bCs/>
              </w:rPr>
            </w:pPr>
            <w:r w:rsidRPr="00FE73DE">
              <w:rPr>
                <w:bCs/>
              </w:rPr>
              <w:t>Productivity improvements</w:t>
            </w:r>
          </w:p>
        </w:tc>
        <w:tc>
          <w:tcPr>
            <w:tcW w:w="877" w:type="pct"/>
            <w:noWrap/>
            <w:hideMark/>
          </w:tcPr>
          <w:p w14:paraId="20C89B59" w14:textId="77777777" w:rsidR="00C36E39" w:rsidRPr="00FE73DE" w:rsidRDefault="00C36E39" w:rsidP="003E2456">
            <w:pPr>
              <w:pStyle w:val="TableText"/>
              <w:jc w:val="right"/>
              <w:rPr>
                <w:bCs/>
              </w:rPr>
            </w:pPr>
            <w:r w:rsidRPr="00FE73DE">
              <w:rPr>
                <w:bCs/>
              </w:rPr>
              <w:t>3</w:t>
            </w:r>
          </w:p>
        </w:tc>
        <w:tc>
          <w:tcPr>
            <w:tcW w:w="1335" w:type="pct"/>
          </w:tcPr>
          <w:p w14:paraId="4AFC6060" w14:textId="77777777" w:rsidR="00C36E39" w:rsidRPr="00FE73DE" w:rsidRDefault="00C36E39" w:rsidP="003E2456">
            <w:pPr>
              <w:pStyle w:val="TableText"/>
              <w:jc w:val="right"/>
              <w:rPr>
                <w:bCs/>
              </w:rPr>
            </w:pPr>
            <w:r w:rsidRPr="00FE73DE">
              <w:t>15%</w:t>
            </w:r>
          </w:p>
        </w:tc>
      </w:tr>
      <w:tr w:rsidR="00C36E39" w:rsidRPr="00FE73DE" w14:paraId="163C9632"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52BFE15B" w14:textId="77777777" w:rsidR="00C36E39" w:rsidRPr="00FE73DE" w:rsidRDefault="00C36E39" w:rsidP="003E2456">
            <w:pPr>
              <w:pStyle w:val="TableText"/>
              <w:rPr>
                <w:bCs/>
              </w:rPr>
            </w:pPr>
            <w:r w:rsidRPr="00FE73DE">
              <w:rPr>
                <w:bCs/>
              </w:rPr>
              <w:t>Accessing new products</w:t>
            </w:r>
          </w:p>
        </w:tc>
        <w:tc>
          <w:tcPr>
            <w:tcW w:w="877" w:type="pct"/>
            <w:noWrap/>
            <w:hideMark/>
          </w:tcPr>
          <w:p w14:paraId="26355420" w14:textId="77777777" w:rsidR="00C36E39" w:rsidRPr="00FE73DE" w:rsidRDefault="00C36E39" w:rsidP="003E2456">
            <w:pPr>
              <w:pStyle w:val="TableText"/>
              <w:jc w:val="right"/>
              <w:rPr>
                <w:bCs/>
              </w:rPr>
            </w:pPr>
            <w:r w:rsidRPr="00FE73DE">
              <w:rPr>
                <w:bCs/>
              </w:rPr>
              <w:t>3</w:t>
            </w:r>
          </w:p>
        </w:tc>
        <w:tc>
          <w:tcPr>
            <w:tcW w:w="1335" w:type="pct"/>
          </w:tcPr>
          <w:p w14:paraId="66E910F6" w14:textId="77777777" w:rsidR="00C36E39" w:rsidRPr="00FE73DE" w:rsidRDefault="00C36E39" w:rsidP="003E2456">
            <w:pPr>
              <w:pStyle w:val="TableText"/>
              <w:jc w:val="right"/>
              <w:rPr>
                <w:bCs/>
              </w:rPr>
            </w:pPr>
            <w:r w:rsidRPr="00FE73DE">
              <w:t>15%</w:t>
            </w:r>
          </w:p>
        </w:tc>
      </w:tr>
      <w:tr w:rsidR="00C36E39" w:rsidRPr="00FE73DE" w14:paraId="48ED45C4" w14:textId="77777777" w:rsidTr="003E2456">
        <w:trPr>
          <w:trHeight w:val="288"/>
        </w:trPr>
        <w:tc>
          <w:tcPr>
            <w:tcW w:w="2788" w:type="pct"/>
            <w:noWrap/>
            <w:hideMark/>
          </w:tcPr>
          <w:p w14:paraId="2D5AB410" w14:textId="77777777" w:rsidR="00C36E39" w:rsidRPr="00FE73DE" w:rsidRDefault="00C36E39" w:rsidP="003E2456">
            <w:pPr>
              <w:pStyle w:val="TableText"/>
              <w:rPr>
                <w:bCs/>
              </w:rPr>
            </w:pPr>
            <w:r w:rsidRPr="00FE73DE">
              <w:rPr>
                <w:bCs/>
              </w:rPr>
              <w:t>Other (please specify)</w:t>
            </w:r>
          </w:p>
        </w:tc>
        <w:tc>
          <w:tcPr>
            <w:tcW w:w="877" w:type="pct"/>
            <w:noWrap/>
            <w:hideMark/>
          </w:tcPr>
          <w:p w14:paraId="0BBA90A0" w14:textId="77777777" w:rsidR="00C36E39" w:rsidRPr="00FE73DE" w:rsidRDefault="00C36E39" w:rsidP="003E2456">
            <w:pPr>
              <w:pStyle w:val="TableText"/>
              <w:jc w:val="right"/>
              <w:rPr>
                <w:bCs/>
              </w:rPr>
            </w:pPr>
            <w:r w:rsidRPr="00FE73DE">
              <w:rPr>
                <w:bCs/>
              </w:rPr>
              <w:t>2</w:t>
            </w:r>
          </w:p>
        </w:tc>
        <w:tc>
          <w:tcPr>
            <w:tcW w:w="1335" w:type="pct"/>
          </w:tcPr>
          <w:p w14:paraId="0F4AF031" w14:textId="77777777" w:rsidR="00C36E39" w:rsidRPr="00FE73DE" w:rsidRDefault="00C36E39" w:rsidP="003E2456">
            <w:pPr>
              <w:pStyle w:val="TableText"/>
              <w:jc w:val="right"/>
              <w:rPr>
                <w:bCs/>
              </w:rPr>
            </w:pPr>
            <w:r w:rsidRPr="00FE73DE">
              <w:t>10%</w:t>
            </w:r>
          </w:p>
        </w:tc>
      </w:tr>
      <w:tr w:rsidR="00C36E39" w:rsidRPr="00FE73DE" w14:paraId="71310C52"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519A525C" w14:textId="77777777" w:rsidR="00C36E39" w:rsidRPr="00FE73DE" w:rsidRDefault="00C36E39" w:rsidP="003E2456">
            <w:pPr>
              <w:pStyle w:val="TableText"/>
              <w:rPr>
                <w:bCs/>
              </w:rPr>
            </w:pPr>
            <w:r w:rsidRPr="00FE73DE">
              <w:rPr>
                <w:bCs/>
              </w:rPr>
              <w:t>Not helped at all (please specify)</w:t>
            </w:r>
          </w:p>
        </w:tc>
        <w:tc>
          <w:tcPr>
            <w:tcW w:w="877" w:type="pct"/>
            <w:noWrap/>
            <w:hideMark/>
          </w:tcPr>
          <w:p w14:paraId="28566B51" w14:textId="77777777" w:rsidR="00C36E39" w:rsidRPr="00FE73DE" w:rsidRDefault="00C36E39" w:rsidP="003E2456">
            <w:pPr>
              <w:pStyle w:val="TableText"/>
              <w:jc w:val="right"/>
              <w:rPr>
                <w:bCs/>
              </w:rPr>
            </w:pPr>
            <w:r w:rsidRPr="00FE73DE">
              <w:rPr>
                <w:bCs/>
              </w:rPr>
              <w:t>2</w:t>
            </w:r>
          </w:p>
        </w:tc>
        <w:tc>
          <w:tcPr>
            <w:tcW w:w="1335" w:type="pct"/>
          </w:tcPr>
          <w:p w14:paraId="165FB861" w14:textId="77777777" w:rsidR="00C36E39" w:rsidRPr="00FE73DE" w:rsidRDefault="00C36E39" w:rsidP="003E2456">
            <w:pPr>
              <w:pStyle w:val="TableText"/>
              <w:jc w:val="right"/>
              <w:rPr>
                <w:bCs/>
              </w:rPr>
            </w:pPr>
            <w:r w:rsidRPr="00FE73DE">
              <w:t>10%</w:t>
            </w:r>
          </w:p>
        </w:tc>
      </w:tr>
      <w:tr w:rsidR="00C36E39" w:rsidRPr="00FE73DE" w14:paraId="594A8A8E" w14:textId="77777777" w:rsidTr="003E2456">
        <w:trPr>
          <w:trHeight w:val="288"/>
        </w:trPr>
        <w:tc>
          <w:tcPr>
            <w:tcW w:w="2788" w:type="pct"/>
            <w:noWrap/>
            <w:hideMark/>
          </w:tcPr>
          <w:p w14:paraId="01B290A4" w14:textId="77777777" w:rsidR="00C36E39" w:rsidRPr="00FE73DE" w:rsidRDefault="00C36E39" w:rsidP="003E2456">
            <w:pPr>
              <w:pStyle w:val="TableText"/>
              <w:rPr>
                <w:bCs/>
              </w:rPr>
            </w:pPr>
            <w:r w:rsidRPr="00FE73DE">
              <w:rPr>
                <w:bCs/>
              </w:rPr>
              <w:t>Online sales</w:t>
            </w:r>
          </w:p>
        </w:tc>
        <w:tc>
          <w:tcPr>
            <w:tcW w:w="877" w:type="pct"/>
            <w:noWrap/>
            <w:hideMark/>
          </w:tcPr>
          <w:p w14:paraId="3A6397F4" w14:textId="77777777" w:rsidR="00C36E39" w:rsidRPr="00FE73DE" w:rsidRDefault="00C36E39" w:rsidP="003E2456">
            <w:pPr>
              <w:pStyle w:val="TableText"/>
              <w:jc w:val="right"/>
              <w:rPr>
                <w:bCs/>
              </w:rPr>
            </w:pPr>
            <w:r w:rsidRPr="00FE73DE">
              <w:rPr>
                <w:bCs/>
              </w:rPr>
              <w:t>1</w:t>
            </w:r>
          </w:p>
        </w:tc>
        <w:tc>
          <w:tcPr>
            <w:tcW w:w="1335" w:type="pct"/>
          </w:tcPr>
          <w:p w14:paraId="19C94436" w14:textId="77777777" w:rsidR="00C36E39" w:rsidRPr="00FE73DE" w:rsidRDefault="00C36E39" w:rsidP="003E2456">
            <w:pPr>
              <w:pStyle w:val="TableText"/>
              <w:jc w:val="right"/>
              <w:rPr>
                <w:bCs/>
              </w:rPr>
            </w:pPr>
            <w:r w:rsidRPr="00FE73DE">
              <w:t>5%</w:t>
            </w:r>
          </w:p>
        </w:tc>
      </w:tr>
      <w:tr w:rsidR="00C36E39" w:rsidRPr="00FD6929" w14:paraId="246970C0" w14:textId="77777777" w:rsidTr="003E2456">
        <w:trPr>
          <w:cnfStyle w:val="000000010000" w:firstRow="0" w:lastRow="0" w:firstColumn="0" w:lastColumn="0" w:oddVBand="0" w:evenVBand="0" w:oddHBand="0" w:evenHBand="1" w:firstRowFirstColumn="0" w:firstRowLastColumn="0" w:lastRowFirstColumn="0" w:lastRowLastColumn="0"/>
          <w:trHeight w:val="288"/>
        </w:trPr>
        <w:tc>
          <w:tcPr>
            <w:tcW w:w="2788" w:type="pct"/>
            <w:noWrap/>
            <w:hideMark/>
          </w:tcPr>
          <w:p w14:paraId="1BB2599B" w14:textId="77777777" w:rsidR="00C36E39" w:rsidRPr="00FD6929" w:rsidRDefault="00C36E39" w:rsidP="003E2456">
            <w:pPr>
              <w:pStyle w:val="TableText"/>
            </w:pPr>
            <w:r w:rsidRPr="00FD6929">
              <w:t>Total</w:t>
            </w:r>
          </w:p>
        </w:tc>
        <w:tc>
          <w:tcPr>
            <w:tcW w:w="877" w:type="pct"/>
            <w:noWrap/>
            <w:hideMark/>
          </w:tcPr>
          <w:p w14:paraId="242457FE" w14:textId="77777777" w:rsidR="00C36E39" w:rsidRPr="00FD6929" w:rsidRDefault="00C36E39" w:rsidP="003E2456">
            <w:pPr>
              <w:pStyle w:val="TableText"/>
              <w:jc w:val="right"/>
            </w:pPr>
            <w:r w:rsidRPr="00FD6929">
              <w:t>51</w:t>
            </w:r>
          </w:p>
        </w:tc>
        <w:tc>
          <w:tcPr>
            <w:tcW w:w="1335" w:type="pct"/>
          </w:tcPr>
          <w:p w14:paraId="21506618" w14:textId="77777777" w:rsidR="00C36E39" w:rsidRPr="00FD6929" w:rsidRDefault="00C36E39" w:rsidP="003E2456">
            <w:pPr>
              <w:pStyle w:val="TableText"/>
              <w:jc w:val="right"/>
            </w:pPr>
            <w:r w:rsidRPr="00FD6929">
              <w:t>100%</w:t>
            </w:r>
          </w:p>
        </w:tc>
      </w:tr>
    </w:tbl>
    <w:p w14:paraId="7C173AE8" w14:textId="77777777" w:rsidR="00C36E39" w:rsidRPr="00FE73DE" w:rsidRDefault="00C36E39" w:rsidP="003E2456">
      <w:pPr>
        <w:pStyle w:val="TableNote"/>
      </w:pPr>
      <w:r w:rsidRPr="00FE73DE">
        <w:t>*</w:t>
      </w:r>
      <w:r w:rsidRPr="00FE73DE">
        <w:rPr>
          <w:b/>
          <w:bCs/>
        </w:rPr>
        <w:t>Note:</w:t>
      </w:r>
      <w:r w:rsidRPr="00FE73DE">
        <w:t xml:space="preserve"> Respondents were able to select multiple answers to this question.</w:t>
      </w:r>
    </w:p>
    <w:p w14:paraId="2239FF23" w14:textId="66B0186E" w:rsidR="001B4D90" w:rsidRPr="00FE73DE" w:rsidRDefault="001165E9" w:rsidP="001B4D90">
      <w:pPr>
        <w:rPr>
          <w:szCs w:val="24"/>
        </w:rPr>
      </w:pPr>
      <w:r w:rsidRPr="00FE73DE">
        <w:rPr>
          <w:szCs w:val="24"/>
        </w:rPr>
        <w:t>Support such as i</w:t>
      </w:r>
      <w:r w:rsidR="001B4D90" w:rsidRPr="00FE73DE">
        <w:rPr>
          <w:szCs w:val="24"/>
        </w:rPr>
        <w:t xml:space="preserve">mproving marketing and online sales could </w:t>
      </w:r>
      <w:r w:rsidRPr="00FE73DE">
        <w:rPr>
          <w:szCs w:val="24"/>
        </w:rPr>
        <w:t xml:space="preserve">involve </w:t>
      </w:r>
      <w:r w:rsidR="001B4D90" w:rsidRPr="00FE73DE">
        <w:rPr>
          <w:szCs w:val="24"/>
        </w:rPr>
        <w:t>a business receiving external support assistance to develop a marketing plan and e-commerce strategy, and helping the business develop or update their website to accommodate online sales.</w:t>
      </w:r>
      <w:r w:rsidR="000F30BF" w:rsidRPr="00FE73DE">
        <w:rPr>
          <w:szCs w:val="24"/>
        </w:rPr>
        <w:t xml:space="preserve"> Networking support could be provided through the Strong Women Strong Business networking </w:t>
      </w:r>
      <w:r w:rsidR="003E2456" w:rsidRPr="00FE73DE">
        <w:rPr>
          <w:szCs w:val="24"/>
        </w:rPr>
        <w:t>Facebook</w:t>
      </w:r>
      <w:r w:rsidR="000F30BF" w:rsidRPr="00FE73DE">
        <w:rPr>
          <w:szCs w:val="24"/>
        </w:rPr>
        <w:t xml:space="preserve"> page or </w:t>
      </w:r>
      <w:r w:rsidRPr="00FE73DE">
        <w:rPr>
          <w:szCs w:val="24"/>
        </w:rPr>
        <w:t xml:space="preserve">through </w:t>
      </w:r>
      <w:r w:rsidR="000F30BF" w:rsidRPr="00FE73DE">
        <w:rPr>
          <w:szCs w:val="24"/>
        </w:rPr>
        <w:t xml:space="preserve">attendance at workshops and meeting other businesses at a similar stage in the business lifecycle. Through </w:t>
      </w:r>
      <w:r w:rsidRPr="00FE73DE">
        <w:rPr>
          <w:szCs w:val="24"/>
        </w:rPr>
        <w:t>getting a loan</w:t>
      </w:r>
      <w:r w:rsidR="000F30BF" w:rsidRPr="00FE73DE">
        <w:rPr>
          <w:szCs w:val="24"/>
        </w:rPr>
        <w:t xml:space="preserve">, </w:t>
      </w:r>
      <w:r w:rsidRPr="00FE73DE">
        <w:rPr>
          <w:szCs w:val="24"/>
        </w:rPr>
        <w:t>a business m</w:t>
      </w:r>
      <w:r w:rsidR="003E2456">
        <w:rPr>
          <w:szCs w:val="24"/>
        </w:rPr>
        <w:t>a</w:t>
      </w:r>
      <w:r w:rsidRPr="00FE73DE">
        <w:rPr>
          <w:szCs w:val="24"/>
        </w:rPr>
        <w:t xml:space="preserve">y categorise this as </w:t>
      </w:r>
      <w:r w:rsidR="000F30BF" w:rsidRPr="00FE73DE">
        <w:rPr>
          <w:szCs w:val="24"/>
        </w:rPr>
        <w:t>increas</w:t>
      </w:r>
      <w:r w:rsidRPr="00FE73DE">
        <w:rPr>
          <w:szCs w:val="24"/>
        </w:rPr>
        <w:t xml:space="preserve">ing </w:t>
      </w:r>
      <w:r w:rsidR="000F30BF" w:rsidRPr="00FE73DE">
        <w:rPr>
          <w:szCs w:val="24"/>
        </w:rPr>
        <w:t xml:space="preserve">the businesses access to capital and discussions on payment terms with the IBA relationship manager may have helped to ease immediate financial stress. </w:t>
      </w:r>
    </w:p>
    <w:p w14:paraId="0946CF5A" w14:textId="497E4E6F" w:rsidR="001B4D90" w:rsidRPr="00FE73DE" w:rsidRDefault="001B4D90" w:rsidP="001B4D90">
      <w:pPr>
        <w:rPr>
          <w:szCs w:val="24"/>
        </w:rPr>
      </w:pPr>
      <w:r w:rsidRPr="00FE73DE">
        <w:rPr>
          <w:szCs w:val="24"/>
        </w:rPr>
        <w:t>There was also some evidence that the support in some cases was instrumental to participants moving along their business journey</w:t>
      </w:r>
      <w:r w:rsidR="00C36E39" w:rsidRPr="00FE73DE">
        <w:rPr>
          <w:szCs w:val="24"/>
        </w:rPr>
        <w:t xml:space="preserve">. For example, </w:t>
      </w:r>
      <w:r w:rsidR="001F2BA9">
        <w:rPr>
          <w:szCs w:val="24"/>
        </w:rPr>
        <w:t>two</w:t>
      </w:r>
      <w:r w:rsidR="00C36E39" w:rsidRPr="00FE73DE">
        <w:rPr>
          <w:szCs w:val="24"/>
        </w:rPr>
        <w:t xml:space="preserve"> survey respondents stated</w:t>
      </w:r>
      <w:r w:rsidRPr="00FE73DE">
        <w:rPr>
          <w:szCs w:val="24"/>
        </w:rPr>
        <w:t>:</w:t>
      </w:r>
    </w:p>
    <w:p w14:paraId="7C8D632B" w14:textId="77777777" w:rsidR="001B4D90" w:rsidRPr="00FE73DE" w:rsidRDefault="001B4D90" w:rsidP="009761AD">
      <w:pPr>
        <w:pStyle w:val="Quote"/>
      </w:pPr>
      <w:r w:rsidRPr="00FE73DE">
        <w:t>But certainly if it wasn’t for IBA and the funding that we got from IBA … we wouldn’t be as far along in our journey as what we are now.</w:t>
      </w:r>
    </w:p>
    <w:p w14:paraId="572260A8" w14:textId="77777777" w:rsidR="001B4D90" w:rsidRPr="00FE73DE" w:rsidRDefault="001B4D90" w:rsidP="009761AD">
      <w:pPr>
        <w:pStyle w:val="Quote"/>
      </w:pPr>
      <w:r w:rsidRPr="00FE73DE">
        <w:t>As difficult as it has been, it’s allowed me to make big steps in progressing, so like there is definitely that. … The assistance has definitely been appreciated in terms of the finance stuff.</w:t>
      </w:r>
    </w:p>
    <w:p w14:paraId="5CE2E692" w14:textId="77777777" w:rsidR="001B4D90" w:rsidRPr="00FE73DE" w:rsidRDefault="001B4D90" w:rsidP="001B4D90">
      <w:pPr>
        <w:rPr>
          <w:szCs w:val="24"/>
        </w:rPr>
      </w:pPr>
      <w:r w:rsidRPr="00FE73DE">
        <w:rPr>
          <w:szCs w:val="24"/>
        </w:rPr>
        <w:t>These results may help to explain why the customer satisfaction survey for existing customers had ratings of 80%.</w:t>
      </w:r>
    </w:p>
    <w:p w14:paraId="07B44B34" w14:textId="10A2D838" w:rsidR="001B4D90" w:rsidRPr="00FE73DE" w:rsidRDefault="001B4D90" w:rsidP="001B4D90">
      <w:pPr>
        <w:rPr>
          <w:szCs w:val="24"/>
        </w:rPr>
      </w:pPr>
      <w:r w:rsidRPr="00FE73DE">
        <w:rPr>
          <w:szCs w:val="24"/>
        </w:rPr>
        <w:t>A critical component for achieving these outcomes aligned to Indigenous values were having a good relationship with the IBA staff. Over half the IBA customer surveyed said that IBA ‘really took the time to get to know me and my business’. This finding is consistent with those in the education/employment sector where mentoring is seen as a critical linkage to accessing future opportunity.</w:t>
      </w:r>
    </w:p>
    <w:p w14:paraId="392D51D4" w14:textId="0B2FC72C" w:rsidR="00C36E39" w:rsidRPr="00FE73DE" w:rsidRDefault="00C36E39" w:rsidP="001B4D90">
      <w:r w:rsidRPr="00FE73DE">
        <w:t>Only 10</w:t>
      </w:r>
      <w:r w:rsidR="008557E8">
        <w:t>%</w:t>
      </w:r>
      <w:r w:rsidRPr="00FE73DE">
        <w:t xml:space="preserve"> (n=2) of respondents stated that the support they received had not helped at all. The reasons provided related to delays and a lack of follow-up from IBA.</w:t>
      </w:r>
    </w:p>
    <w:p w14:paraId="2AB5CD67" w14:textId="7501ED9A" w:rsidR="001B4D90" w:rsidRPr="00FE73DE" w:rsidRDefault="001B4D90" w:rsidP="001165E9">
      <w:pPr>
        <w:pStyle w:val="Heading4"/>
      </w:pPr>
      <w:r w:rsidRPr="00FE73DE">
        <w:t xml:space="preserve">Improvements needed to </w:t>
      </w:r>
      <w:r w:rsidR="003407EF">
        <w:t>p</w:t>
      </w:r>
      <w:r w:rsidRPr="00FE73DE">
        <w:t xml:space="preserve">rogram </w:t>
      </w:r>
      <w:r w:rsidR="003407EF">
        <w:t>d</w:t>
      </w:r>
      <w:r w:rsidRPr="00FE73DE">
        <w:t>elivery</w:t>
      </w:r>
    </w:p>
    <w:p w14:paraId="1B95B526" w14:textId="6E9E2197" w:rsidR="001B4D90" w:rsidRPr="00FE73DE" w:rsidRDefault="001B4D90" w:rsidP="001B4D90">
      <w:pPr>
        <w:rPr>
          <w:szCs w:val="24"/>
        </w:rPr>
      </w:pPr>
      <w:r w:rsidRPr="00FE73DE">
        <w:rPr>
          <w:szCs w:val="24"/>
        </w:rPr>
        <w:t xml:space="preserve">Despite the positive feedback and relatively high customer satisfaction for existing customers, </w:t>
      </w:r>
      <w:r w:rsidR="00C36E39" w:rsidRPr="00FE73DE">
        <w:t>of the 68 business survey respondents who answered the question ‘Have you experienced any barriers or challenges accessing business products or services from IBA?’, 51</w:t>
      </w:r>
      <w:r w:rsidR="008557E8">
        <w:t>%</w:t>
      </w:r>
      <w:r w:rsidR="00C36E39" w:rsidRPr="00FE73DE">
        <w:t xml:space="preserve"> (n=35) answered ‘yes’. When asked to describe these barriers or challenges, there were </w:t>
      </w:r>
      <w:r w:rsidR="001F2BA9">
        <w:t>two</w:t>
      </w:r>
      <w:r w:rsidR="00C36E39" w:rsidRPr="00FE73DE">
        <w:t xml:space="preserve"> main recurring themes</w:t>
      </w:r>
      <w:r w:rsidR="003407EF">
        <w:t>: tedious processes and IBA staff unresponsiveness.</w:t>
      </w:r>
    </w:p>
    <w:p w14:paraId="59532647" w14:textId="3F2B1F3A" w:rsidR="001B4D90" w:rsidRPr="00FE73DE" w:rsidRDefault="001B4D90" w:rsidP="001B4D90">
      <w:pPr>
        <w:rPr>
          <w:szCs w:val="24"/>
        </w:rPr>
      </w:pPr>
      <w:r w:rsidRPr="00FE73DE">
        <w:rPr>
          <w:szCs w:val="24"/>
        </w:rPr>
        <w:t>A core issue was the lengthy application process and other administration challenges</w:t>
      </w:r>
      <w:r w:rsidR="00533071" w:rsidRPr="00FE73DE">
        <w:rPr>
          <w:szCs w:val="24"/>
        </w:rPr>
        <w:t>. Four respondents specifically noted</w:t>
      </w:r>
      <w:r w:rsidRPr="00FE73DE">
        <w:rPr>
          <w:szCs w:val="24"/>
        </w:rPr>
        <w:t>:</w:t>
      </w:r>
    </w:p>
    <w:p w14:paraId="65F069D3" w14:textId="7459D6AC" w:rsidR="001B4D90" w:rsidRPr="00FE73DE" w:rsidRDefault="00C36E39" w:rsidP="001B4D90">
      <w:pPr>
        <w:pStyle w:val="Quote"/>
        <w:rPr>
          <w:sz w:val="24"/>
          <w:szCs w:val="24"/>
        </w:rPr>
      </w:pPr>
      <w:r w:rsidRPr="00FE73DE">
        <w:rPr>
          <w:sz w:val="24"/>
          <w:szCs w:val="24"/>
        </w:rPr>
        <w:t>[Finance] a</w:t>
      </w:r>
      <w:r w:rsidR="001B4D90" w:rsidRPr="00FE73DE">
        <w:rPr>
          <w:sz w:val="24"/>
          <w:szCs w:val="24"/>
        </w:rPr>
        <w:t>pplication is time-consuming and arduous</w:t>
      </w:r>
      <w:r w:rsidR="00533071" w:rsidRPr="00FE73DE">
        <w:rPr>
          <w:sz w:val="24"/>
          <w:szCs w:val="24"/>
        </w:rPr>
        <w:t>.</w:t>
      </w:r>
    </w:p>
    <w:p w14:paraId="5318C367" w14:textId="7E7AFC02" w:rsidR="001B4D90" w:rsidRPr="00FE73DE" w:rsidRDefault="001B4D90" w:rsidP="001B4D90">
      <w:pPr>
        <w:pStyle w:val="Quote"/>
        <w:rPr>
          <w:sz w:val="24"/>
          <w:szCs w:val="24"/>
        </w:rPr>
      </w:pPr>
      <w:r w:rsidRPr="00FE73DE">
        <w:rPr>
          <w:sz w:val="24"/>
          <w:szCs w:val="24"/>
        </w:rPr>
        <w:t xml:space="preserve">The </w:t>
      </w:r>
      <w:r w:rsidR="00533071" w:rsidRPr="00FE73DE">
        <w:rPr>
          <w:sz w:val="24"/>
          <w:szCs w:val="24"/>
        </w:rPr>
        <w:t xml:space="preserve">[finance] </w:t>
      </w:r>
      <w:r w:rsidRPr="00FE73DE">
        <w:rPr>
          <w:sz w:val="24"/>
          <w:szCs w:val="24"/>
        </w:rPr>
        <w:t>application for the second loan was tedious, time consuming and bureaucratic and by the time the loan was through we had the missed the bottom end of the … market.</w:t>
      </w:r>
    </w:p>
    <w:p w14:paraId="780D3B01" w14:textId="4C53ECC4" w:rsidR="001B4D90" w:rsidRPr="00FE73DE" w:rsidRDefault="001B4D90" w:rsidP="001B4D90">
      <w:pPr>
        <w:pStyle w:val="Quote"/>
        <w:rPr>
          <w:sz w:val="24"/>
          <w:szCs w:val="24"/>
        </w:rPr>
      </w:pPr>
      <w:r w:rsidRPr="00FE73DE">
        <w:rPr>
          <w:sz w:val="24"/>
          <w:szCs w:val="24"/>
        </w:rPr>
        <w:t xml:space="preserve">In my opinion it </w:t>
      </w:r>
      <w:r w:rsidR="00533071" w:rsidRPr="00FE73DE">
        <w:rPr>
          <w:sz w:val="24"/>
          <w:szCs w:val="24"/>
        </w:rPr>
        <w:t xml:space="preserve">[the application for finance] </w:t>
      </w:r>
      <w:r w:rsidRPr="00FE73DE">
        <w:rPr>
          <w:sz w:val="24"/>
          <w:szCs w:val="24"/>
        </w:rPr>
        <w:t>takes too long from start to finish.</w:t>
      </w:r>
    </w:p>
    <w:p w14:paraId="2E9D877B" w14:textId="6ED64407" w:rsidR="001B4D90" w:rsidRPr="00FE73DE" w:rsidRDefault="001B4D90" w:rsidP="001B4D90">
      <w:pPr>
        <w:pStyle w:val="Quote"/>
        <w:rPr>
          <w:sz w:val="24"/>
          <w:szCs w:val="24"/>
        </w:rPr>
      </w:pPr>
      <w:r w:rsidRPr="00FE73DE">
        <w:rPr>
          <w:sz w:val="24"/>
          <w:szCs w:val="24"/>
        </w:rPr>
        <w:t xml:space="preserve">Numerous changes in approval criteria … little to no information passed on, forever chasing for updates or progress information. Extremely long length of time for </w:t>
      </w:r>
      <w:r w:rsidR="00533071" w:rsidRPr="00FE73DE">
        <w:rPr>
          <w:sz w:val="24"/>
          <w:szCs w:val="24"/>
        </w:rPr>
        <w:t xml:space="preserve">[finance] </w:t>
      </w:r>
      <w:r w:rsidRPr="00FE73DE">
        <w:rPr>
          <w:sz w:val="24"/>
          <w:szCs w:val="24"/>
        </w:rPr>
        <w:t xml:space="preserve">application completion … It shouldn't take </w:t>
      </w:r>
      <w:r w:rsidR="00295C5C">
        <w:rPr>
          <w:sz w:val="24"/>
          <w:szCs w:val="24"/>
        </w:rPr>
        <w:t>four</w:t>
      </w:r>
      <w:r w:rsidRPr="00FE73DE">
        <w:rPr>
          <w:sz w:val="24"/>
          <w:szCs w:val="24"/>
        </w:rPr>
        <w:t xml:space="preserve"> months to access crucial support when a bank loan is in your account the same day. It's ridiculous.</w:t>
      </w:r>
    </w:p>
    <w:p w14:paraId="6C6345BC" w14:textId="69F41C25" w:rsidR="001B4D90" w:rsidRPr="00FE73DE" w:rsidRDefault="001B4D90" w:rsidP="001B4D90">
      <w:pPr>
        <w:rPr>
          <w:szCs w:val="24"/>
        </w:rPr>
      </w:pPr>
      <w:r w:rsidRPr="00FE73DE">
        <w:rPr>
          <w:szCs w:val="24"/>
        </w:rPr>
        <w:t xml:space="preserve">For </w:t>
      </w:r>
      <w:r w:rsidR="00533071" w:rsidRPr="00FE73DE">
        <w:rPr>
          <w:szCs w:val="24"/>
        </w:rPr>
        <w:t xml:space="preserve">some </w:t>
      </w:r>
      <w:r w:rsidRPr="00FE73DE">
        <w:rPr>
          <w:szCs w:val="24"/>
        </w:rPr>
        <w:t>customers, this meant that they did not apply</w:t>
      </w:r>
      <w:r w:rsidR="00533071" w:rsidRPr="00FE73DE">
        <w:rPr>
          <w:szCs w:val="24"/>
        </w:rPr>
        <w:t xml:space="preserve">. Specifically, </w:t>
      </w:r>
      <w:r w:rsidR="001F2BA9">
        <w:rPr>
          <w:szCs w:val="24"/>
        </w:rPr>
        <w:t>two</w:t>
      </w:r>
      <w:r w:rsidR="00533071" w:rsidRPr="00FE73DE">
        <w:rPr>
          <w:szCs w:val="24"/>
        </w:rPr>
        <w:t xml:space="preserve"> survey respondents advised</w:t>
      </w:r>
      <w:r w:rsidRPr="00FE73DE">
        <w:rPr>
          <w:szCs w:val="24"/>
        </w:rPr>
        <w:t>:</w:t>
      </w:r>
    </w:p>
    <w:p w14:paraId="37772526" w14:textId="5ABF0EC6" w:rsidR="001B4D90" w:rsidRPr="00FE73DE" w:rsidRDefault="001B4D90" w:rsidP="001B4D90">
      <w:pPr>
        <w:pStyle w:val="Quote"/>
        <w:rPr>
          <w:sz w:val="24"/>
          <w:szCs w:val="24"/>
        </w:rPr>
      </w:pPr>
      <w:r w:rsidRPr="00FE73DE">
        <w:rPr>
          <w:sz w:val="24"/>
          <w:szCs w:val="24"/>
        </w:rPr>
        <w:t>Applying for a business loan or home loan is such a massive process and one I doubt I would be successful in</w:t>
      </w:r>
      <w:r w:rsidR="00533071" w:rsidRPr="00FE73DE">
        <w:rPr>
          <w:sz w:val="24"/>
          <w:szCs w:val="24"/>
        </w:rPr>
        <w:t>.</w:t>
      </w:r>
    </w:p>
    <w:p w14:paraId="70D8F35A" w14:textId="77777777" w:rsidR="001B4D90" w:rsidRPr="00FE73DE" w:rsidRDefault="001B4D90" w:rsidP="001B4D90">
      <w:pPr>
        <w:pStyle w:val="Quote"/>
        <w:rPr>
          <w:sz w:val="24"/>
          <w:szCs w:val="24"/>
        </w:rPr>
      </w:pPr>
      <w:r w:rsidRPr="00FE73DE">
        <w:rPr>
          <w:sz w:val="24"/>
          <w:szCs w:val="24"/>
        </w:rPr>
        <w:t>They told me the paperwork was too hard for me to fill out, so not to bother trying.</w:t>
      </w:r>
    </w:p>
    <w:p w14:paraId="4DFCA7A6" w14:textId="27088FCD" w:rsidR="001B4D90" w:rsidRPr="00FE73DE" w:rsidRDefault="001B4D90" w:rsidP="001B4D90">
      <w:pPr>
        <w:rPr>
          <w:szCs w:val="24"/>
        </w:rPr>
      </w:pPr>
      <w:r w:rsidRPr="00FE73DE">
        <w:rPr>
          <w:szCs w:val="24"/>
        </w:rPr>
        <w:t xml:space="preserve">Interviewees in follow-up </w:t>
      </w:r>
      <w:r w:rsidR="001F2BA9">
        <w:rPr>
          <w:szCs w:val="24"/>
        </w:rPr>
        <w:t>discussions</w:t>
      </w:r>
      <w:r w:rsidRPr="00FE73DE">
        <w:rPr>
          <w:szCs w:val="24"/>
        </w:rPr>
        <w:t xml:space="preserve"> made similar observations:  </w:t>
      </w:r>
    </w:p>
    <w:p w14:paraId="70B87121" w14:textId="77777777" w:rsidR="001B4D90" w:rsidRPr="00FE73DE" w:rsidRDefault="001B4D90" w:rsidP="001B4D90">
      <w:pPr>
        <w:pStyle w:val="Quote"/>
        <w:rPr>
          <w:sz w:val="24"/>
          <w:szCs w:val="24"/>
        </w:rPr>
      </w:pPr>
      <w:r w:rsidRPr="00FE73DE">
        <w:rPr>
          <w:sz w:val="24"/>
          <w:szCs w:val="24"/>
        </w:rPr>
        <w:t>I have thought about trying to access a loan through them [IBA], but it's so— I've been sent out the email, all the paperwork, it's— I wouldn't even know where to start. So for me, I kind of just have never bothered engaging, cause it all feels a bit overwhelming.</w:t>
      </w:r>
    </w:p>
    <w:p w14:paraId="6ED8F96B" w14:textId="7264204C" w:rsidR="001B4D90" w:rsidRPr="00FE73DE" w:rsidRDefault="001B4D90" w:rsidP="001B4D90">
      <w:pPr>
        <w:rPr>
          <w:szCs w:val="24"/>
        </w:rPr>
      </w:pPr>
      <w:r w:rsidRPr="00FE73DE">
        <w:rPr>
          <w:szCs w:val="24"/>
        </w:rPr>
        <w:t xml:space="preserve">The second common issue reported related to a lack of follow-up from IBA or staff unresponsiveness. This was highlighted by </w:t>
      </w:r>
      <w:r w:rsidR="001F2BA9">
        <w:rPr>
          <w:szCs w:val="24"/>
        </w:rPr>
        <w:t>three</w:t>
      </w:r>
      <w:r w:rsidR="005C2BD1" w:rsidRPr="00FE73DE">
        <w:rPr>
          <w:szCs w:val="24"/>
        </w:rPr>
        <w:t xml:space="preserve"> </w:t>
      </w:r>
      <w:r w:rsidRPr="00FE73DE">
        <w:rPr>
          <w:szCs w:val="24"/>
        </w:rPr>
        <w:t>survey respondents:</w:t>
      </w:r>
      <w:r w:rsidR="005C2BD1" w:rsidRPr="00FE73DE">
        <w:rPr>
          <w:szCs w:val="24"/>
        </w:rPr>
        <w:t xml:space="preserve"> </w:t>
      </w:r>
    </w:p>
    <w:p w14:paraId="14E57695" w14:textId="2DF47D0C" w:rsidR="001B4D90" w:rsidRPr="00FE73DE" w:rsidRDefault="001B4D90" w:rsidP="001B4D90">
      <w:pPr>
        <w:pStyle w:val="Quote"/>
        <w:rPr>
          <w:sz w:val="24"/>
          <w:szCs w:val="24"/>
        </w:rPr>
      </w:pPr>
      <w:r w:rsidRPr="00FE73DE">
        <w:rPr>
          <w:sz w:val="24"/>
          <w:szCs w:val="24"/>
        </w:rPr>
        <w:t xml:space="preserve">Staff are unresponsive. I get email responses </w:t>
      </w:r>
      <w:r w:rsidR="008557E8">
        <w:rPr>
          <w:sz w:val="24"/>
          <w:szCs w:val="24"/>
        </w:rPr>
        <w:t>6–</w:t>
      </w:r>
      <w:r w:rsidRPr="00FE73DE">
        <w:rPr>
          <w:sz w:val="24"/>
          <w:szCs w:val="24"/>
        </w:rPr>
        <w:t>9 months after my enquiries. Information regarding support services is very unclear. I’m only ever directed towards borrowing money which my business has no need for … I applied for a workshop with IBA to do some training and professional development. This training course we waited months for but was then cancelled for some reason.</w:t>
      </w:r>
    </w:p>
    <w:p w14:paraId="4202FD95" w14:textId="35A9C335" w:rsidR="001B4D90" w:rsidRPr="00FE73DE" w:rsidRDefault="001B4D90" w:rsidP="001B4D90">
      <w:pPr>
        <w:pStyle w:val="Quote"/>
        <w:rPr>
          <w:sz w:val="24"/>
          <w:szCs w:val="24"/>
        </w:rPr>
      </w:pPr>
      <w:r w:rsidRPr="00FE73DE">
        <w:rPr>
          <w:sz w:val="24"/>
          <w:szCs w:val="24"/>
        </w:rPr>
        <w:t>I put in an application for funding in the peak of C</w:t>
      </w:r>
      <w:r w:rsidR="009F162B">
        <w:rPr>
          <w:sz w:val="24"/>
          <w:szCs w:val="24"/>
        </w:rPr>
        <w:t>OVID</w:t>
      </w:r>
      <w:r w:rsidRPr="00FE73DE">
        <w:rPr>
          <w:sz w:val="24"/>
          <w:szCs w:val="24"/>
        </w:rPr>
        <w:t>, unfortunately it was never followed up by either myself or IBA.</w:t>
      </w:r>
    </w:p>
    <w:p w14:paraId="07C7139A" w14:textId="77777777" w:rsidR="001B4D90" w:rsidRPr="00FE73DE" w:rsidRDefault="001B4D90" w:rsidP="001B4D90">
      <w:pPr>
        <w:pStyle w:val="Quote"/>
        <w:rPr>
          <w:sz w:val="24"/>
          <w:szCs w:val="24"/>
        </w:rPr>
      </w:pPr>
      <w:r w:rsidRPr="00FE73DE">
        <w:rPr>
          <w:sz w:val="24"/>
          <w:szCs w:val="24"/>
        </w:rPr>
        <w:t xml:space="preserve">It takes months and even years of endless emails and arm wrestling with IBA to get any assistance from IBA. They never go out of their way to help i.e. they never say- leave that to me and I'll get back to you, that NEVER happens. Just endlessly being handballed from one bureaucrat to another going nowhere times infinity.  </w:t>
      </w:r>
    </w:p>
    <w:p w14:paraId="7B479F95" w14:textId="73D5558B" w:rsidR="001B4D90" w:rsidRPr="00FE73DE" w:rsidRDefault="001B4D90" w:rsidP="001B4D90">
      <w:pPr>
        <w:rPr>
          <w:szCs w:val="24"/>
        </w:rPr>
      </w:pPr>
      <w:r w:rsidRPr="00FE73DE">
        <w:rPr>
          <w:szCs w:val="24"/>
        </w:rPr>
        <w:t>A number of those surveyed/interviewed also rela</w:t>
      </w:r>
      <w:r w:rsidR="00FA398C">
        <w:rPr>
          <w:szCs w:val="24"/>
        </w:rPr>
        <w:t>y</w:t>
      </w:r>
      <w:r w:rsidRPr="00FE73DE">
        <w:rPr>
          <w:szCs w:val="24"/>
        </w:rPr>
        <w:t>ed that more needs to be done to support early stage business development. This includes filling current skills and knowledge gaps</w:t>
      </w:r>
      <w:r w:rsidR="00FA398C">
        <w:rPr>
          <w:szCs w:val="24"/>
        </w:rPr>
        <w:t>,</w:t>
      </w:r>
      <w:r w:rsidRPr="00FE73DE">
        <w:rPr>
          <w:szCs w:val="24"/>
        </w:rPr>
        <w:t xml:space="preserve"> including:</w:t>
      </w:r>
    </w:p>
    <w:p w14:paraId="05C21084" w14:textId="6FE3842C" w:rsidR="001B4D90" w:rsidRPr="00FE73DE" w:rsidRDefault="00FA398C">
      <w:pPr>
        <w:pStyle w:val="ListBullet"/>
      </w:pPr>
      <w:r>
        <w:t>p</w:t>
      </w:r>
      <w:r w:rsidR="001B4D90" w:rsidRPr="00FE73DE">
        <w:t>rovid</w:t>
      </w:r>
      <w:r>
        <w:t>ing</w:t>
      </w:r>
      <w:r w:rsidR="001B4D90" w:rsidRPr="00FE73DE">
        <w:t xml:space="preserve"> basic business skills such as book-keeping, inventory management, and financial literacy</w:t>
      </w:r>
    </w:p>
    <w:p w14:paraId="01005553" w14:textId="19904BBE" w:rsidR="001B4D90" w:rsidRPr="00FE73DE" w:rsidRDefault="00FA398C">
      <w:pPr>
        <w:pStyle w:val="ListBullet"/>
      </w:pPr>
      <w:r>
        <w:t>p</w:t>
      </w:r>
      <w:r w:rsidR="001B4D90" w:rsidRPr="00FE73DE">
        <w:t>roviding mentoring and training opportunities.</w:t>
      </w:r>
    </w:p>
    <w:p w14:paraId="04D5FB91" w14:textId="44F71E0A" w:rsidR="001B4D90" w:rsidRPr="00FE73DE" w:rsidRDefault="001B4D90" w:rsidP="001B4D90">
      <w:pPr>
        <w:rPr>
          <w:szCs w:val="24"/>
        </w:rPr>
      </w:pPr>
      <w:r w:rsidRPr="00FE73DE">
        <w:rPr>
          <w:szCs w:val="24"/>
        </w:rPr>
        <w:t xml:space="preserve">This is because Indigenous business owners are often the first in their family to run a business, </w:t>
      </w:r>
      <w:r w:rsidR="00CB510D" w:rsidRPr="00FE73DE">
        <w:rPr>
          <w:szCs w:val="24"/>
        </w:rPr>
        <w:t xml:space="preserve">do </w:t>
      </w:r>
      <w:r w:rsidR="00FA398C">
        <w:rPr>
          <w:szCs w:val="24"/>
        </w:rPr>
        <w:t>not</w:t>
      </w:r>
      <w:r w:rsidR="00CB510D" w:rsidRPr="00FE73DE">
        <w:rPr>
          <w:szCs w:val="24"/>
        </w:rPr>
        <w:t xml:space="preserve"> have existing relationships with other business owners</w:t>
      </w:r>
      <w:r w:rsidR="00FA398C">
        <w:rPr>
          <w:szCs w:val="24"/>
        </w:rPr>
        <w:t>,</w:t>
      </w:r>
      <w:r w:rsidR="00CB510D" w:rsidRPr="00FE73DE">
        <w:rPr>
          <w:szCs w:val="24"/>
        </w:rPr>
        <w:t xml:space="preserve"> </w:t>
      </w:r>
      <w:r w:rsidRPr="00FE73DE">
        <w:rPr>
          <w:szCs w:val="24"/>
        </w:rPr>
        <w:t>or may not have had the opportunity to undertake formal courses in business administration</w:t>
      </w:r>
      <w:r w:rsidR="00CB510D" w:rsidRPr="00FE73DE">
        <w:rPr>
          <w:szCs w:val="24"/>
        </w:rPr>
        <w:t>. Comments from delivery partners and Indigenous businesses recognised these gaps</w:t>
      </w:r>
      <w:r w:rsidR="00A7300D" w:rsidRPr="00FE73DE">
        <w:rPr>
          <w:szCs w:val="24"/>
        </w:rPr>
        <w:t xml:space="preserve"> and are based on the individuals experience and exposure to the BSP</w:t>
      </w:r>
      <w:r w:rsidRPr="00FE73DE">
        <w:rPr>
          <w:szCs w:val="24"/>
        </w:rPr>
        <w:t xml:space="preserve">: </w:t>
      </w:r>
    </w:p>
    <w:p w14:paraId="202095D0" w14:textId="77777777" w:rsidR="001B4D90" w:rsidRPr="00FE73DE" w:rsidRDefault="001B4D90" w:rsidP="001B4D90">
      <w:pPr>
        <w:pStyle w:val="Quote"/>
        <w:rPr>
          <w:sz w:val="24"/>
          <w:szCs w:val="24"/>
        </w:rPr>
      </w:pPr>
      <w:r w:rsidRPr="00FE73DE">
        <w:rPr>
          <w:sz w:val="24"/>
          <w:szCs w:val="24"/>
        </w:rPr>
        <w:t>Often clients don’t have very good “commercial awareness” and need a lot of “hand holding”.  Lot of people wanting to start don’t understand or want to do the ‘record-keeping’ side. …</w:t>
      </w:r>
    </w:p>
    <w:p w14:paraId="1D200B03" w14:textId="77777777" w:rsidR="001B4D90" w:rsidRPr="00FE73DE" w:rsidRDefault="001B4D90" w:rsidP="001B4D90">
      <w:pPr>
        <w:pStyle w:val="Quote"/>
        <w:rPr>
          <w:sz w:val="24"/>
          <w:szCs w:val="24"/>
        </w:rPr>
      </w:pPr>
      <w:r w:rsidRPr="00FE73DE">
        <w:rPr>
          <w:sz w:val="24"/>
          <w:szCs w:val="24"/>
        </w:rPr>
        <w:t>The BSP doesn’t have enough focus on getting people ready for running a business.  More training and mentoring …</w:t>
      </w:r>
    </w:p>
    <w:p w14:paraId="7153405A" w14:textId="77777777" w:rsidR="001B4D90" w:rsidRPr="00FE73DE" w:rsidRDefault="001B4D90" w:rsidP="001B4D90">
      <w:pPr>
        <w:pStyle w:val="Quote"/>
        <w:rPr>
          <w:sz w:val="24"/>
          <w:szCs w:val="24"/>
        </w:rPr>
      </w:pPr>
      <w:r w:rsidRPr="00FE73DE">
        <w:rPr>
          <w:sz w:val="24"/>
          <w:szCs w:val="24"/>
        </w:rPr>
        <w:t>People used to have to do basic business training through the BSP, but not effective and enough now …</w:t>
      </w:r>
    </w:p>
    <w:p w14:paraId="21D89F1E" w14:textId="36F3E6E9" w:rsidR="001B4D90" w:rsidRPr="00FE73DE" w:rsidRDefault="001B4D90" w:rsidP="001B4D90">
      <w:pPr>
        <w:pStyle w:val="Quote"/>
        <w:rPr>
          <w:sz w:val="24"/>
          <w:szCs w:val="24"/>
        </w:rPr>
      </w:pPr>
      <w:r w:rsidRPr="00FE73DE">
        <w:rPr>
          <w:sz w:val="24"/>
          <w:szCs w:val="24"/>
        </w:rPr>
        <w:t xml:space="preserve">Again, lack of skills at the business entry stage. Need to require minimum financial and business training BEFORE the business plan stage, and then providing practical coaching and support for the first </w:t>
      </w:r>
      <w:r w:rsidR="008557E8">
        <w:rPr>
          <w:sz w:val="24"/>
          <w:szCs w:val="24"/>
        </w:rPr>
        <w:t>6–</w:t>
      </w:r>
      <w:r w:rsidRPr="00FE73DE">
        <w:rPr>
          <w:sz w:val="24"/>
          <w:szCs w:val="24"/>
        </w:rPr>
        <w:t>12 months.</w:t>
      </w:r>
    </w:p>
    <w:p w14:paraId="0E5CF8AD" w14:textId="77777777" w:rsidR="001B4D90" w:rsidRPr="00FE73DE" w:rsidRDefault="001B4D90" w:rsidP="001B4D90">
      <w:pPr>
        <w:pStyle w:val="Quote"/>
        <w:rPr>
          <w:sz w:val="24"/>
          <w:szCs w:val="24"/>
        </w:rPr>
      </w:pPr>
      <w:r w:rsidRPr="00FE73DE">
        <w:rPr>
          <w:sz w:val="24"/>
          <w:szCs w:val="24"/>
        </w:rPr>
        <w:t>Coaching provided under the BSP could be improved beyond the initial Business Plan development.</w:t>
      </w:r>
    </w:p>
    <w:p w14:paraId="1FBCAFDC" w14:textId="77777777" w:rsidR="001B4D90" w:rsidRPr="00FE73DE" w:rsidRDefault="001B4D90" w:rsidP="001B4D90">
      <w:pPr>
        <w:pStyle w:val="Quote"/>
        <w:rPr>
          <w:sz w:val="24"/>
          <w:szCs w:val="24"/>
        </w:rPr>
      </w:pPr>
      <w:r w:rsidRPr="00FE73DE">
        <w:rPr>
          <w:sz w:val="24"/>
          <w:szCs w:val="24"/>
        </w:rPr>
        <w:t xml:space="preserve">Not much focus is on developing financial literacy.  For example, in a 2-day business workshop 2-hours was spent on financial management, but 1-day on marketing.  Balance wrong. </w:t>
      </w:r>
    </w:p>
    <w:p w14:paraId="24B34871" w14:textId="77777777" w:rsidR="001B4D90" w:rsidRPr="00FE73DE" w:rsidRDefault="001B4D90" w:rsidP="001B4D90">
      <w:pPr>
        <w:pStyle w:val="Quote"/>
        <w:rPr>
          <w:sz w:val="24"/>
          <w:szCs w:val="24"/>
        </w:rPr>
      </w:pPr>
      <w:r w:rsidRPr="00FE73DE">
        <w:rPr>
          <w:sz w:val="24"/>
          <w:szCs w:val="24"/>
        </w:rPr>
        <w:t>BSP could easily provide an on-line course on financial and other business skills that applicants need to complete and pass BEFORE being eligible for applying for BSP support</w:t>
      </w:r>
    </w:p>
    <w:p w14:paraId="0CEECF66" w14:textId="6ABEBCDB" w:rsidR="001B4D90" w:rsidRPr="00FE73DE" w:rsidRDefault="009B32D2" w:rsidP="001B4D90">
      <w:pPr>
        <w:rPr>
          <w:szCs w:val="24"/>
        </w:rPr>
      </w:pPr>
      <w:r w:rsidRPr="00FE73DE">
        <w:rPr>
          <w:szCs w:val="24"/>
        </w:rPr>
        <w:t>Research has shown that f</w:t>
      </w:r>
      <w:r w:rsidR="001B4D90" w:rsidRPr="00FE73DE">
        <w:rPr>
          <w:szCs w:val="24"/>
        </w:rPr>
        <w:t xml:space="preserve">inancial literacy is the platform for improvements in Indigenous </w:t>
      </w:r>
      <w:r w:rsidR="00FA398C" w:rsidRPr="00FE73DE">
        <w:rPr>
          <w:szCs w:val="24"/>
        </w:rPr>
        <w:t>self-employment</w:t>
      </w:r>
      <w:r w:rsidR="001B4D90" w:rsidRPr="00FE73DE">
        <w:rPr>
          <w:szCs w:val="24"/>
        </w:rPr>
        <w:t>, with poor financial literacy limiting Indigenous people. Developing business skills within Indigenous communities has been shown to have positive impacts on community development.</w:t>
      </w:r>
      <w:r w:rsidR="00CB510D" w:rsidRPr="00FE73DE">
        <w:rPr>
          <w:szCs w:val="24"/>
        </w:rPr>
        <w:t xml:space="preserve"> </w:t>
      </w:r>
      <w:r w:rsidR="00A7300D" w:rsidRPr="00FE73DE">
        <w:rPr>
          <w:szCs w:val="24"/>
        </w:rPr>
        <w:t xml:space="preserve">The comments above highlight different perspectives of the business support currently available under the BSP. While there are more extensive business support programs </w:t>
      </w:r>
      <w:r w:rsidRPr="00FE73DE">
        <w:rPr>
          <w:szCs w:val="24"/>
        </w:rPr>
        <w:t xml:space="preserve">delivered through BSP partnerships </w:t>
      </w:r>
      <w:r w:rsidR="00A7300D" w:rsidRPr="00FE73DE">
        <w:rPr>
          <w:szCs w:val="24"/>
        </w:rPr>
        <w:t>such as the M</w:t>
      </w:r>
      <w:r w:rsidRPr="00FE73DE">
        <w:rPr>
          <w:szCs w:val="24"/>
        </w:rPr>
        <w:t>urra</w:t>
      </w:r>
      <w:r w:rsidR="00A7300D" w:rsidRPr="00FE73DE">
        <w:rPr>
          <w:szCs w:val="24"/>
        </w:rPr>
        <w:t xml:space="preserve"> Indigenous Business Masterclass program</w:t>
      </w:r>
      <w:r w:rsidRPr="00FE73DE">
        <w:rPr>
          <w:szCs w:val="24"/>
        </w:rPr>
        <w:t xml:space="preserve"> being delivered</w:t>
      </w:r>
      <w:r w:rsidR="00A7300D" w:rsidRPr="00FE73DE">
        <w:rPr>
          <w:szCs w:val="24"/>
        </w:rPr>
        <w:t xml:space="preserve"> in partnership with the Melbourne Business School</w:t>
      </w:r>
      <w:r w:rsidRPr="00FE73DE">
        <w:rPr>
          <w:szCs w:val="24"/>
        </w:rPr>
        <w:t>,</w:t>
      </w:r>
      <w:r w:rsidR="00A7300D" w:rsidRPr="00FE73DE">
        <w:rPr>
          <w:szCs w:val="24"/>
        </w:rPr>
        <w:t xml:space="preserve"> </w:t>
      </w:r>
      <w:r w:rsidR="00B31EAE" w:rsidRPr="00FE73DE">
        <w:rPr>
          <w:szCs w:val="24"/>
        </w:rPr>
        <w:t xml:space="preserve">and the Digital Support Program enabling up to 50 businesses in Victoria and Kinaway members to access professional and expert digital support, there is a demand for more support in this area. </w:t>
      </w:r>
    </w:p>
    <w:p w14:paraId="6E214409" w14:textId="35A8ADDC" w:rsidR="00C361B7" w:rsidRDefault="00C361B7" w:rsidP="00C361B7">
      <w:pPr>
        <w:rPr>
          <w:szCs w:val="24"/>
        </w:rPr>
      </w:pPr>
      <w:r w:rsidRPr="00C361B7">
        <w:rPr>
          <w:szCs w:val="24"/>
        </w:rPr>
        <w:t>Recognising that the BSP is delivered through a relatively flexible model for tailoring support to the needs of customers, the short-term outcome findings reflected here can help inform and fine tune support to enhance a customer’s business development journey. Better identifying and reducing barriers to entry is an important aspect for consideration.</w:t>
      </w:r>
      <w:r>
        <w:rPr>
          <w:szCs w:val="24"/>
        </w:rPr>
        <w:t xml:space="preserve"> </w:t>
      </w:r>
    </w:p>
    <w:p w14:paraId="70215162" w14:textId="11D9210C" w:rsidR="00190246" w:rsidRPr="00FE73DE" w:rsidRDefault="005C2BD1" w:rsidP="00757C55">
      <w:pPr>
        <w:pStyle w:val="Heading2"/>
        <w:ind w:hanging="792"/>
      </w:pPr>
      <w:bookmarkStart w:id="108" w:name="_Toc123734712"/>
      <w:r w:rsidRPr="00FE73DE">
        <w:t>M</w:t>
      </w:r>
      <w:r w:rsidR="00190246" w:rsidRPr="00FE73DE">
        <w:t>edium</w:t>
      </w:r>
      <w:r w:rsidR="003C5F8C" w:rsidRPr="00FE73DE">
        <w:t>-t</w:t>
      </w:r>
      <w:r w:rsidR="00190246" w:rsidRPr="00FE73DE">
        <w:t xml:space="preserve">erm </w:t>
      </w:r>
      <w:r w:rsidR="00B11880">
        <w:t>o</w:t>
      </w:r>
      <w:r w:rsidR="00190246" w:rsidRPr="00FE73DE">
        <w:t>utcomes</w:t>
      </w:r>
      <w:r w:rsidRPr="00FE73DE">
        <w:t xml:space="preserve"> – </w:t>
      </w:r>
      <w:r w:rsidR="00B11880">
        <w:t>s</w:t>
      </w:r>
      <w:r w:rsidRPr="00FE73DE">
        <w:t>ustaining business viability</w:t>
      </w:r>
      <w:bookmarkEnd w:id="108"/>
    </w:p>
    <w:p w14:paraId="615B7602" w14:textId="740ED61B" w:rsidR="00190246" w:rsidRPr="00FE73DE" w:rsidRDefault="00190246" w:rsidP="00190246">
      <w:pPr>
        <w:tabs>
          <w:tab w:val="num" w:pos="720"/>
        </w:tabs>
      </w:pPr>
      <w:bookmarkStart w:id="109" w:name="_Hlk105684913"/>
      <w:r w:rsidRPr="00FE73DE">
        <w:t>The program logic anticipated that in the medium-term</w:t>
      </w:r>
      <w:r w:rsidR="00EB31FC" w:rsidRPr="00FE73DE">
        <w:t>,</w:t>
      </w:r>
      <w:r w:rsidRPr="00FE73DE">
        <w:t xml:space="preserve"> BSP customers would engage with the wider business sector/support services. Businesses would be developing peer support networks, developing and strengthening Indigenous business networks, and contributing to networking activities as leaders/mentors. In the medium-term, it was also anticipated that customers would have strengthened their business capabilities and </w:t>
      </w:r>
      <w:r w:rsidR="00FA398C">
        <w:t xml:space="preserve">be </w:t>
      </w:r>
      <w:r w:rsidRPr="00FE73DE">
        <w:t xml:space="preserve">able to </w:t>
      </w:r>
      <w:r w:rsidR="003D1E41" w:rsidRPr="00FE73DE">
        <w:t xml:space="preserve">maintain </w:t>
      </w:r>
      <w:r w:rsidRPr="00FE73DE">
        <w:t xml:space="preserve">sustainable business operating models, including growth and diversification strategies, and have increased equity within their business. </w:t>
      </w:r>
    </w:p>
    <w:p w14:paraId="1D90061C" w14:textId="668EC992" w:rsidR="005C2BD1" w:rsidRPr="00FE73DE" w:rsidRDefault="005C2BD1" w:rsidP="005C2BD1">
      <w:pPr>
        <w:rPr>
          <w:szCs w:val="24"/>
        </w:rPr>
      </w:pPr>
      <w:r w:rsidRPr="00FE73DE">
        <w:rPr>
          <w:szCs w:val="24"/>
        </w:rPr>
        <w:t xml:space="preserve">The critical requirement in the medium term </w:t>
      </w:r>
      <w:r w:rsidR="00FA398C">
        <w:rPr>
          <w:szCs w:val="24"/>
        </w:rPr>
        <w:t>wa</w:t>
      </w:r>
      <w:r w:rsidRPr="00FE73DE">
        <w:rPr>
          <w:szCs w:val="24"/>
        </w:rPr>
        <w:t xml:space="preserve">s that the business is viable and able to service the loan. The business capability </w:t>
      </w:r>
      <w:r w:rsidR="00FA398C">
        <w:rPr>
          <w:szCs w:val="24"/>
        </w:rPr>
        <w:t>wa</w:t>
      </w:r>
      <w:r w:rsidRPr="00FE73DE">
        <w:rPr>
          <w:szCs w:val="24"/>
        </w:rPr>
        <w:t xml:space="preserve">s also anticipated to mature, including expanding and </w:t>
      </w:r>
      <w:r w:rsidR="00CD1706" w:rsidRPr="00FE73DE">
        <w:rPr>
          <w:szCs w:val="24"/>
        </w:rPr>
        <w:t xml:space="preserve">being able to respond to </w:t>
      </w:r>
      <w:r w:rsidRPr="00FE73DE">
        <w:rPr>
          <w:szCs w:val="24"/>
        </w:rPr>
        <w:t>opportunities.</w:t>
      </w:r>
    </w:p>
    <w:p w14:paraId="7098D260" w14:textId="7E7DEFDD" w:rsidR="00CD1706" w:rsidRPr="00FE73DE" w:rsidRDefault="00CD1706">
      <w:pPr>
        <w:pStyle w:val="Heading3"/>
      </w:pPr>
      <w:r w:rsidRPr="00FE73DE">
        <w:t xml:space="preserve">Loan serviceability and business survivability </w:t>
      </w:r>
    </w:p>
    <w:p w14:paraId="022E1050" w14:textId="583325B8" w:rsidR="00CD1706" w:rsidRPr="00FE73DE" w:rsidRDefault="00CD1706" w:rsidP="009761AD">
      <w:r w:rsidRPr="00FE73DE">
        <w:t xml:space="preserve">As discussed in </w:t>
      </w:r>
      <w:r w:rsidR="00FF1B5D" w:rsidRPr="00FE73DE">
        <w:t>section 4.1.3</w:t>
      </w:r>
      <w:r w:rsidRPr="00FE73DE">
        <w:t>, the indications are positive in relation to business survivability, particularly for the later years of the loan profile (</w:t>
      </w:r>
      <w:r w:rsidR="009B32D2" w:rsidRPr="00FE73DE">
        <w:t xml:space="preserve">see earlier </w:t>
      </w:r>
      <w:r w:rsidR="00FF1B5D" w:rsidRPr="00FE73DE">
        <w:fldChar w:fldCharType="begin"/>
      </w:r>
      <w:r w:rsidR="00FF1B5D" w:rsidRPr="00FE73DE">
        <w:instrText xml:space="preserve"> REF _Ref110785444 \h </w:instrText>
      </w:r>
      <w:r w:rsidR="00FF1B5D" w:rsidRPr="00FE73DE">
        <w:fldChar w:fldCharType="separate"/>
      </w:r>
      <w:r w:rsidR="004718C9" w:rsidRPr="00FE73DE">
        <w:t xml:space="preserve">Figure </w:t>
      </w:r>
      <w:r w:rsidR="004718C9">
        <w:rPr>
          <w:noProof/>
        </w:rPr>
        <w:t>18</w:t>
      </w:r>
      <w:r w:rsidR="00FF1B5D" w:rsidRPr="00FE73DE">
        <w:fldChar w:fldCharType="end"/>
      </w:r>
      <w:r w:rsidR="00FF1B5D" w:rsidRPr="00FE73DE">
        <w:t>)</w:t>
      </w:r>
      <w:r w:rsidRPr="00FE73DE">
        <w:t xml:space="preserve">. However, tracking is confined to a </w:t>
      </w:r>
      <w:r w:rsidR="001F2BA9">
        <w:t>four</w:t>
      </w:r>
      <w:r w:rsidR="00FA398C" w:rsidRPr="00FE73DE">
        <w:t>-year</w:t>
      </w:r>
      <w:r w:rsidR="00F73B04" w:rsidRPr="00FE73DE">
        <w:t xml:space="preserve"> </w:t>
      </w:r>
      <w:r w:rsidR="00FA398C">
        <w:t>time</w:t>
      </w:r>
      <w:r w:rsidRPr="00FE73DE">
        <w:t xml:space="preserve">frame </w:t>
      </w:r>
      <w:r w:rsidR="00F73B04" w:rsidRPr="00FE73DE">
        <w:t xml:space="preserve">aligned to the KPI and ABS </w:t>
      </w:r>
      <w:r w:rsidR="008F07DC" w:rsidRPr="00FE73DE">
        <w:t>metric</w:t>
      </w:r>
      <w:r w:rsidRPr="00FE73DE">
        <w:t>.</w:t>
      </w:r>
    </w:p>
    <w:p w14:paraId="3C348B2E" w14:textId="421B5B4A" w:rsidR="00CD1706" w:rsidRPr="00FE73DE" w:rsidRDefault="00CD1706" w:rsidP="009761AD">
      <w:r w:rsidRPr="00FE73DE">
        <w:t>To understand medium term outcomes, it would be necessary to track the survivability for a longer time. It would also be useful to understand survivability in relation to business stage, level of risk</w:t>
      </w:r>
      <w:r w:rsidR="00FF1B5D" w:rsidRPr="00FE73DE">
        <w:t xml:space="preserve">, </w:t>
      </w:r>
      <w:r w:rsidR="00FA398C" w:rsidRPr="00FE73DE">
        <w:t>locations,</w:t>
      </w:r>
      <w:r w:rsidRPr="00FE73DE">
        <w:t xml:space="preserve"> and industry type to understand trends. This may help </w:t>
      </w:r>
      <w:r w:rsidR="00FF1B5D" w:rsidRPr="00FE73DE">
        <w:t xml:space="preserve">to </w:t>
      </w:r>
      <w:r w:rsidRPr="00FE73DE">
        <w:t xml:space="preserve">better direct support to increase the survivability rates including potential approaches of mentoring networks for small businesses </w:t>
      </w:r>
      <w:r w:rsidR="00B1551F" w:rsidRPr="00FE73DE">
        <w:t xml:space="preserve">in certain locations </w:t>
      </w:r>
      <w:r w:rsidRPr="00FE73DE">
        <w:t>or industry sectors.</w:t>
      </w:r>
    </w:p>
    <w:p w14:paraId="21F82EB4" w14:textId="662D9539" w:rsidR="00CD1706" w:rsidRPr="00FE73DE" w:rsidRDefault="00CD1706" w:rsidP="00CD1706">
      <w:pPr>
        <w:rPr>
          <w:szCs w:val="24"/>
        </w:rPr>
      </w:pPr>
      <w:r w:rsidRPr="00FE73DE">
        <w:rPr>
          <w:szCs w:val="24"/>
        </w:rPr>
        <w:t xml:space="preserve">Another key measure of a minimum level of viability is capacity to service a loan. Due to the high risk </w:t>
      </w:r>
      <w:r w:rsidR="008F07DC" w:rsidRPr="00FE73DE">
        <w:rPr>
          <w:szCs w:val="24"/>
        </w:rPr>
        <w:t>profile across the IBA business loan portfolio</w:t>
      </w:r>
      <w:r w:rsidR="008F07DC" w:rsidRPr="00FE73DE">
        <w:rPr>
          <w:rStyle w:val="CommentReference"/>
          <w:color w:val="14425D" w:themeColor="text2"/>
          <w:kern w:val="10"/>
        </w:rPr>
        <w:t xml:space="preserve">, </w:t>
      </w:r>
      <w:r w:rsidR="008F07DC" w:rsidRPr="00FE73DE">
        <w:rPr>
          <w:szCs w:val="24"/>
        </w:rPr>
        <w:t>the BSP grant provides a</w:t>
      </w:r>
      <w:r w:rsidR="00B1551F" w:rsidRPr="00FE73DE">
        <w:rPr>
          <w:szCs w:val="24"/>
        </w:rPr>
        <w:t xml:space="preserve"> provision for doubtful debts (PDD)</w:t>
      </w:r>
      <w:r w:rsidRPr="00FE73DE">
        <w:rPr>
          <w:szCs w:val="24"/>
        </w:rPr>
        <w:t xml:space="preserve"> </w:t>
      </w:r>
      <w:r w:rsidR="00B1551F" w:rsidRPr="00FE73DE">
        <w:rPr>
          <w:szCs w:val="24"/>
        </w:rPr>
        <w:t xml:space="preserve">from the annual capital component. The PDD assists the program to assess expected losses to the loan portfolio and monitors performance against the programs risk tolerances. </w:t>
      </w:r>
      <w:r w:rsidRPr="00FE73DE">
        <w:rPr>
          <w:szCs w:val="24"/>
        </w:rPr>
        <w:t xml:space="preserve">Currently, evidence suggests that minimal funds have </w:t>
      </w:r>
      <w:r w:rsidR="00B1551F" w:rsidRPr="00FE73DE">
        <w:rPr>
          <w:szCs w:val="24"/>
        </w:rPr>
        <w:t xml:space="preserve">needed to be drawn upon </w:t>
      </w:r>
      <w:r w:rsidRPr="00FE73DE">
        <w:rPr>
          <w:szCs w:val="24"/>
        </w:rPr>
        <w:t>which is positive</w:t>
      </w:r>
      <w:r w:rsidR="00FA398C">
        <w:rPr>
          <w:szCs w:val="24"/>
        </w:rPr>
        <w:t>,</w:t>
      </w:r>
      <w:r w:rsidRPr="00FE73DE">
        <w:rPr>
          <w:szCs w:val="24"/>
        </w:rPr>
        <w:t xml:space="preserve"> indicating IBA is working with customers to avoid</w:t>
      </w:r>
      <w:r w:rsidR="00527968" w:rsidRPr="00FE73DE">
        <w:rPr>
          <w:szCs w:val="24"/>
        </w:rPr>
        <w:t xml:space="preserve"> a loan being identified as non-performing (</w:t>
      </w:r>
      <w:r w:rsidR="00FA398C">
        <w:rPr>
          <w:szCs w:val="24"/>
        </w:rPr>
        <w:t xml:space="preserve">more than </w:t>
      </w:r>
      <w:r w:rsidR="00527968" w:rsidRPr="00FE73DE">
        <w:rPr>
          <w:szCs w:val="24"/>
        </w:rPr>
        <w:t>90</w:t>
      </w:r>
      <w:r w:rsidR="00FA398C">
        <w:rPr>
          <w:szCs w:val="24"/>
        </w:rPr>
        <w:t xml:space="preserve"> </w:t>
      </w:r>
      <w:r w:rsidR="00527968" w:rsidRPr="00FE73DE">
        <w:rPr>
          <w:szCs w:val="24"/>
        </w:rPr>
        <w:t>days in arrears) and the program has needed to write-off the debt.</w:t>
      </w:r>
      <w:r w:rsidR="006B2E70" w:rsidRPr="00FE73DE">
        <w:rPr>
          <w:szCs w:val="24"/>
        </w:rPr>
        <w:t xml:space="preserve"> It should be noted that the time taken to get to this situation is dependent on things such as the circumstances of the business exit pathway or the borrower’s personal circumstances.</w:t>
      </w:r>
      <w:r w:rsidR="008F07DC" w:rsidRPr="00FE73DE">
        <w:rPr>
          <w:szCs w:val="24"/>
        </w:rPr>
        <w:t xml:space="preserve"> </w:t>
      </w:r>
    </w:p>
    <w:p w14:paraId="69A0CDE8" w14:textId="77777777" w:rsidR="00FA398C" w:rsidRDefault="006B2E70" w:rsidP="00CD1706">
      <w:pPr>
        <w:rPr>
          <w:szCs w:val="24"/>
        </w:rPr>
      </w:pPr>
      <w:r w:rsidRPr="00FE73DE">
        <w:rPr>
          <w:szCs w:val="24"/>
        </w:rPr>
        <w:t>IBA actively works with customers who face financial difficulty during their business and finance journey and take an active loan management approach. Support services can include</w:t>
      </w:r>
      <w:r w:rsidR="00FA398C">
        <w:rPr>
          <w:szCs w:val="24"/>
        </w:rPr>
        <w:t>:</w:t>
      </w:r>
    </w:p>
    <w:p w14:paraId="5393E605" w14:textId="77777777" w:rsidR="00FA398C" w:rsidRDefault="006B2E70">
      <w:pPr>
        <w:pStyle w:val="ListParagraph"/>
        <w:numPr>
          <w:ilvl w:val="0"/>
          <w:numId w:val="30"/>
        </w:numPr>
        <w:rPr>
          <w:szCs w:val="24"/>
        </w:rPr>
      </w:pPr>
      <w:r w:rsidRPr="00FA398C">
        <w:rPr>
          <w:szCs w:val="24"/>
        </w:rPr>
        <w:t xml:space="preserve">deferred payments (e.g. when </w:t>
      </w:r>
      <w:r w:rsidR="00FA398C" w:rsidRPr="00FA398C">
        <w:rPr>
          <w:szCs w:val="24"/>
        </w:rPr>
        <w:t xml:space="preserve">the </w:t>
      </w:r>
      <w:r w:rsidRPr="00FA398C">
        <w:rPr>
          <w:szCs w:val="24"/>
        </w:rPr>
        <w:t>COVID</w:t>
      </w:r>
      <w:r w:rsidR="00FA398C" w:rsidRPr="00FA398C">
        <w:rPr>
          <w:szCs w:val="24"/>
        </w:rPr>
        <w:t>-19</w:t>
      </w:r>
      <w:r w:rsidRPr="00FA398C">
        <w:rPr>
          <w:szCs w:val="24"/>
        </w:rPr>
        <w:t xml:space="preserve"> pandemic created economic risks)</w:t>
      </w:r>
    </w:p>
    <w:p w14:paraId="64115EDA" w14:textId="77777777" w:rsidR="00FA398C" w:rsidRDefault="006B2E70">
      <w:pPr>
        <w:pStyle w:val="ListParagraph"/>
        <w:numPr>
          <w:ilvl w:val="0"/>
          <w:numId w:val="30"/>
        </w:numPr>
        <w:rPr>
          <w:szCs w:val="24"/>
        </w:rPr>
      </w:pPr>
      <w:r w:rsidRPr="00FA398C">
        <w:rPr>
          <w:szCs w:val="24"/>
        </w:rPr>
        <w:t>negotiated instalments where a payment(s) has been missed</w:t>
      </w:r>
    </w:p>
    <w:p w14:paraId="4DF84723" w14:textId="77777777" w:rsidR="00FA398C" w:rsidRDefault="006B2E70">
      <w:pPr>
        <w:pStyle w:val="ListParagraph"/>
        <w:numPr>
          <w:ilvl w:val="0"/>
          <w:numId w:val="30"/>
        </w:numPr>
        <w:rPr>
          <w:szCs w:val="24"/>
        </w:rPr>
      </w:pPr>
      <w:r w:rsidRPr="00FA398C">
        <w:rPr>
          <w:szCs w:val="24"/>
        </w:rPr>
        <w:t>finance restructure/term extensions where business or personal circumstances change</w:t>
      </w:r>
    </w:p>
    <w:p w14:paraId="630626AE" w14:textId="77777777" w:rsidR="00FA398C" w:rsidRDefault="006B2E70">
      <w:pPr>
        <w:pStyle w:val="ListParagraph"/>
        <w:numPr>
          <w:ilvl w:val="0"/>
          <w:numId w:val="30"/>
        </w:numPr>
        <w:rPr>
          <w:szCs w:val="24"/>
        </w:rPr>
      </w:pPr>
      <w:r w:rsidRPr="00FA398C">
        <w:rPr>
          <w:szCs w:val="24"/>
        </w:rPr>
        <w:t>external consultant support to reposition the business into new markets or revenue streams</w:t>
      </w:r>
    </w:p>
    <w:p w14:paraId="49248363" w14:textId="17102FCA" w:rsidR="00CD1706" w:rsidRPr="00FA398C" w:rsidRDefault="00321AA7" w:rsidP="00FA398C">
      <w:pPr>
        <w:rPr>
          <w:szCs w:val="24"/>
        </w:rPr>
      </w:pPr>
      <w:r w:rsidRPr="00FA398C">
        <w:rPr>
          <w:szCs w:val="24"/>
        </w:rPr>
        <w:t>Some of the comments made by delivery partners in section 6.1 in relation to financial literacy were based on experience in supporting IBA customers facing financial difficulty.</w:t>
      </w:r>
    </w:p>
    <w:p w14:paraId="18D13832" w14:textId="20277F15" w:rsidR="00CD1706" w:rsidRPr="00FE73DE" w:rsidRDefault="00CD1706" w:rsidP="00CD1706">
      <w:pPr>
        <w:rPr>
          <w:szCs w:val="24"/>
        </w:rPr>
      </w:pPr>
      <w:r w:rsidRPr="00FE73DE">
        <w:rPr>
          <w:szCs w:val="24"/>
        </w:rPr>
        <w:t xml:space="preserve">As stated in IBA’s </w:t>
      </w:r>
      <w:r w:rsidR="00CC1F30" w:rsidRPr="00FE73DE">
        <w:rPr>
          <w:szCs w:val="24"/>
        </w:rPr>
        <w:t>A</w:t>
      </w:r>
      <w:r w:rsidRPr="00FE73DE">
        <w:rPr>
          <w:szCs w:val="24"/>
        </w:rPr>
        <w:t xml:space="preserve">nnual </w:t>
      </w:r>
      <w:r w:rsidR="00CC1F30" w:rsidRPr="00FE73DE">
        <w:rPr>
          <w:szCs w:val="24"/>
        </w:rPr>
        <w:t>R</w:t>
      </w:r>
      <w:r w:rsidRPr="00FE73DE">
        <w:rPr>
          <w:szCs w:val="24"/>
        </w:rPr>
        <w:t xml:space="preserve">eport </w:t>
      </w:r>
      <w:r w:rsidR="00CC1F30" w:rsidRPr="00FE73DE">
        <w:rPr>
          <w:szCs w:val="24"/>
        </w:rPr>
        <w:t>20</w:t>
      </w:r>
      <w:r w:rsidRPr="00FE73DE">
        <w:rPr>
          <w:szCs w:val="24"/>
        </w:rPr>
        <w:t>1</w:t>
      </w:r>
      <w:r w:rsidR="008557E8">
        <w:rPr>
          <w:szCs w:val="24"/>
        </w:rPr>
        <w:t>9–</w:t>
      </w:r>
      <w:r w:rsidRPr="00FE73DE">
        <w:rPr>
          <w:szCs w:val="24"/>
        </w:rPr>
        <w:t>20</w:t>
      </w:r>
      <w:r w:rsidR="00FA398C">
        <w:rPr>
          <w:szCs w:val="24"/>
        </w:rPr>
        <w:t>:</w:t>
      </w:r>
    </w:p>
    <w:p w14:paraId="2D6597BA" w14:textId="07C00356" w:rsidR="00CD1706" w:rsidRPr="00FE73DE" w:rsidRDefault="00CD1706" w:rsidP="00FA398C">
      <w:pPr>
        <w:pStyle w:val="Boxbullett"/>
        <w:ind w:left="709"/>
      </w:pPr>
      <w:r w:rsidRPr="00FE73DE">
        <w:t>We also moved quickly (and before many mainstream lenders) to announce relief measures for IBA home loan customers; offering interest rate reduction to reduce payments, and hardship assistance to customers in need, including deferring repayments and other support.</w:t>
      </w:r>
    </w:p>
    <w:p w14:paraId="09617CE4" w14:textId="0F8E2398" w:rsidR="00CD1706" w:rsidRPr="00FE73DE" w:rsidRDefault="00CD1706">
      <w:pPr>
        <w:pStyle w:val="Heading3"/>
      </w:pPr>
      <w:bookmarkStart w:id="110" w:name="_Toc109569519"/>
      <w:bookmarkStart w:id="111" w:name="_Toc108632468"/>
      <w:r w:rsidRPr="00FE73DE">
        <w:t xml:space="preserve">Business </w:t>
      </w:r>
      <w:r w:rsidR="00321AA7" w:rsidRPr="00FE73DE">
        <w:t>c</w:t>
      </w:r>
      <w:r w:rsidRPr="00FE73DE">
        <w:t>apability</w:t>
      </w:r>
      <w:bookmarkEnd w:id="110"/>
      <w:bookmarkEnd w:id="111"/>
    </w:p>
    <w:p w14:paraId="7C00D9AB" w14:textId="4050753E" w:rsidR="00CD1706" w:rsidRPr="00FE73DE" w:rsidRDefault="00CD1706" w:rsidP="00CD1706">
      <w:pPr>
        <w:tabs>
          <w:tab w:val="num" w:pos="720"/>
        </w:tabs>
        <w:rPr>
          <w:szCs w:val="24"/>
        </w:rPr>
      </w:pPr>
      <w:r w:rsidRPr="00FE73DE">
        <w:rPr>
          <w:szCs w:val="24"/>
        </w:rPr>
        <w:t xml:space="preserve">In the medium term it was expected that customers would have strengthened their business capabilities and be able to maintain sustainable business operating models, including </w:t>
      </w:r>
      <w:r w:rsidR="00321AA7" w:rsidRPr="00FE73DE">
        <w:rPr>
          <w:szCs w:val="24"/>
        </w:rPr>
        <w:t xml:space="preserve">implementing </w:t>
      </w:r>
      <w:r w:rsidRPr="00FE73DE">
        <w:rPr>
          <w:szCs w:val="24"/>
        </w:rPr>
        <w:t>growth and diversification strategies, and have increased equity within their business. They would potentially expand and diversify including the delivery of larger scale or more complex goods and services. They would also need to have cash flow to service existing loans. It was also expected a business would</w:t>
      </w:r>
      <w:r w:rsidR="00321AA7" w:rsidRPr="00FE73DE">
        <w:rPr>
          <w:szCs w:val="24"/>
        </w:rPr>
        <w:t xml:space="preserve"> potentially</w:t>
      </w:r>
      <w:r w:rsidRPr="00FE73DE">
        <w:rPr>
          <w:szCs w:val="24"/>
        </w:rPr>
        <w:t xml:space="preserve"> be </w:t>
      </w:r>
      <w:r w:rsidR="00321AA7" w:rsidRPr="00FE73DE">
        <w:rPr>
          <w:szCs w:val="24"/>
        </w:rPr>
        <w:t xml:space="preserve">seeking </w:t>
      </w:r>
      <w:r w:rsidRPr="00FE73DE">
        <w:rPr>
          <w:szCs w:val="24"/>
        </w:rPr>
        <w:t>access</w:t>
      </w:r>
      <w:r w:rsidR="00321AA7" w:rsidRPr="00FE73DE">
        <w:rPr>
          <w:szCs w:val="24"/>
        </w:rPr>
        <w:t xml:space="preserve"> to</w:t>
      </w:r>
      <w:r w:rsidRPr="00FE73DE">
        <w:rPr>
          <w:szCs w:val="24"/>
        </w:rPr>
        <w:t xml:space="preserve"> additional finance</w:t>
      </w:r>
      <w:r w:rsidR="00321AA7" w:rsidRPr="00FE73DE">
        <w:rPr>
          <w:szCs w:val="24"/>
        </w:rPr>
        <w:t xml:space="preserve"> to help them grow</w:t>
      </w:r>
      <w:r w:rsidRPr="00FE73DE">
        <w:rPr>
          <w:szCs w:val="24"/>
        </w:rPr>
        <w:t>, including other types of financial products</w:t>
      </w:r>
      <w:r w:rsidR="00321AA7" w:rsidRPr="00FE73DE">
        <w:rPr>
          <w:szCs w:val="24"/>
        </w:rPr>
        <w:t xml:space="preserve"> such as performance bonds to enable them to take on larger contracts</w:t>
      </w:r>
      <w:r w:rsidRPr="00FE73DE">
        <w:rPr>
          <w:szCs w:val="24"/>
        </w:rPr>
        <w:t>.</w:t>
      </w:r>
    </w:p>
    <w:p w14:paraId="1C9C21FD" w14:textId="4A0E2629" w:rsidR="00CD1706" w:rsidRPr="00FE73DE" w:rsidRDefault="005F6090" w:rsidP="005F6090">
      <w:r w:rsidRPr="00FE73DE">
        <w:rPr>
          <w:szCs w:val="24"/>
        </w:rPr>
        <w:t xml:space="preserve">A third </w:t>
      </w:r>
      <w:r w:rsidR="00CD1706" w:rsidRPr="00FE73DE">
        <w:rPr>
          <w:szCs w:val="24"/>
        </w:rPr>
        <w:t xml:space="preserve">of those </w:t>
      </w:r>
      <w:r w:rsidRPr="00FE73DE">
        <w:rPr>
          <w:szCs w:val="24"/>
        </w:rPr>
        <w:t xml:space="preserve">businesses </w:t>
      </w:r>
      <w:r w:rsidR="00CD1706" w:rsidRPr="00FE73DE">
        <w:rPr>
          <w:szCs w:val="24"/>
        </w:rPr>
        <w:t>surveyed</w:t>
      </w:r>
      <w:r w:rsidRPr="00FE73DE">
        <w:rPr>
          <w:szCs w:val="24"/>
        </w:rPr>
        <w:t xml:space="preserve"> who were IBA customers </w:t>
      </w:r>
      <w:r w:rsidR="00CD1706" w:rsidRPr="00FE73DE">
        <w:rPr>
          <w:szCs w:val="24"/>
        </w:rPr>
        <w:t>identified that involvement in the BSP had helped to mature their business capability</w:t>
      </w:r>
      <w:r w:rsidRPr="00FE73DE">
        <w:rPr>
          <w:szCs w:val="24"/>
        </w:rPr>
        <w:t xml:space="preserve"> by gaining new business skills, addressing gaps in their business model, being able to grow in a variety of ways or by improving their productivity</w:t>
      </w:r>
      <w:r w:rsidR="00CD1706" w:rsidRPr="00FE73DE">
        <w:rPr>
          <w:szCs w:val="24"/>
        </w:rPr>
        <w:t>.</w:t>
      </w:r>
      <w:r w:rsidR="0010076E" w:rsidRPr="00FE73DE">
        <w:rPr>
          <w:szCs w:val="24"/>
        </w:rPr>
        <w:t xml:space="preserve"> </w:t>
      </w:r>
    </w:p>
    <w:p w14:paraId="2CD0A793" w14:textId="21D72741" w:rsidR="00CD1706" w:rsidRPr="00343A6E" w:rsidRDefault="00CD1706" w:rsidP="00CD1706">
      <w:pPr>
        <w:tabs>
          <w:tab w:val="num" w:pos="720"/>
        </w:tabs>
        <w:rPr>
          <w:spacing w:val="-2"/>
          <w:szCs w:val="24"/>
        </w:rPr>
      </w:pPr>
      <w:r w:rsidRPr="00343A6E">
        <w:rPr>
          <w:spacing w:val="-2"/>
          <w:szCs w:val="24"/>
        </w:rPr>
        <w:t xml:space="preserve">In the medium-term, BSP customers would also be expected to engage with the wider business sector/support services. Businesses would be developing peer support networks, developing and strengthening Indigenous business networks, and contributing to networking activities as leaders/mentors. </w:t>
      </w:r>
      <w:r w:rsidR="005F6090" w:rsidRPr="00343A6E">
        <w:rPr>
          <w:spacing w:val="-2"/>
          <w:szCs w:val="24"/>
        </w:rPr>
        <w:t xml:space="preserve">For example, the Strong Women Strong Business </w:t>
      </w:r>
      <w:r w:rsidR="003A38CA" w:rsidRPr="00343A6E">
        <w:rPr>
          <w:spacing w:val="-2"/>
          <w:szCs w:val="24"/>
        </w:rPr>
        <w:t>closed Facebook group is predominantly driven by members of the group, with a mixture of posts sharing resources, seeking advice, promoting businesses</w:t>
      </w:r>
      <w:r w:rsidR="005313A4" w:rsidRPr="00343A6E">
        <w:rPr>
          <w:spacing w:val="-2"/>
          <w:szCs w:val="24"/>
        </w:rPr>
        <w:t>,</w:t>
      </w:r>
      <w:r w:rsidR="003A38CA" w:rsidRPr="00343A6E">
        <w:rPr>
          <w:spacing w:val="-2"/>
          <w:szCs w:val="24"/>
        </w:rPr>
        <w:t xml:space="preserve"> and health and wellbeing. The group also includes a Mentor/Mentee Platform which is available to members.</w:t>
      </w:r>
    </w:p>
    <w:p w14:paraId="5BB982E0" w14:textId="416EAE03" w:rsidR="00CD1706" w:rsidRPr="00343A6E" w:rsidRDefault="00CD1706" w:rsidP="00CD1706">
      <w:pPr>
        <w:tabs>
          <w:tab w:val="num" w:pos="720"/>
        </w:tabs>
        <w:rPr>
          <w:spacing w:val="-2"/>
          <w:szCs w:val="24"/>
        </w:rPr>
      </w:pPr>
      <w:r w:rsidRPr="00343A6E">
        <w:rPr>
          <w:spacing w:val="-2"/>
          <w:szCs w:val="24"/>
        </w:rPr>
        <w:t>When examining medium term outcomes</w:t>
      </w:r>
      <w:r w:rsidR="005313A4" w:rsidRPr="00343A6E">
        <w:rPr>
          <w:spacing w:val="-2"/>
          <w:szCs w:val="24"/>
        </w:rPr>
        <w:t>,</w:t>
      </w:r>
      <w:r w:rsidRPr="00343A6E">
        <w:rPr>
          <w:spacing w:val="-2"/>
          <w:szCs w:val="24"/>
        </w:rPr>
        <w:t xml:space="preserve"> it is important to consider that building Indigenous business is inherently challenging and complex based on the circumstances and industry type. There is potentially a lag between engagement in the program and business success. The capacity of the program to enable customers to re-enter a</w:t>
      </w:r>
      <w:r w:rsidR="005313A4" w:rsidRPr="00343A6E">
        <w:rPr>
          <w:spacing w:val="-2"/>
          <w:szCs w:val="24"/>
        </w:rPr>
        <w:t>t</w:t>
      </w:r>
      <w:r w:rsidRPr="00343A6E">
        <w:rPr>
          <w:spacing w:val="-2"/>
          <w:szCs w:val="24"/>
        </w:rPr>
        <w:t xml:space="preserve"> different phases of the business journey is an important design feature to account for this.</w:t>
      </w:r>
    </w:p>
    <w:p w14:paraId="76DEA85C" w14:textId="77777777" w:rsidR="00CD1706" w:rsidRPr="00FE73DE" w:rsidRDefault="00CD1706" w:rsidP="00CD1706">
      <w:pPr>
        <w:rPr>
          <w:szCs w:val="24"/>
        </w:rPr>
      </w:pPr>
      <w:r w:rsidRPr="00FE73DE">
        <w:rPr>
          <w:szCs w:val="24"/>
        </w:rPr>
        <w:t>It is also important to be able to more tangibly measure the skills, capacity and networks gained from the program to better understand medium term outcomes. There would also be merit in understanding factors relating to business resilience and adaptation and how programs such as BSP can contribute to this.</w:t>
      </w:r>
    </w:p>
    <w:p w14:paraId="79343F76" w14:textId="0C94EDFA" w:rsidR="00CD1706" w:rsidRPr="00FE73DE" w:rsidRDefault="00CD1706" w:rsidP="00CD1706">
      <w:pPr>
        <w:tabs>
          <w:tab w:val="num" w:pos="720"/>
        </w:tabs>
        <w:rPr>
          <w:szCs w:val="24"/>
        </w:rPr>
      </w:pPr>
      <w:r w:rsidRPr="00FE73DE">
        <w:rPr>
          <w:szCs w:val="24"/>
        </w:rPr>
        <w:t xml:space="preserve">In addition, engagement in a program such as </w:t>
      </w:r>
      <w:r w:rsidR="00EF2D5B" w:rsidRPr="00FE73DE">
        <w:rPr>
          <w:szCs w:val="24"/>
        </w:rPr>
        <w:t xml:space="preserve">the </w:t>
      </w:r>
      <w:r w:rsidRPr="00FE73DE">
        <w:rPr>
          <w:szCs w:val="24"/>
        </w:rPr>
        <w:t xml:space="preserve">BSP may necessitate a re-orientation or re-direction of businesses. </w:t>
      </w:r>
      <w:r w:rsidR="00EF2D5B" w:rsidRPr="00FE73DE">
        <w:rPr>
          <w:szCs w:val="24"/>
        </w:rPr>
        <w:t xml:space="preserve">As noted earlier, IBA provides support </w:t>
      </w:r>
      <w:r w:rsidR="00343A6E">
        <w:rPr>
          <w:szCs w:val="24"/>
        </w:rPr>
        <w:t xml:space="preserve">for </w:t>
      </w:r>
      <w:r w:rsidR="00EF2D5B" w:rsidRPr="00FE73DE">
        <w:rPr>
          <w:szCs w:val="24"/>
        </w:rPr>
        <w:t xml:space="preserve">businesses facing financial difficulty </w:t>
      </w:r>
      <w:r w:rsidRPr="00FE73DE">
        <w:rPr>
          <w:szCs w:val="24"/>
        </w:rPr>
        <w:t>to re-assess and either exit or develop ways to adapt business practices.</w:t>
      </w:r>
      <w:r w:rsidR="00EF2D5B" w:rsidRPr="00FE73DE">
        <w:rPr>
          <w:szCs w:val="24"/>
        </w:rPr>
        <w:t xml:space="preserve"> The lessons from the COVID</w:t>
      </w:r>
      <w:r w:rsidR="00343A6E">
        <w:rPr>
          <w:szCs w:val="24"/>
        </w:rPr>
        <w:t>-19</w:t>
      </w:r>
      <w:r w:rsidR="00EF2D5B" w:rsidRPr="00FE73DE">
        <w:rPr>
          <w:szCs w:val="24"/>
        </w:rPr>
        <w:t xml:space="preserve"> IBRP in IBA adjusting its own delivery approaches to business support</w:t>
      </w:r>
      <w:r w:rsidR="008F07DC" w:rsidRPr="00FE73DE">
        <w:rPr>
          <w:szCs w:val="24"/>
        </w:rPr>
        <w:t>, such as having enhanced tracking of demand and response and introducing changes to size of the support available,</w:t>
      </w:r>
      <w:r w:rsidR="00EF2D5B" w:rsidRPr="00FE73DE">
        <w:rPr>
          <w:szCs w:val="24"/>
        </w:rPr>
        <w:t xml:space="preserve"> is also applicable.</w:t>
      </w:r>
    </w:p>
    <w:p w14:paraId="655534E2" w14:textId="5C5505D1" w:rsidR="00CD1706" w:rsidRPr="00FE73DE" w:rsidRDefault="00CD1706">
      <w:pPr>
        <w:pStyle w:val="Heading3"/>
      </w:pPr>
      <w:bookmarkStart w:id="112" w:name="_Toc108632469"/>
      <w:bookmarkStart w:id="113" w:name="_Toc109569520"/>
      <w:r w:rsidRPr="00FE73DE">
        <w:t xml:space="preserve">Exit </w:t>
      </w:r>
      <w:r w:rsidR="00EF2D5B" w:rsidRPr="00FE73DE">
        <w:t>s</w:t>
      </w:r>
      <w:r w:rsidRPr="00FE73DE">
        <w:t xml:space="preserve">trategy </w:t>
      </w:r>
      <w:r w:rsidR="00EF2D5B" w:rsidRPr="00FE73DE">
        <w:t>f</w:t>
      </w:r>
      <w:r w:rsidRPr="00FE73DE">
        <w:t xml:space="preserve">rom </w:t>
      </w:r>
      <w:r w:rsidR="00EF2D5B" w:rsidRPr="00FE73DE">
        <w:t>g</w:t>
      </w:r>
      <w:r w:rsidRPr="00FE73DE">
        <w:t>overnment-</w:t>
      </w:r>
      <w:r w:rsidR="00EF2D5B" w:rsidRPr="00FE73DE">
        <w:t>f</w:t>
      </w:r>
      <w:r w:rsidRPr="00FE73DE">
        <w:t xml:space="preserve">unded </w:t>
      </w:r>
      <w:r w:rsidR="00EF2D5B" w:rsidRPr="00FE73DE">
        <w:t>s</w:t>
      </w:r>
      <w:r w:rsidRPr="00FE73DE">
        <w:t>upport</w:t>
      </w:r>
      <w:bookmarkEnd w:id="112"/>
      <w:bookmarkEnd w:id="113"/>
    </w:p>
    <w:p w14:paraId="10DAB319" w14:textId="783E9378" w:rsidR="00CD1706" w:rsidRPr="00343A6E" w:rsidRDefault="00CD1706" w:rsidP="00CD1706">
      <w:pPr>
        <w:rPr>
          <w:spacing w:val="2"/>
          <w:szCs w:val="24"/>
        </w:rPr>
      </w:pPr>
      <w:r w:rsidRPr="00343A6E">
        <w:rPr>
          <w:spacing w:val="2"/>
          <w:szCs w:val="24"/>
        </w:rPr>
        <w:t xml:space="preserve">A </w:t>
      </w:r>
      <w:r w:rsidR="00343A6E" w:rsidRPr="00343A6E">
        <w:rPr>
          <w:spacing w:val="2"/>
          <w:szCs w:val="24"/>
        </w:rPr>
        <w:t>medium-term</w:t>
      </w:r>
      <w:r w:rsidRPr="00343A6E">
        <w:rPr>
          <w:spacing w:val="2"/>
          <w:szCs w:val="24"/>
        </w:rPr>
        <w:t xml:space="preserve"> outcome is that BSP customers would </w:t>
      </w:r>
      <w:r w:rsidR="00EF2D5B" w:rsidRPr="00343A6E">
        <w:rPr>
          <w:spacing w:val="2"/>
          <w:szCs w:val="24"/>
        </w:rPr>
        <w:t xml:space="preserve">be starting to </w:t>
      </w:r>
      <w:r w:rsidRPr="00343A6E">
        <w:rPr>
          <w:spacing w:val="2"/>
          <w:szCs w:val="24"/>
        </w:rPr>
        <w:t>reach a certain level of sustainability and maturity so that they could effectively exit from government</w:t>
      </w:r>
      <w:r w:rsidR="00EF2D5B" w:rsidRPr="00343A6E">
        <w:rPr>
          <w:spacing w:val="2"/>
          <w:szCs w:val="24"/>
        </w:rPr>
        <w:t>-</w:t>
      </w:r>
      <w:r w:rsidRPr="00343A6E">
        <w:rPr>
          <w:spacing w:val="2"/>
          <w:szCs w:val="24"/>
        </w:rPr>
        <w:t>funded support.</w:t>
      </w:r>
    </w:p>
    <w:p w14:paraId="31157643" w14:textId="4E32ECD1" w:rsidR="00CD1706" w:rsidRPr="00FE73DE" w:rsidRDefault="00553FFE" w:rsidP="00CD1706">
      <w:pPr>
        <w:rPr>
          <w:szCs w:val="24"/>
        </w:rPr>
      </w:pPr>
      <w:r w:rsidRPr="00FE73DE">
        <w:rPr>
          <w:szCs w:val="24"/>
        </w:rPr>
        <w:t xml:space="preserve">Feedback from delivery partners (i.e. IBA staff or external business support consultants who responded to the evaluation’s delivery partner survey) </w:t>
      </w:r>
      <w:r w:rsidR="00CD1706" w:rsidRPr="00FE73DE">
        <w:rPr>
          <w:szCs w:val="24"/>
        </w:rPr>
        <w:t>noted the lack of an exit strategy for businesses that are sufficiently established, mature</w:t>
      </w:r>
      <w:r w:rsidR="00343A6E">
        <w:rPr>
          <w:szCs w:val="24"/>
        </w:rPr>
        <w:t>,</w:t>
      </w:r>
      <w:r w:rsidR="00CD1706" w:rsidRPr="00FE73DE">
        <w:rPr>
          <w:szCs w:val="24"/>
        </w:rPr>
        <w:t xml:space="preserve"> and have a strong enough financial position to access business capital from mainstream/</w:t>
      </w:r>
      <w:r w:rsidR="000360D8">
        <w:rPr>
          <w:szCs w:val="24"/>
        </w:rPr>
        <w:t xml:space="preserve"> </w:t>
      </w:r>
      <w:r w:rsidR="00CD1706" w:rsidRPr="00FE73DE">
        <w:rPr>
          <w:szCs w:val="24"/>
        </w:rPr>
        <w:t xml:space="preserve">private sector lending organisations. </w:t>
      </w:r>
      <w:r w:rsidR="007A1A6B" w:rsidRPr="00FE73DE">
        <w:rPr>
          <w:szCs w:val="24"/>
        </w:rPr>
        <w:t xml:space="preserve">Having an exit strategy like this </w:t>
      </w:r>
      <w:r w:rsidR="00343A6E">
        <w:rPr>
          <w:szCs w:val="24"/>
        </w:rPr>
        <w:t>would enable</w:t>
      </w:r>
      <w:r w:rsidR="007A1A6B" w:rsidRPr="00FE73DE">
        <w:rPr>
          <w:szCs w:val="24"/>
        </w:rPr>
        <w:t xml:space="preserve"> </w:t>
      </w:r>
      <w:r w:rsidR="005640BA" w:rsidRPr="00FE73DE">
        <w:rPr>
          <w:szCs w:val="24"/>
        </w:rPr>
        <w:t>IBA to take some of its capital and invest it into other businesses</w:t>
      </w:r>
      <w:r w:rsidR="00EF2D5B" w:rsidRPr="00FE73DE">
        <w:rPr>
          <w:szCs w:val="24"/>
        </w:rPr>
        <w:t xml:space="preserve"> who are not able to access funds </w:t>
      </w:r>
      <w:r w:rsidR="00D36428" w:rsidRPr="00FE73DE">
        <w:rPr>
          <w:szCs w:val="24"/>
        </w:rPr>
        <w:t>elsewhere</w:t>
      </w:r>
      <w:r w:rsidR="007A1A6B" w:rsidRPr="00FE73DE">
        <w:rPr>
          <w:szCs w:val="24"/>
        </w:rPr>
        <w:t>.</w:t>
      </w:r>
      <w:r w:rsidR="005640BA" w:rsidRPr="00FE73DE">
        <w:rPr>
          <w:szCs w:val="24"/>
        </w:rPr>
        <w:t xml:space="preserve"> </w:t>
      </w:r>
    </w:p>
    <w:p w14:paraId="1F66BA50" w14:textId="77777777" w:rsidR="00CD1706" w:rsidRPr="00FE73DE" w:rsidRDefault="00CD1706" w:rsidP="00CD1706">
      <w:pPr>
        <w:rPr>
          <w:szCs w:val="24"/>
        </w:rPr>
      </w:pPr>
      <w:r w:rsidRPr="00FE73DE">
        <w:rPr>
          <w:szCs w:val="24"/>
        </w:rPr>
        <w:t>For example, in the case of a successful business seeking significant levels of additional capital (multi-millions) from IBA, the delivery partner advised:</w:t>
      </w:r>
    </w:p>
    <w:p w14:paraId="14801136" w14:textId="4BF48B67" w:rsidR="00CD1706" w:rsidRPr="00FE73DE" w:rsidRDefault="00CD1706" w:rsidP="007A1A6B">
      <w:pPr>
        <w:pStyle w:val="Quote"/>
        <w:spacing w:after="20"/>
      </w:pPr>
      <w:r w:rsidRPr="00FE73DE">
        <w:t>IBA has supported this business and is now in the marketplace saying we want to continue to support this business ...</w:t>
      </w:r>
      <w:r w:rsidR="007A1A6B" w:rsidRPr="00FE73DE">
        <w:t xml:space="preserve"> [IBA]</w:t>
      </w:r>
      <w:r w:rsidRPr="00FE73DE">
        <w:t xml:space="preserve"> needs to have a strategy of how it exits this business and there is none. As a consequence there is no communication in the marketplace to say we'll come back and support you, but our view of it is we want you to go now to a </w:t>
      </w:r>
      <w:r w:rsidR="00D36428" w:rsidRPr="00FE73DE">
        <w:t xml:space="preserve">[another] </w:t>
      </w:r>
      <w:r w:rsidRPr="00FE73DE">
        <w:t>lender</w:t>
      </w:r>
      <w:r w:rsidR="007A1A6B" w:rsidRPr="00FE73DE">
        <w:t>…</w:t>
      </w:r>
      <w:r w:rsidRPr="00FE73DE">
        <w:t xml:space="preserve"> </w:t>
      </w:r>
    </w:p>
    <w:p w14:paraId="10210283" w14:textId="24E28E04" w:rsidR="00CD1706" w:rsidRPr="00FE73DE" w:rsidRDefault="00CD1706" w:rsidP="00CD1706">
      <w:pPr>
        <w:rPr>
          <w:szCs w:val="24"/>
        </w:rPr>
      </w:pPr>
      <w:r w:rsidRPr="00FE73DE">
        <w:rPr>
          <w:szCs w:val="24"/>
        </w:rPr>
        <w:t xml:space="preserve">A similar message was expressed to the evaluation team by other </w:t>
      </w:r>
      <w:r w:rsidR="00D36428" w:rsidRPr="00FE73DE">
        <w:rPr>
          <w:szCs w:val="24"/>
        </w:rPr>
        <w:t xml:space="preserve">delivery partner </w:t>
      </w:r>
      <w:r w:rsidR="00553FFE" w:rsidRPr="00FE73DE">
        <w:rPr>
          <w:szCs w:val="24"/>
        </w:rPr>
        <w:t>survey respondents during follow-up</w:t>
      </w:r>
      <w:r w:rsidR="008F07DC" w:rsidRPr="00FE73DE">
        <w:rPr>
          <w:szCs w:val="24"/>
        </w:rPr>
        <w:t xml:space="preserve"> consultations</w:t>
      </w:r>
      <w:r w:rsidRPr="00FE73DE">
        <w:rPr>
          <w:szCs w:val="24"/>
        </w:rPr>
        <w:t>.</w:t>
      </w:r>
    </w:p>
    <w:p w14:paraId="5EFFEB1D" w14:textId="1716A087" w:rsidR="00CD1706" w:rsidRDefault="00CD1706" w:rsidP="00CD1706">
      <w:pPr>
        <w:rPr>
          <w:szCs w:val="24"/>
        </w:rPr>
      </w:pPr>
      <w:r w:rsidRPr="00FE73DE">
        <w:rPr>
          <w:szCs w:val="24"/>
        </w:rPr>
        <w:t>IBA has in the past provided a referral service</w:t>
      </w:r>
      <w:r w:rsidR="00D36428" w:rsidRPr="00FE73DE">
        <w:rPr>
          <w:szCs w:val="24"/>
        </w:rPr>
        <w:t xml:space="preserve"> to other financial institutions</w:t>
      </w:r>
      <w:r w:rsidRPr="00FE73DE">
        <w:rPr>
          <w:szCs w:val="24"/>
        </w:rPr>
        <w:t>, including IBA historically partnering with commercial banking organisations to deliver small business loans (microfinance) and associated business support to eligible Indigenous entrepreneurs.</w:t>
      </w:r>
      <w:r w:rsidRPr="00FE73DE">
        <w:rPr>
          <w:rStyle w:val="FootnoteReference"/>
          <w:szCs w:val="24"/>
        </w:rPr>
        <w:footnoteReference w:id="50"/>
      </w:r>
      <w:r w:rsidRPr="00FE73DE">
        <w:rPr>
          <w:szCs w:val="24"/>
        </w:rPr>
        <w:t xml:space="preserve"> By 201</w:t>
      </w:r>
      <w:r w:rsidR="008557E8">
        <w:rPr>
          <w:szCs w:val="24"/>
        </w:rPr>
        <w:t>2–</w:t>
      </w:r>
      <w:r w:rsidRPr="00FE73DE">
        <w:rPr>
          <w:szCs w:val="24"/>
        </w:rPr>
        <w:t>13, in addition to providing its own lending, IBA was providing referrals to Australia’s major banks, or to dedicated Indigenous micro-loan and small-business loan teams. These referrals are an invaluable process to ensure customers only finance with IBA as a last alternative. Currently</w:t>
      </w:r>
      <w:r w:rsidR="00343A6E">
        <w:rPr>
          <w:szCs w:val="24"/>
        </w:rPr>
        <w:t>,</w:t>
      </w:r>
      <w:r w:rsidRPr="00FE73DE">
        <w:rPr>
          <w:szCs w:val="24"/>
        </w:rPr>
        <w:t xml:space="preserve"> there is no requirement to track or report referrals</w:t>
      </w:r>
      <w:r w:rsidR="005640BA" w:rsidRPr="00FE73DE">
        <w:rPr>
          <w:szCs w:val="24"/>
        </w:rPr>
        <w:t xml:space="preserve"> to commercial banks</w:t>
      </w:r>
      <w:r w:rsidR="00343A6E">
        <w:rPr>
          <w:szCs w:val="24"/>
        </w:rPr>
        <w:t>.</w:t>
      </w:r>
      <w:r w:rsidRPr="00FE73DE">
        <w:rPr>
          <w:rStyle w:val="FootnoteReference"/>
          <w:szCs w:val="24"/>
        </w:rPr>
        <w:footnoteReference w:id="51"/>
      </w:r>
      <w:r w:rsidRPr="00FE73DE">
        <w:rPr>
          <w:szCs w:val="24"/>
        </w:rPr>
        <w:t xml:space="preserve"> </w:t>
      </w:r>
      <w:r w:rsidR="00471D87" w:rsidRPr="00FE73DE">
        <w:rPr>
          <w:szCs w:val="24"/>
        </w:rPr>
        <w:t xml:space="preserve">Discussions with IBA highlighted this is currently not an area of assistance provided by IBA. </w:t>
      </w:r>
      <w:r w:rsidRPr="00FE73DE">
        <w:rPr>
          <w:szCs w:val="24"/>
        </w:rPr>
        <w:t xml:space="preserve">This </w:t>
      </w:r>
      <w:r w:rsidR="005640BA" w:rsidRPr="00FE73DE">
        <w:rPr>
          <w:szCs w:val="24"/>
        </w:rPr>
        <w:t>reinforces the value of a comprehensive referral service being established</w:t>
      </w:r>
      <w:r w:rsidRPr="00FE73DE">
        <w:rPr>
          <w:szCs w:val="24"/>
        </w:rPr>
        <w:t>.</w:t>
      </w:r>
    </w:p>
    <w:p w14:paraId="799BE200" w14:textId="3C2AE8B9" w:rsidR="00C361B7" w:rsidRPr="00FE73DE" w:rsidRDefault="0036169E" w:rsidP="00CD1706">
      <w:pPr>
        <w:rPr>
          <w:szCs w:val="24"/>
        </w:rPr>
      </w:pPr>
      <w:r>
        <w:rPr>
          <w:szCs w:val="24"/>
        </w:rPr>
        <w:t>In summary, the evidence indicates</w:t>
      </w:r>
      <w:r w:rsidR="00C361B7" w:rsidRPr="00C361B7">
        <w:t xml:space="preserve"> </w:t>
      </w:r>
      <w:r w:rsidR="00C361B7" w:rsidRPr="00C361B7">
        <w:rPr>
          <w:lang w:val="en-GB"/>
        </w:rPr>
        <w:t>there were positive signs that the BSP will achieve its medium-term outcomes, although it is currently to</w:t>
      </w:r>
      <w:r w:rsidR="00C361B7">
        <w:rPr>
          <w:lang w:val="en-GB"/>
        </w:rPr>
        <w:t>o</w:t>
      </w:r>
      <w:r w:rsidR="00C361B7" w:rsidRPr="00C361B7">
        <w:rPr>
          <w:lang w:val="en-GB"/>
        </w:rPr>
        <w:t xml:space="preserve"> early to form a complete judgement.</w:t>
      </w:r>
    </w:p>
    <w:p w14:paraId="7A8D4992" w14:textId="29EB2FC7" w:rsidR="00CC4A03" w:rsidRPr="00FE73DE" w:rsidRDefault="00CC4A03" w:rsidP="00757C55">
      <w:pPr>
        <w:pStyle w:val="Heading2"/>
        <w:ind w:hanging="792"/>
      </w:pPr>
      <w:bookmarkStart w:id="114" w:name="_Toc105019202"/>
      <w:bookmarkStart w:id="115" w:name="_Toc123734713"/>
      <w:bookmarkEnd w:id="95"/>
      <w:bookmarkEnd w:id="109"/>
      <w:r w:rsidRPr="00FE73DE">
        <w:t>Long</w:t>
      </w:r>
      <w:r w:rsidR="003C5F8C" w:rsidRPr="00FE73DE">
        <w:t>-t</w:t>
      </w:r>
      <w:r w:rsidRPr="00FE73DE">
        <w:t xml:space="preserve">erm </w:t>
      </w:r>
      <w:r w:rsidR="00B11880">
        <w:t>o</w:t>
      </w:r>
      <w:r w:rsidRPr="00FE73DE">
        <w:t>utcomes</w:t>
      </w:r>
      <w:bookmarkEnd w:id="114"/>
      <w:r w:rsidRPr="00FE73DE">
        <w:t xml:space="preserve"> – </w:t>
      </w:r>
      <w:r w:rsidR="00B11880">
        <w:t>c</w:t>
      </w:r>
      <w:r w:rsidRPr="00FE73DE">
        <w:t>ontributi</w:t>
      </w:r>
      <w:r w:rsidR="00B64DDD" w:rsidRPr="00FE73DE">
        <w:t>ng</w:t>
      </w:r>
      <w:r w:rsidRPr="00FE73DE">
        <w:t xml:space="preserve"> to the overall business sector and creating broader benefits</w:t>
      </w:r>
      <w:bookmarkEnd w:id="115"/>
    </w:p>
    <w:p w14:paraId="0C2E98E1" w14:textId="5C5C85F6" w:rsidR="00CC4A03" w:rsidRPr="00FE73DE" w:rsidRDefault="00CC4A03" w:rsidP="00CC4A03">
      <w:pPr>
        <w:tabs>
          <w:tab w:val="num" w:pos="720"/>
        </w:tabs>
      </w:pPr>
      <w:r w:rsidRPr="00FE73DE">
        <w:t>The program logic anticipated that in the long-term, the BSP investment would enable BSP customers to contribute to broader community development and support. In the long-term, businesses would be providing community capacity building and support through participation in community development activities, demonstrating leadership</w:t>
      </w:r>
      <w:r w:rsidR="00BC53C4">
        <w:t>,</w:t>
      </w:r>
      <w:r w:rsidRPr="00FE73DE">
        <w:t xml:space="preserve"> and creating intergenerational wealth and human capital through sharing and transferring capital and capabilities across generations.</w:t>
      </w:r>
    </w:p>
    <w:p w14:paraId="3C9D9047" w14:textId="681F2D6E" w:rsidR="00C424B7" w:rsidRPr="00FE73DE" w:rsidRDefault="00C424B7">
      <w:pPr>
        <w:pStyle w:val="Heading3"/>
      </w:pPr>
      <w:bookmarkStart w:id="116" w:name="_Toc108632471"/>
      <w:bookmarkStart w:id="117" w:name="_Toc109569522"/>
      <w:r w:rsidRPr="00FE73DE">
        <w:t xml:space="preserve">Contribution to </w:t>
      </w:r>
      <w:r w:rsidR="003811BE" w:rsidRPr="00FE73DE">
        <w:t>g</w:t>
      </w:r>
      <w:r w:rsidRPr="00FE73DE">
        <w:t xml:space="preserve">rowing the Indigenous </w:t>
      </w:r>
      <w:r w:rsidR="003811BE" w:rsidRPr="00FE73DE">
        <w:t>b</w:t>
      </w:r>
      <w:r w:rsidRPr="00FE73DE">
        <w:t xml:space="preserve">usiness </w:t>
      </w:r>
      <w:r w:rsidR="003811BE" w:rsidRPr="00FE73DE">
        <w:t>s</w:t>
      </w:r>
      <w:r w:rsidRPr="00FE73DE">
        <w:t>ector</w:t>
      </w:r>
      <w:bookmarkEnd w:id="116"/>
      <w:bookmarkEnd w:id="117"/>
    </w:p>
    <w:p w14:paraId="147DC608" w14:textId="25F55997" w:rsidR="00C361B7" w:rsidRDefault="00C361B7" w:rsidP="00C361B7">
      <w:pPr>
        <w:rPr>
          <w:szCs w:val="24"/>
        </w:rPr>
      </w:pPr>
      <w:r w:rsidRPr="00C361B7">
        <w:rPr>
          <w:szCs w:val="24"/>
        </w:rPr>
        <w:t>Assessment of IBA customer data show</w:t>
      </w:r>
      <w:r w:rsidR="00BC53C4">
        <w:rPr>
          <w:szCs w:val="24"/>
        </w:rPr>
        <w:t>ed</w:t>
      </w:r>
      <w:r w:rsidRPr="00C361B7">
        <w:rPr>
          <w:szCs w:val="24"/>
        </w:rPr>
        <w:t xml:space="preserve"> that the BSP has loaned money to 620 customers which, when compared as a proportion of registered Indigenous business numbers from 2018</w:t>
      </w:r>
      <w:r w:rsidR="00BC53C4">
        <w:rPr>
          <w:szCs w:val="24"/>
        </w:rPr>
        <w:t>,</w:t>
      </w:r>
      <w:r w:rsidRPr="00C361B7">
        <w:rPr>
          <w:rStyle w:val="FootnoteReference"/>
          <w:szCs w:val="24"/>
        </w:rPr>
        <w:footnoteReference w:id="52"/>
      </w:r>
      <w:r w:rsidRPr="00C361B7">
        <w:rPr>
          <w:szCs w:val="24"/>
        </w:rPr>
        <w:t xml:space="preserve"> is about 17% of Indigenous businesses in Australia. Of these 620 loans, 460 were loans to new to BSP customers. When this calculation is done on ‘new’ loan customers, this amounts to supporting 13% of Indigenous businesses in Australia. While the overall number of Indigenous businesses have likely grown since 2018, this is a sizeable contribution.</w:t>
      </w:r>
      <w:r>
        <w:rPr>
          <w:szCs w:val="24"/>
        </w:rPr>
        <w:t xml:space="preserve"> </w:t>
      </w:r>
    </w:p>
    <w:p w14:paraId="4B07E899" w14:textId="7B835C58" w:rsidR="00C424B7" w:rsidRPr="00FE73DE" w:rsidRDefault="00C424B7" w:rsidP="00C424B7">
      <w:pPr>
        <w:rPr>
          <w:szCs w:val="24"/>
        </w:rPr>
      </w:pPr>
      <w:r w:rsidRPr="00FE73DE">
        <w:rPr>
          <w:szCs w:val="24"/>
        </w:rPr>
        <w:t xml:space="preserve">It is plausible that the BSP is making an important contribution to the Indigenous business sector, based on the number and types of loans that have been funded and the current survivability rates. This is particularly in its role in supporting new start-ups and providing access to finance to higher-risk customers.  </w:t>
      </w:r>
    </w:p>
    <w:p w14:paraId="09732587" w14:textId="741AC075" w:rsidR="00C424B7" w:rsidRPr="00FE73DE" w:rsidRDefault="00C424B7" w:rsidP="00C424B7">
      <w:pPr>
        <w:rPr>
          <w:szCs w:val="24"/>
        </w:rPr>
      </w:pPr>
      <w:r w:rsidRPr="00FE73DE">
        <w:rPr>
          <w:szCs w:val="24"/>
        </w:rPr>
        <w:t>Despite the probabl</w:t>
      </w:r>
      <w:r w:rsidR="006D3921">
        <w:rPr>
          <w:szCs w:val="24"/>
        </w:rPr>
        <w:t>e</w:t>
      </w:r>
      <w:r w:rsidRPr="00FE73DE">
        <w:rPr>
          <w:szCs w:val="24"/>
        </w:rPr>
        <w:t xml:space="preserve"> gains</w:t>
      </w:r>
      <w:r w:rsidR="006D3921">
        <w:rPr>
          <w:szCs w:val="24"/>
        </w:rPr>
        <w:t>,</w:t>
      </w:r>
      <w:r w:rsidRPr="00FE73DE">
        <w:rPr>
          <w:szCs w:val="24"/>
        </w:rPr>
        <w:t xml:space="preserve"> it is difficult to show the actual contribution of the BSP as there is no up to date baseline of Indigenous businesses (number, </w:t>
      </w:r>
      <w:r w:rsidR="006D3921" w:rsidRPr="00FE73DE">
        <w:rPr>
          <w:szCs w:val="24"/>
        </w:rPr>
        <w:t>siz</w:t>
      </w:r>
      <w:r w:rsidR="006D3921">
        <w:rPr>
          <w:szCs w:val="24"/>
        </w:rPr>
        <w:t>e,</w:t>
      </w:r>
      <w:r w:rsidRPr="00FE73DE">
        <w:rPr>
          <w:szCs w:val="24"/>
        </w:rPr>
        <w:t xml:space="preserve"> and type). There is a need to understand trends in the sector including composition, name, size</w:t>
      </w:r>
      <w:r w:rsidR="006D3921">
        <w:rPr>
          <w:szCs w:val="24"/>
        </w:rPr>
        <w:t>,</w:t>
      </w:r>
      <w:r w:rsidRPr="00FE73DE">
        <w:rPr>
          <w:szCs w:val="24"/>
        </w:rPr>
        <w:t xml:space="preserve"> and type of business and how these change over time. </w:t>
      </w:r>
    </w:p>
    <w:p w14:paraId="7C6D5486" w14:textId="2212F100" w:rsidR="00C424B7" w:rsidRPr="00FE73DE" w:rsidRDefault="00C424B7">
      <w:pPr>
        <w:pStyle w:val="Heading3"/>
      </w:pPr>
      <w:bookmarkStart w:id="118" w:name="_Toc108632472"/>
      <w:bookmarkStart w:id="119" w:name="_Toc109569523"/>
      <w:r w:rsidRPr="00FE73DE">
        <w:t xml:space="preserve">Overall </w:t>
      </w:r>
      <w:r w:rsidR="003811BE" w:rsidRPr="00FE73DE">
        <w:t>t</w:t>
      </w:r>
      <w:r w:rsidRPr="00FE73DE">
        <w:t xml:space="preserve">rends in the </w:t>
      </w:r>
      <w:r w:rsidR="003811BE" w:rsidRPr="00FE73DE">
        <w:t>b</w:t>
      </w:r>
      <w:r w:rsidRPr="00FE73DE">
        <w:t xml:space="preserve">usiness </w:t>
      </w:r>
      <w:r w:rsidR="003811BE" w:rsidRPr="00FE73DE">
        <w:t>s</w:t>
      </w:r>
      <w:r w:rsidRPr="00FE73DE">
        <w:t>ector</w:t>
      </w:r>
      <w:bookmarkEnd w:id="118"/>
      <w:bookmarkEnd w:id="119"/>
    </w:p>
    <w:p w14:paraId="095087BA" w14:textId="0296B13A" w:rsidR="00C424B7" w:rsidRPr="00FE73DE" w:rsidRDefault="00834658" w:rsidP="00C424B7">
      <w:pPr>
        <w:rPr>
          <w:szCs w:val="24"/>
        </w:rPr>
      </w:pPr>
      <w:r w:rsidRPr="00FE73DE">
        <w:t>There is limited research available on the changes to the Indigenous business sector over time</w:t>
      </w:r>
      <w:r w:rsidR="00471D87" w:rsidRPr="00FE73DE">
        <w:t>, and even less information available as a result of the BSP</w:t>
      </w:r>
      <w:r w:rsidRPr="00FE73DE">
        <w:t>. In 2018 the University of Melbourne commenced a long-term project to develop and maintain a longitudinal dataset of Indigenous businesses to track the sector</w:t>
      </w:r>
      <w:r w:rsidR="006D3921">
        <w:t>’</w:t>
      </w:r>
      <w:r w:rsidRPr="00FE73DE">
        <w:t>s development over time.</w:t>
      </w:r>
      <w:r w:rsidR="006D3921">
        <w:t xml:space="preserve"> </w:t>
      </w:r>
      <w:r w:rsidRPr="00FE73DE">
        <w:t>The results were published for the first time in 2021.</w:t>
      </w:r>
      <w:r w:rsidR="00676FB7">
        <w:t xml:space="preserve"> </w:t>
      </w:r>
      <w:r w:rsidRPr="00FE73DE">
        <w:t xml:space="preserve">The research found that </w:t>
      </w:r>
      <w:r w:rsidR="00C424B7" w:rsidRPr="00FE73DE">
        <w:rPr>
          <w:szCs w:val="24"/>
        </w:rPr>
        <w:t>the Indigenous business</w:t>
      </w:r>
      <w:r w:rsidR="006D3921">
        <w:rPr>
          <w:szCs w:val="24"/>
        </w:rPr>
        <w:t xml:space="preserve"> sector</w:t>
      </w:r>
      <w:r w:rsidR="00C424B7" w:rsidRPr="00FE73DE">
        <w:rPr>
          <w:szCs w:val="24"/>
        </w:rPr>
        <w:t xml:space="preserve"> is growing and expanding. As highlighted in </w:t>
      </w:r>
      <w:r w:rsidRPr="00FE73DE">
        <w:rPr>
          <w:szCs w:val="24"/>
        </w:rPr>
        <w:t>the study</w:t>
      </w:r>
      <w:r w:rsidR="00C424B7" w:rsidRPr="00FE73DE">
        <w:rPr>
          <w:szCs w:val="24"/>
        </w:rPr>
        <w:t xml:space="preserve"> between 2006 and 2018</w:t>
      </w:r>
      <w:r w:rsidR="00A40AD9" w:rsidRPr="00FE73DE">
        <w:rPr>
          <w:szCs w:val="24"/>
        </w:rPr>
        <w:t>,</w:t>
      </w:r>
      <w:r w:rsidR="00C424B7" w:rsidRPr="00FE73DE">
        <w:rPr>
          <w:szCs w:val="24"/>
        </w:rPr>
        <w:t xml:space="preserve"> the Indigenous business sector grew significantly:</w:t>
      </w:r>
    </w:p>
    <w:p w14:paraId="5309046D" w14:textId="77EB8167" w:rsidR="003811BE" w:rsidRPr="00FE73DE" w:rsidRDefault="003811BE" w:rsidP="003811BE">
      <w:pPr>
        <w:pStyle w:val="Boxbullett"/>
        <w:ind w:left="567"/>
      </w:pPr>
      <w:r w:rsidRPr="00FE73DE">
        <w:rPr>
          <w:szCs w:val="24"/>
        </w:rPr>
        <w:t>Over the 12 years examined (FY200</w:t>
      </w:r>
      <w:r w:rsidR="008557E8">
        <w:rPr>
          <w:szCs w:val="24"/>
        </w:rPr>
        <w:t>6–</w:t>
      </w:r>
      <w:r w:rsidRPr="00FE73DE">
        <w:rPr>
          <w:szCs w:val="24"/>
        </w:rPr>
        <w:t>FY2018), we observed a 74 per cent increase in the number of businesses operating in the Indigenous business sector, a more than doubling in gross income from the sector (115 per cent growth) and more than 22,000 jobs created (100 per cent growth)</w:t>
      </w:r>
      <w:r w:rsidRPr="00FE73DE">
        <w:t>.</w:t>
      </w:r>
      <w:r w:rsidR="00A40AD9" w:rsidRPr="00FE73DE">
        <w:rPr>
          <w:rStyle w:val="FootnoteReference"/>
          <w:szCs w:val="24"/>
        </w:rPr>
        <w:footnoteReference w:id="53"/>
      </w:r>
      <w:r w:rsidR="00A40AD9" w:rsidRPr="00FE73DE">
        <w:rPr>
          <w:szCs w:val="24"/>
        </w:rPr>
        <w:t>,</w:t>
      </w:r>
    </w:p>
    <w:p w14:paraId="3F98E259" w14:textId="4A1F6B67" w:rsidR="00A40AD9" w:rsidRPr="00FE73DE" w:rsidRDefault="00A40AD9" w:rsidP="00C424B7">
      <w:pPr>
        <w:rPr>
          <w:sz w:val="22"/>
        </w:rPr>
      </w:pPr>
      <w:r w:rsidRPr="00C80288">
        <w:t xml:space="preserve">The research also included a snapshot of </w:t>
      </w:r>
      <w:r w:rsidR="00B11BEB" w:rsidRPr="00C80288">
        <w:t>registered business performance as duplicated in</w:t>
      </w:r>
      <w:r w:rsidR="006D3921">
        <w:rPr>
          <w:sz w:val="22"/>
        </w:rPr>
        <w:t xml:space="preserve"> </w:t>
      </w:r>
      <w:r w:rsidR="006D3921">
        <w:rPr>
          <w:sz w:val="22"/>
        </w:rPr>
        <w:fldChar w:fldCharType="begin"/>
      </w:r>
      <w:r w:rsidR="006D3921">
        <w:rPr>
          <w:sz w:val="22"/>
        </w:rPr>
        <w:instrText xml:space="preserve"> REF _Ref116664063 \h </w:instrText>
      </w:r>
      <w:r w:rsidR="006D3921">
        <w:rPr>
          <w:sz w:val="22"/>
        </w:rPr>
      </w:r>
      <w:r w:rsidR="006D3921">
        <w:rPr>
          <w:sz w:val="22"/>
        </w:rPr>
        <w:fldChar w:fldCharType="separate"/>
      </w:r>
      <w:r w:rsidR="004718C9" w:rsidRPr="00FE73DE">
        <w:t xml:space="preserve">Figure </w:t>
      </w:r>
      <w:r w:rsidR="004718C9">
        <w:rPr>
          <w:noProof/>
        </w:rPr>
        <w:t>27</w:t>
      </w:r>
      <w:r w:rsidR="006D3921">
        <w:rPr>
          <w:sz w:val="22"/>
        </w:rPr>
        <w:fldChar w:fldCharType="end"/>
      </w:r>
      <w:r w:rsidR="00B11BEB" w:rsidRPr="00FE73DE">
        <w:rPr>
          <w:sz w:val="22"/>
        </w:rPr>
        <w:t>.</w:t>
      </w:r>
    </w:p>
    <w:p w14:paraId="15964B96" w14:textId="3E207258" w:rsidR="00B11BEB" w:rsidRPr="00FE73DE" w:rsidRDefault="00B11BEB" w:rsidP="00B11BEB">
      <w:pPr>
        <w:spacing w:after="0"/>
        <w:rPr>
          <w:sz w:val="22"/>
        </w:rPr>
      </w:pPr>
      <w:r w:rsidRPr="00FE73DE">
        <w:rPr>
          <w:noProof/>
          <w:lang w:eastAsia="en-AU"/>
        </w:rPr>
        <w:drawing>
          <wp:inline distT="0" distB="0" distL="0" distR="0" wp14:anchorId="62753945" wp14:editId="49440556">
            <wp:extent cx="5651500" cy="20472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1500" cy="2047240"/>
                    </a:xfrm>
                    <a:prstGeom prst="rect">
                      <a:avLst/>
                    </a:prstGeom>
                  </pic:spPr>
                </pic:pic>
              </a:graphicData>
            </a:graphic>
          </wp:inline>
        </w:drawing>
      </w:r>
    </w:p>
    <w:p w14:paraId="317498F7" w14:textId="025C07CB" w:rsidR="00B11BEB" w:rsidRPr="00FE73DE" w:rsidRDefault="00B11BEB" w:rsidP="00B11BEB">
      <w:pPr>
        <w:pStyle w:val="Caption"/>
        <w:keepNext/>
        <w:spacing w:before="0" w:after="0"/>
      </w:pPr>
      <w:bookmarkStart w:id="120" w:name="_Ref116664063"/>
      <w:r w:rsidRPr="00FE73DE">
        <w:t xml:space="preserve">Figure </w:t>
      </w:r>
      <w:fldSimple w:instr=" SEQ Figure \* ARABIC ">
        <w:r w:rsidR="004718C9">
          <w:rPr>
            <w:noProof/>
          </w:rPr>
          <w:t>27</w:t>
        </w:r>
      </w:fldSimple>
      <w:bookmarkEnd w:id="120"/>
      <w:r w:rsidRPr="00FE73DE">
        <w:t>: Registered Indigenous business performance</w:t>
      </w:r>
    </w:p>
    <w:p w14:paraId="7DCF7A9F" w14:textId="77777777" w:rsidR="00B11BEB" w:rsidRPr="00FE73DE" w:rsidRDefault="00B11BEB" w:rsidP="00C424B7">
      <w:pPr>
        <w:rPr>
          <w:sz w:val="22"/>
        </w:rPr>
      </w:pPr>
    </w:p>
    <w:p w14:paraId="056B9E47" w14:textId="69627D6F" w:rsidR="00676FB7" w:rsidRDefault="00676FB7" w:rsidP="00C424B7">
      <w:pPr>
        <w:rPr>
          <w:szCs w:val="24"/>
        </w:rPr>
      </w:pPr>
      <w:r>
        <w:rPr>
          <w:szCs w:val="24"/>
        </w:rPr>
        <w:t xml:space="preserve">In addition to the work of the University of Melbourne, </w:t>
      </w:r>
      <w:r w:rsidR="00E368F8">
        <w:rPr>
          <w:szCs w:val="24"/>
        </w:rPr>
        <w:t xml:space="preserve">in May 2020 </w:t>
      </w:r>
      <w:r>
        <w:rPr>
          <w:szCs w:val="24"/>
        </w:rPr>
        <w:t xml:space="preserve">the ANU </w:t>
      </w:r>
      <w:r w:rsidRPr="00676FB7">
        <w:rPr>
          <w:szCs w:val="24"/>
        </w:rPr>
        <w:t>Centre for Social Research &amp; Methods</w:t>
      </w:r>
      <w:r>
        <w:rPr>
          <w:szCs w:val="24"/>
        </w:rPr>
        <w:t xml:space="preserve"> published a new method of estimating the number of Indigenous business owners-managers.</w:t>
      </w:r>
      <w:r w:rsidR="00E368F8">
        <w:rPr>
          <w:rStyle w:val="FootnoteReference"/>
          <w:szCs w:val="24"/>
        </w:rPr>
        <w:footnoteReference w:id="54"/>
      </w:r>
      <w:r>
        <w:rPr>
          <w:szCs w:val="24"/>
        </w:rPr>
        <w:t xml:space="preserve"> In this research estimates</w:t>
      </w:r>
      <w:r w:rsidR="00E368F8">
        <w:rPr>
          <w:szCs w:val="24"/>
        </w:rPr>
        <w:t xml:space="preserve">, it is estimated that </w:t>
      </w:r>
      <w:r w:rsidRPr="001C5EEB">
        <w:rPr>
          <w:szCs w:val="24"/>
        </w:rPr>
        <w:t>around 19</w:t>
      </w:r>
      <w:r>
        <w:rPr>
          <w:szCs w:val="24"/>
        </w:rPr>
        <w:t>,</w:t>
      </w:r>
      <w:r w:rsidRPr="001C5EEB">
        <w:rPr>
          <w:szCs w:val="24"/>
        </w:rPr>
        <w:t>400 Indigenous</w:t>
      </w:r>
      <w:r>
        <w:rPr>
          <w:szCs w:val="24"/>
        </w:rPr>
        <w:t xml:space="preserve"> </w:t>
      </w:r>
      <w:r w:rsidRPr="001C5EEB">
        <w:rPr>
          <w:szCs w:val="24"/>
        </w:rPr>
        <w:t>Australians were business owner–managers in</w:t>
      </w:r>
      <w:r>
        <w:rPr>
          <w:szCs w:val="24"/>
        </w:rPr>
        <w:t xml:space="preserve"> </w:t>
      </w:r>
      <w:r w:rsidRPr="001C5EEB">
        <w:rPr>
          <w:szCs w:val="24"/>
        </w:rPr>
        <w:t>2016, almost double the number in 2006</w:t>
      </w:r>
      <w:r>
        <w:rPr>
          <w:szCs w:val="24"/>
        </w:rPr>
        <w:t xml:space="preserve">. </w:t>
      </w:r>
      <w:r w:rsidRPr="00FE73DE">
        <w:rPr>
          <w:szCs w:val="24"/>
        </w:rPr>
        <w:t xml:space="preserve"> </w:t>
      </w:r>
    </w:p>
    <w:p w14:paraId="4D5031EA" w14:textId="77777777" w:rsidR="00E368F8" w:rsidRDefault="00C424B7" w:rsidP="00C424B7">
      <w:pPr>
        <w:rPr>
          <w:szCs w:val="24"/>
        </w:rPr>
      </w:pPr>
      <w:r w:rsidRPr="00FE73DE">
        <w:rPr>
          <w:szCs w:val="24"/>
        </w:rPr>
        <w:t>There is currently no available data of the recent growth of the sector during the BSP</w:t>
      </w:r>
      <w:r w:rsidR="006D3921">
        <w:rPr>
          <w:szCs w:val="24"/>
        </w:rPr>
        <w:t>’s</w:t>
      </w:r>
      <w:r w:rsidRPr="00FE73DE">
        <w:rPr>
          <w:szCs w:val="24"/>
        </w:rPr>
        <w:t xml:space="preserve"> life. </w:t>
      </w:r>
      <w:r w:rsidR="00834658" w:rsidRPr="00FE73DE">
        <w:rPr>
          <w:szCs w:val="24"/>
        </w:rPr>
        <w:t>As noted earlier</w:t>
      </w:r>
      <w:r w:rsidR="006D3921">
        <w:rPr>
          <w:szCs w:val="24"/>
        </w:rPr>
        <w:t>,</w:t>
      </w:r>
      <w:r w:rsidR="00834658" w:rsidRPr="00FE73DE">
        <w:rPr>
          <w:szCs w:val="24"/>
        </w:rPr>
        <w:t xml:space="preserve"> the tracking and reporting on change was not a requirement under the BSP KPIs.</w:t>
      </w:r>
      <w:r w:rsidR="007C5A2F" w:rsidRPr="00FE73DE">
        <w:rPr>
          <w:szCs w:val="24"/>
        </w:rPr>
        <w:t xml:space="preserve"> Since 201</w:t>
      </w:r>
      <w:r w:rsidR="008557E8">
        <w:rPr>
          <w:szCs w:val="24"/>
        </w:rPr>
        <w:t>6–</w:t>
      </w:r>
      <w:r w:rsidR="007C5A2F" w:rsidRPr="00FE73DE">
        <w:rPr>
          <w:szCs w:val="24"/>
        </w:rPr>
        <w:t>17</w:t>
      </w:r>
      <w:r w:rsidR="006D3921">
        <w:rPr>
          <w:szCs w:val="24"/>
        </w:rPr>
        <w:t>,</w:t>
      </w:r>
      <w:r w:rsidR="007C5A2F" w:rsidRPr="00FE73DE">
        <w:rPr>
          <w:szCs w:val="24"/>
        </w:rPr>
        <w:t xml:space="preserve"> IBA’s Annual Reports have also not reported on the concentration of support provided by industry to show the change in finance demand across the sector. </w:t>
      </w:r>
    </w:p>
    <w:p w14:paraId="7FBFDD82" w14:textId="2541A0B5" w:rsidR="00C424B7" w:rsidRPr="00FE73DE" w:rsidRDefault="00E368F8" w:rsidP="00C424B7">
      <w:pPr>
        <w:rPr>
          <w:szCs w:val="24"/>
        </w:rPr>
      </w:pPr>
      <w:r>
        <w:rPr>
          <w:szCs w:val="24"/>
        </w:rPr>
        <w:t>The growing Indigenous business sector was</w:t>
      </w:r>
      <w:r w:rsidR="001C763A" w:rsidRPr="00FE73DE">
        <w:rPr>
          <w:szCs w:val="24"/>
        </w:rPr>
        <w:t xml:space="preserve"> showcased at </w:t>
      </w:r>
      <w:r w:rsidR="00C424B7" w:rsidRPr="00FE73DE">
        <w:rPr>
          <w:szCs w:val="24"/>
        </w:rPr>
        <w:t xml:space="preserve">the Supply Nation Indigenous Business Tradeshow and Gala Awards Ceremony </w:t>
      </w:r>
      <w:r w:rsidR="001C763A" w:rsidRPr="00FE73DE">
        <w:rPr>
          <w:szCs w:val="24"/>
        </w:rPr>
        <w:t xml:space="preserve">held </w:t>
      </w:r>
      <w:r w:rsidR="00C424B7" w:rsidRPr="00FE73DE">
        <w:rPr>
          <w:szCs w:val="24"/>
        </w:rPr>
        <w:t xml:space="preserve">in May 2022. At this event, more than 160 Aboriginal and Torres Strait Islander businesses from around Australia were showcased at the </w:t>
      </w:r>
      <w:r w:rsidR="001C763A" w:rsidRPr="00FE73DE">
        <w:rPr>
          <w:szCs w:val="24"/>
        </w:rPr>
        <w:t xml:space="preserve">Sydney </w:t>
      </w:r>
      <w:r w:rsidR="00C424B7" w:rsidRPr="00FE73DE">
        <w:rPr>
          <w:szCs w:val="24"/>
        </w:rPr>
        <w:t>International Convention Centre.</w:t>
      </w:r>
    </w:p>
    <w:p w14:paraId="7EA1C5ED" w14:textId="77777777" w:rsidR="00C424B7" w:rsidRPr="00FE73DE" w:rsidRDefault="00C424B7" w:rsidP="00C424B7">
      <w:pPr>
        <w:rPr>
          <w:szCs w:val="24"/>
        </w:rPr>
      </w:pPr>
      <w:r w:rsidRPr="00FE73DE">
        <w:rPr>
          <w:szCs w:val="24"/>
        </w:rPr>
        <w:t>This Supply Nation flagship event, known as ‘Connect’, sought to unite Aboriginal and Torres Strait Islander businesses, corporate organisations, and government departments to foster strategic opportunities, and promote and celebrate the success of the Indigenous business sector.</w:t>
      </w:r>
    </w:p>
    <w:p w14:paraId="1F32FF20" w14:textId="53E67DE7" w:rsidR="00C424B7" w:rsidRPr="00FE73DE" w:rsidRDefault="00C424B7" w:rsidP="00C424B7">
      <w:pPr>
        <w:rPr>
          <w:szCs w:val="24"/>
        </w:rPr>
      </w:pPr>
      <w:r w:rsidRPr="00FE73DE">
        <w:rPr>
          <w:szCs w:val="24"/>
        </w:rPr>
        <w:t>More than 1,860 Indigenous businesses, corporate, and government members and international delegates went through the Tradeshow doors</w:t>
      </w:r>
      <w:r w:rsidR="006D3921">
        <w:rPr>
          <w:rFonts w:ascii="Franklin Gothic Book" w:hAnsi="Franklin Gothic Book"/>
          <w:szCs w:val="24"/>
        </w:rPr>
        <w:t>—</w:t>
      </w:r>
      <w:r w:rsidRPr="00FE73DE">
        <w:rPr>
          <w:szCs w:val="24"/>
        </w:rPr>
        <w:t xml:space="preserve">the biggest Supply Nation Indigenous Business Tradeshow yet. </w:t>
      </w:r>
    </w:p>
    <w:p w14:paraId="2150E236" w14:textId="77777777" w:rsidR="00C66FD9" w:rsidRDefault="00C424B7" w:rsidP="00C424B7">
      <w:pPr>
        <w:rPr>
          <w:szCs w:val="24"/>
        </w:rPr>
      </w:pPr>
      <w:r w:rsidRPr="00FE73DE">
        <w:rPr>
          <w:szCs w:val="24"/>
        </w:rPr>
        <w:t xml:space="preserve">Engaging with attendees highlighted the diverse experiences of represented businesses, and the variety of pathways businesses had taken to get to where they are. Key ingredients of business success </w:t>
      </w:r>
      <w:r w:rsidR="001C763A" w:rsidRPr="00FE73DE">
        <w:rPr>
          <w:szCs w:val="24"/>
        </w:rPr>
        <w:t xml:space="preserve">included </w:t>
      </w:r>
      <w:r w:rsidRPr="00FE73DE">
        <w:rPr>
          <w:szCs w:val="24"/>
        </w:rPr>
        <w:t xml:space="preserve">gaining access to networks and </w:t>
      </w:r>
      <w:r w:rsidR="00402262" w:rsidRPr="00FE73DE">
        <w:rPr>
          <w:szCs w:val="24"/>
        </w:rPr>
        <w:t xml:space="preserve">opportunities and </w:t>
      </w:r>
      <w:r w:rsidR="001C763A" w:rsidRPr="00FE73DE">
        <w:rPr>
          <w:szCs w:val="24"/>
        </w:rPr>
        <w:t xml:space="preserve">having a strong mentor who was available to support and nurture the development of </w:t>
      </w:r>
      <w:r w:rsidR="00402262" w:rsidRPr="00FE73DE">
        <w:rPr>
          <w:szCs w:val="24"/>
        </w:rPr>
        <w:t xml:space="preserve">the </w:t>
      </w:r>
      <w:r w:rsidR="001C763A" w:rsidRPr="00FE73DE">
        <w:rPr>
          <w:szCs w:val="24"/>
        </w:rPr>
        <w:t xml:space="preserve">emerging leader. </w:t>
      </w:r>
    </w:p>
    <w:p w14:paraId="02722301" w14:textId="2813F954" w:rsidR="00C424B7" w:rsidRPr="00FE73DE" w:rsidRDefault="001C763A" w:rsidP="00C424B7">
      <w:pPr>
        <w:rPr>
          <w:szCs w:val="24"/>
        </w:rPr>
      </w:pPr>
      <w:r w:rsidRPr="00FE73DE">
        <w:rPr>
          <w:szCs w:val="24"/>
        </w:rPr>
        <w:t xml:space="preserve">It was also evident that those businesses who were aware of the opportunities for support and connection such as being registered </w:t>
      </w:r>
      <w:r w:rsidR="00C424B7" w:rsidRPr="00FE73DE">
        <w:rPr>
          <w:szCs w:val="24"/>
        </w:rPr>
        <w:t xml:space="preserve">members of </w:t>
      </w:r>
      <w:r w:rsidRPr="00FE73DE">
        <w:rPr>
          <w:szCs w:val="24"/>
        </w:rPr>
        <w:t>S</w:t>
      </w:r>
      <w:r w:rsidR="00C424B7" w:rsidRPr="00FE73DE">
        <w:rPr>
          <w:szCs w:val="24"/>
        </w:rPr>
        <w:t xml:space="preserve">upply </w:t>
      </w:r>
      <w:r w:rsidRPr="00FE73DE">
        <w:rPr>
          <w:szCs w:val="24"/>
        </w:rPr>
        <w:t>N</w:t>
      </w:r>
      <w:r w:rsidR="00C424B7" w:rsidRPr="00FE73DE">
        <w:rPr>
          <w:szCs w:val="24"/>
        </w:rPr>
        <w:t xml:space="preserve">ation, </w:t>
      </w:r>
      <w:r w:rsidRPr="00FE73DE">
        <w:rPr>
          <w:szCs w:val="24"/>
        </w:rPr>
        <w:t xml:space="preserve">or </w:t>
      </w:r>
      <w:r w:rsidR="00402262" w:rsidRPr="00FE73DE">
        <w:rPr>
          <w:szCs w:val="24"/>
        </w:rPr>
        <w:t xml:space="preserve">being </w:t>
      </w:r>
      <w:r w:rsidRPr="00FE73DE">
        <w:rPr>
          <w:szCs w:val="24"/>
        </w:rPr>
        <w:t xml:space="preserve">connected through local </w:t>
      </w:r>
      <w:r w:rsidR="00C424B7" w:rsidRPr="00FE73DE">
        <w:rPr>
          <w:szCs w:val="24"/>
        </w:rPr>
        <w:t>chambers of commerce</w:t>
      </w:r>
      <w:r w:rsidR="00402262" w:rsidRPr="00FE73DE">
        <w:rPr>
          <w:szCs w:val="24"/>
        </w:rPr>
        <w:t>,</w:t>
      </w:r>
      <w:r w:rsidR="00C424B7" w:rsidRPr="00FE73DE">
        <w:rPr>
          <w:szCs w:val="24"/>
        </w:rPr>
        <w:t xml:space="preserve"> knew and understood the importance of </w:t>
      </w:r>
      <w:r w:rsidR="00402262" w:rsidRPr="00FE73DE">
        <w:rPr>
          <w:szCs w:val="24"/>
        </w:rPr>
        <w:t>networks and the value of being preferred suppliers when competing for business opportunities</w:t>
      </w:r>
      <w:r w:rsidR="00C424B7" w:rsidRPr="00FE73DE">
        <w:rPr>
          <w:szCs w:val="24"/>
        </w:rPr>
        <w:t>.</w:t>
      </w:r>
    </w:p>
    <w:p w14:paraId="6FB58F90" w14:textId="693946C2" w:rsidR="00C424B7" w:rsidRPr="00FE73DE" w:rsidRDefault="00C424B7">
      <w:pPr>
        <w:pStyle w:val="Heading3"/>
      </w:pPr>
      <w:bookmarkStart w:id="121" w:name="_Toc108632473"/>
      <w:bookmarkStart w:id="122" w:name="_Toc109569524"/>
      <w:r w:rsidRPr="00FE73DE">
        <w:t xml:space="preserve">Growth of </w:t>
      </w:r>
      <w:r w:rsidR="003811BE" w:rsidRPr="00FE73DE">
        <w:t>b</w:t>
      </w:r>
      <w:r w:rsidRPr="00FE73DE">
        <w:t xml:space="preserve">usiness </w:t>
      </w:r>
      <w:r w:rsidR="003811BE" w:rsidRPr="00FE73DE">
        <w:t>n</w:t>
      </w:r>
      <w:r w:rsidRPr="00FE73DE">
        <w:t>etworks</w:t>
      </w:r>
      <w:r w:rsidR="003811BE" w:rsidRPr="00FE73DE">
        <w:t xml:space="preserve"> – </w:t>
      </w:r>
      <w:r w:rsidR="00B11880">
        <w:t>i</w:t>
      </w:r>
      <w:r w:rsidRPr="00FE73DE">
        <w:t>mplications for BSP customers</w:t>
      </w:r>
      <w:bookmarkEnd w:id="121"/>
      <w:bookmarkEnd w:id="122"/>
    </w:p>
    <w:p w14:paraId="23517BFB" w14:textId="7516EF99" w:rsidR="00C424B7" w:rsidRPr="00FE73DE" w:rsidRDefault="00C424B7" w:rsidP="00C424B7">
      <w:pPr>
        <w:rPr>
          <w:szCs w:val="24"/>
        </w:rPr>
      </w:pPr>
      <w:r w:rsidRPr="00FE73DE">
        <w:rPr>
          <w:szCs w:val="24"/>
        </w:rPr>
        <w:t>Trends show</w:t>
      </w:r>
      <w:r w:rsidR="003B3A03">
        <w:rPr>
          <w:szCs w:val="24"/>
        </w:rPr>
        <w:t>ed</w:t>
      </w:r>
      <w:r w:rsidRPr="00FE73DE">
        <w:rPr>
          <w:szCs w:val="24"/>
        </w:rPr>
        <w:t xml:space="preserve"> that for BSP customers who responded to the Indigenous Business Survey, 42% (</w:t>
      </w:r>
      <w:r w:rsidR="003811BE" w:rsidRPr="00FE73DE">
        <w:rPr>
          <w:szCs w:val="24"/>
        </w:rPr>
        <w:t>n</w:t>
      </w:r>
      <w:r w:rsidRPr="00FE73DE">
        <w:rPr>
          <w:szCs w:val="24"/>
        </w:rPr>
        <w:t xml:space="preserve">=26) were not members, registered suppliers, or clients of any of the listed industry bodies. </w:t>
      </w:r>
      <w:r w:rsidR="00C80288">
        <w:rPr>
          <w:szCs w:val="24"/>
        </w:rPr>
        <w:t>While not necessarily suitable for all businesses, b</w:t>
      </w:r>
      <w:r w:rsidRPr="00FE73DE">
        <w:rPr>
          <w:szCs w:val="24"/>
        </w:rPr>
        <w:t xml:space="preserve">eing a member of Supply Nation or other business support entities such as the state-based Indigenous business chambers of commerce or the IBSS Indigenous Business Hubs provides effective avenues to expand on the original BSP support a business may have received, and to get support for </w:t>
      </w:r>
      <w:r w:rsidR="00402262" w:rsidRPr="00FE73DE">
        <w:rPr>
          <w:szCs w:val="24"/>
        </w:rPr>
        <w:t xml:space="preserve">or awareness of </w:t>
      </w:r>
      <w:r w:rsidRPr="00FE73DE">
        <w:rPr>
          <w:szCs w:val="24"/>
        </w:rPr>
        <w:t xml:space="preserve">other business opportunities. </w:t>
      </w:r>
    </w:p>
    <w:p w14:paraId="080E0F8C" w14:textId="1898499E" w:rsidR="00C424B7" w:rsidRPr="00FE73DE" w:rsidRDefault="00C424B7" w:rsidP="00C424B7">
      <w:pPr>
        <w:rPr>
          <w:szCs w:val="24"/>
        </w:rPr>
      </w:pPr>
      <w:r w:rsidRPr="00FE73DE">
        <w:rPr>
          <w:szCs w:val="24"/>
        </w:rPr>
        <w:t xml:space="preserve">Awareness and connection to other national and state-based organisations involved in the provision of business support can increase the impact and anticipated outcomes of investment in the BSP. Such sentiment was expressed by one </w:t>
      </w:r>
      <w:r w:rsidR="00402262" w:rsidRPr="00FE73DE">
        <w:rPr>
          <w:szCs w:val="24"/>
        </w:rPr>
        <w:t>survey respondent</w:t>
      </w:r>
      <w:r w:rsidRPr="00FE73DE">
        <w:rPr>
          <w:szCs w:val="24"/>
        </w:rPr>
        <w:t xml:space="preserve"> involved in the delivery of some of IBA’s online small business workshops:</w:t>
      </w:r>
    </w:p>
    <w:p w14:paraId="1E772CA7" w14:textId="2DA67609" w:rsidR="00C424B7" w:rsidRPr="00FE73DE" w:rsidRDefault="00C424B7" w:rsidP="00C424B7">
      <w:pPr>
        <w:pStyle w:val="Quote"/>
      </w:pPr>
      <w:r w:rsidRPr="00FE73DE">
        <w:t xml:space="preserve">… and out of all those workshops, the biggest thing coming out of all of them is ‘how do we network with each other?’ … ‘Where do we go so we can talk to each other all the time?’” </w:t>
      </w:r>
    </w:p>
    <w:p w14:paraId="660B00EA" w14:textId="05CDBCA7" w:rsidR="00671031" w:rsidRPr="00FE73DE" w:rsidRDefault="008F07DC" w:rsidP="00671031">
      <w:r w:rsidRPr="00FE73DE">
        <w:t xml:space="preserve">The demand to feel connected and engage with like-minded individuals in a safe and non-threatening environment was </w:t>
      </w:r>
      <w:r w:rsidR="00486BB1" w:rsidRPr="00FE73DE">
        <w:t>identified during the evaluation. While relatively small in nature, the BSP’s role in providing ongoing encouragement and support to find effective ways to build such networks this is important going forward.</w:t>
      </w:r>
      <w:r w:rsidR="001D67F5">
        <w:t xml:space="preserve"> The</w:t>
      </w:r>
      <w:r w:rsidR="001D67F5" w:rsidRPr="00EB7918">
        <w:t xml:space="preserve"> contribution</w:t>
      </w:r>
      <w:r w:rsidR="00FF6BC2">
        <w:t>s</w:t>
      </w:r>
      <w:r w:rsidR="001D67F5" w:rsidRPr="00EB7918">
        <w:t xml:space="preserve"> of BSP alumni to other IBA business activities </w:t>
      </w:r>
      <w:r w:rsidR="001D67F5">
        <w:t xml:space="preserve">are also indications of success </w:t>
      </w:r>
      <w:r w:rsidR="00FF6BC2">
        <w:t>for</w:t>
      </w:r>
      <w:r w:rsidR="001D67F5">
        <w:t xml:space="preserve"> this longer term outcome</w:t>
      </w:r>
      <w:r w:rsidR="001D67F5" w:rsidRPr="00EB7918">
        <w:t>.</w:t>
      </w:r>
      <w:r w:rsidR="00486BB1" w:rsidRPr="00FE73DE">
        <w:t xml:space="preserve"> Th</w:t>
      </w:r>
      <w:r w:rsidR="001D67F5">
        <w:t xml:space="preserve">ese issues are </w:t>
      </w:r>
      <w:r w:rsidR="00486BB1" w:rsidRPr="00FE73DE">
        <w:t xml:space="preserve">explored further in section </w:t>
      </w:r>
      <w:r w:rsidR="003257FB">
        <w:t>8</w:t>
      </w:r>
      <w:r w:rsidR="00486BB1" w:rsidRPr="00FE73DE">
        <w:t>.3.</w:t>
      </w:r>
      <w:r w:rsidR="001D67F5">
        <w:t xml:space="preserve"> </w:t>
      </w:r>
    </w:p>
    <w:p w14:paraId="4DACACE3" w14:textId="3EF6D95B" w:rsidR="00C424B7" w:rsidRPr="00FE73DE" w:rsidRDefault="00C424B7">
      <w:pPr>
        <w:pStyle w:val="Heading3"/>
      </w:pPr>
      <w:bookmarkStart w:id="123" w:name="_Toc108632474"/>
      <w:bookmarkStart w:id="124" w:name="_Toc109569525"/>
      <w:r w:rsidRPr="00FE73DE">
        <w:t xml:space="preserve">Community </w:t>
      </w:r>
      <w:r w:rsidR="00450120" w:rsidRPr="00FE73DE">
        <w:t>l</w:t>
      </w:r>
      <w:r w:rsidRPr="00FE73DE">
        <w:t xml:space="preserve">evel </w:t>
      </w:r>
      <w:r w:rsidR="00450120" w:rsidRPr="00FE73DE">
        <w:t>i</w:t>
      </w:r>
      <w:r w:rsidRPr="00FE73DE">
        <w:t xml:space="preserve">mpacts of </w:t>
      </w:r>
      <w:r w:rsidR="00450120" w:rsidRPr="00FE73DE">
        <w:t>a p</w:t>
      </w:r>
      <w:r w:rsidRPr="00FE73DE">
        <w:t>rogram such as BSP</w:t>
      </w:r>
      <w:bookmarkEnd w:id="123"/>
      <w:bookmarkEnd w:id="124"/>
    </w:p>
    <w:p w14:paraId="747160E5" w14:textId="16B7884D" w:rsidR="00C424B7" w:rsidRPr="00FE73DE" w:rsidRDefault="00C424B7" w:rsidP="00C424B7">
      <w:pPr>
        <w:rPr>
          <w:szCs w:val="24"/>
        </w:rPr>
      </w:pPr>
      <w:r w:rsidRPr="00FE73DE">
        <w:rPr>
          <w:szCs w:val="24"/>
        </w:rPr>
        <w:t>One of the most significant flow</w:t>
      </w:r>
      <w:r w:rsidR="008308DA" w:rsidRPr="00FE73DE">
        <w:rPr>
          <w:szCs w:val="24"/>
        </w:rPr>
        <w:t>-</w:t>
      </w:r>
      <w:r w:rsidRPr="00FE73DE">
        <w:rPr>
          <w:szCs w:val="24"/>
        </w:rPr>
        <w:t xml:space="preserve">on effects into communities resulting from business development is the creation of employment. Trends across 2006 to 2018 show that as there is a rise in Indigenous businesses, there is also a concurrent rise in the number of jobs created per business. </w:t>
      </w:r>
    </w:p>
    <w:p w14:paraId="1D2F46E1" w14:textId="68F75F33" w:rsidR="006464F3" w:rsidRPr="00FE73DE" w:rsidRDefault="006464F3" w:rsidP="006464F3">
      <w:pPr>
        <w:pStyle w:val="Boxbullett"/>
        <w:ind w:left="567"/>
      </w:pPr>
      <w:r w:rsidRPr="00FE73DE">
        <w:rPr>
          <w:iCs/>
          <w:szCs w:val="24"/>
        </w:rPr>
        <w:t>The rate of increase of Indigenous business numbers between 2006 and 2016 is approximately 5.5% per year. The rate of growth of employment numbers and total Indigenous business grow income has been higher than for active business number (5.9% and 6.6.% per year), which point to growth in the average size of the active businesses, and may point to a maturing of the sector.</w:t>
      </w:r>
      <w:r w:rsidRPr="00FE73DE">
        <w:rPr>
          <w:rStyle w:val="FootnoteReference"/>
          <w:szCs w:val="24"/>
        </w:rPr>
        <w:footnoteReference w:id="55"/>
      </w:r>
    </w:p>
    <w:p w14:paraId="27FF092B" w14:textId="486F82D6" w:rsidR="007D707E" w:rsidRPr="00FE73DE" w:rsidRDefault="00C424B7" w:rsidP="00C424B7">
      <w:pPr>
        <w:rPr>
          <w:szCs w:val="24"/>
        </w:rPr>
      </w:pPr>
      <w:r w:rsidRPr="00FE73DE">
        <w:rPr>
          <w:szCs w:val="24"/>
        </w:rPr>
        <w:t xml:space="preserve">Direct evidence of this occurring through the BSP is found in the </w:t>
      </w:r>
      <w:r w:rsidR="00CA3A99" w:rsidRPr="00FE73DE">
        <w:rPr>
          <w:szCs w:val="24"/>
        </w:rPr>
        <w:t xml:space="preserve">Indigenous business survey </w:t>
      </w:r>
      <w:r w:rsidRPr="00FE73DE">
        <w:rPr>
          <w:szCs w:val="24"/>
        </w:rPr>
        <w:t xml:space="preserve">where </w:t>
      </w:r>
      <w:r w:rsidR="00CA3A99" w:rsidRPr="00FE73DE">
        <w:rPr>
          <w:szCs w:val="24"/>
        </w:rPr>
        <w:t>25</w:t>
      </w:r>
      <w:r w:rsidRPr="00FE73DE">
        <w:rPr>
          <w:szCs w:val="24"/>
        </w:rPr>
        <w:t xml:space="preserve">% </w:t>
      </w:r>
      <w:r w:rsidR="00CA3A99" w:rsidRPr="00FE73DE">
        <w:rPr>
          <w:szCs w:val="24"/>
        </w:rPr>
        <w:t xml:space="preserve">(n=5) </w:t>
      </w:r>
      <w:r w:rsidRPr="00FE73DE">
        <w:rPr>
          <w:szCs w:val="24"/>
        </w:rPr>
        <w:t xml:space="preserve">of </w:t>
      </w:r>
      <w:r w:rsidR="00CA3A99" w:rsidRPr="00FE73DE">
        <w:rPr>
          <w:szCs w:val="24"/>
        </w:rPr>
        <w:t xml:space="preserve">IBA </w:t>
      </w:r>
      <w:r w:rsidRPr="00FE73DE">
        <w:rPr>
          <w:szCs w:val="24"/>
        </w:rPr>
        <w:t>customers flagged increase</w:t>
      </w:r>
      <w:r w:rsidR="00CA3A99" w:rsidRPr="00FE73DE">
        <w:rPr>
          <w:szCs w:val="24"/>
        </w:rPr>
        <w:t>d</w:t>
      </w:r>
      <w:r w:rsidRPr="00FE73DE">
        <w:rPr>
          <w:szCs w:val="24"/>
        </w:rPr>
        <w:t xml:space="preserve"> employment </w:t>
      </w:r>
      <w:r w:rsidR="00CA3A99" w:rsidRPr="00FE73DE">
        <w:rPr>
          <w:szCs w:val="24"/>
        </w:rPr>
        <w:t xml:space="preserve">has helped their </w:t>
      </w:r>
      <w:r w:rsidRPr="00FE73DE">
        <w:rPr>
          <w:szCs w:val="24"/>
        </w:rPr>
        <w:t>business. The creation of employment also links well to Closing the Gap targets</w:t>
      </w:r>
      <w:r w:rsidR="00471D87" w:rsidRPr="00FE73DE">
        <w:rPr>
          <w:szCs w:val="24"/>
        </w:rPr>
        <w:t xml:space="preserve"> as explored further </w:t>
      </w:r>
      <w:r w:rsidR="00454428">
        <w:rPr>
          <w:szCs w:val="24"/>
        </w:rPr>
        <w:t>in</w:t>
      </w:r>
      <w:r w:rsidR="00471D87" w:rsidRPr="00FE73DE">
        <w:rPr>
          <w:szCs w:val="24"/>
        </w:rPr>
        <w:t xml:space="preserve"> section </w:t>
      </w:r>
      <w:r w:rsidR="003257FB">
        <w:rPr>
          <w:szCs w:val="24"/>
        </w:rPr>
        <w:t>8</w:t>
      </w:r>
      <w:r w:rsidR="00471D87" w:rsidRPr="00FE73DE">
        <w:rPr>
          <w:szCs w:val="24"/>
        </w:rPr>
        <w:t>.1</w:t>
      </w:r>
      <w:r w:rsidRPr="00FE73DE">
        <w:rPr>
          <w:szCs w:val="24"/>
        </w:rPr>
        <w:t>.</w:t>
      </w:r>
      <w:r w:rsidR="007D707E" w:rsidRPr="00FE73DE">
        <w:rPr>
          <w:szCs w:val="24"/>
        </w:rPr>
        <w:t xml:space="preserve"> </w:t>
      </w:r>
    </w:p>
    <w:p w14:paraId="30CB46A2" w14:textId="5F988079" w:rsidR="00C424B7" w:rsidRPr="00454428" w:rsidRDefault="00C424B7" w:rsidP="00C424B7">
      <w:pPr>
        <w:rPr>
          <w:spacing w:val="-2"/>
          <w:szCs w:val="24"/>
        </w:rPr>
      </w:pPr>
      <w:r w:rsidRPr="00454428">
        <w:rPr>
          <w:spacing w:val="-2"/>
          <w:szCs w:val="24"/>
        </w:rPr>
        <w:t>The combination of business development and employment provides sound opportunities for broader impacts on communities. As illustrated by the IBA ‘impact’ report, this can result in empowerment</w:t>
      </w:r>
      <w:r w:rsidR="00CA3A99" w:rsidRPr="00454428">
        <w:rPr>
          <w:spacing w:val="-2"/>
          <w:szCs w:val="24"/>
        </w:rPr>
        <w:t>, financial resilience</w:t>
      </w:r>
      <w:r w:rsidR="00454428">
        <w:rPr>
          <w:spacing w:val="-2"/>
          <w:szCs w:val="24"/>
        </w:rPr>
        <w:t>,</w:t>
      </w:r>
      <w:r w:rsidR="00CA3A99" w:rsidRPr="00454428">
        <w:rPr>
          <w:spacing w:val="-2"/>
          <w:szCs w:val="24"/>
        </w:rPr>
        <w:t xml:space="preserve"> and </w:t>
      </w:r>
      <w:r w:rsidR="00D67CF2">
        <w:rPr>
          <w:spacing w:val="-2"/>
          <w:szCs w:val="24"/>
        </w:rPr>
        <w:t xml:space="preserve">improved </w:t>
      </w:r>
      <w:r w:rsidR="00CA3A99" w:rsidRPr="00454428">
        <w:rPr>
          <w:spacing w:val="-2"/>
          <w:szCs w:val="24"/>
        </w:rPr>
        <w:t>wellbeing</w:t>
      </w:r>
      <w:r w:rsidR="007D707E" w:rsidRPr="00454428">
        <w:rPr>
          <w:spacing w:val="-2"/>
          <w:szCs w:val="24"/>
        </w:rPr>
        <w:t>.</w:t>
      </w:r>
      <w:r w:rsidRPr="00454428">
        <w:rPr>
          <w:spacing w:val="-2"/>
          <w:szCs w:val="24"/>
        </w:rPr>
        <w:t xml:space="preserve"> </w:t>
      </w:r>
    </w:p>
    <w:p w14:paraId="100E4358" w14:textId="02A756DC" w:rsidR="003D3E4A" w:rsidRPr="00295C5C" w:rsidRDefault="00C361B7" w:rsidP="00295C5C">
      <w:pPr>
        <w:rPr>
          <w:szCs w:val="24"/>
        </w:rPr>
      </w:pPr>
      <w:r w:rsidRPr="00C361B7">
        <w:rPr>
          <w:szCs w:val="24"/>
        </w:rPr>
        <w:t>As noted in the evaluation’s Analytical and Evaluation Framework</w:t>
      </w:r>
      <w:r>
        <w:rPr>
          <w:szCs w:val="24"/>
        </w:rPr>
        <w:t xml:space="preserve"> (Appendix </w:t>
      </w:r>
      <w:r w:rsidR="001F2BA9">
        <w:rPr>
          <w:szCs w:val="24"/>
        </w:rPr>
        <w:t>C</w:t>
      </w:r>
      <w:r>
        <w:rPr>
          <w:szCs w:val="24"/>
        </w:rPr>
        <w:t>)</w:t>
      </w:r>
      <w:r w:rsidRPr="00C361B7">
        <w:rPr>
          <w:szCs w:val="24"/>
        </w:rPr>
        <w:t>, l</w:t>
      </w:r>
      <w:r w:rsidRPr="00C361B7">
        <w:t xml:space="preserve">ong-term outcomes were not expected to be measurable during the timeframe of the evaluation. </w:t>
      </w:r>
      <w:r>
        <w:t>However, t</w:t>
      </w:r>
      <w:r w:rsidRPr="00C361B7">
        <w:t>he findings do provide some timely and relevant insight into broader issues associated with the growing Indigenous business sector</w:t>
      </w:r>
      <w:r>
        <w:t>.</w:t>
      </w:r>
      <w:r w:rsidR="003D3E4A" w:rsidRPr="00FE73DE">
        <w:br w:type="page"/>
      </w:r>
    </w:p>
    <w:p w14:paraId="4B3915E7" w14:textId="707896EC" w:rsidR="00504BD1" w:rsidRPr="00FE73DE" w:rsidRDefault="008308DA">
      <w:pPr>
        <w:pStyle w:val="Heading1"/>
      </w:pPr>
      <w:bookmarkStart w:id="125" w:name="_Toc123734714"/>
      <w:r w:rsidRPr="00FE73DE">
        <w:t xml:space="preserve">Core </w:t>
      </w:r>
      <w:r w:rsidR="00070766">
        <w:t>v</w:t>
      </w:r>
      <w:r w:rsidRPr="00FE73DE">
        <w:t>alues/</w:t>
      </w:r>
      <w:r w:rsidR="00070766">
        <w:t>s</w:t>
      </w:r>
      <w:r w:rsidRPr="00FE73DE">
        <w:t xml:space="preserve">trength-based </w:t>
      </w:r>
      <w:r w:rsidR="00070766">
        <w:t>a</w:t>
      </w:r>
      <w:r w:rsidRPr="00FE73DE">
        <w:t xml:space="preserve">pproach to </w:t>
      </w:r>
      <w:r w:rsidR="00070766">
        <w:t>p</w:t>
      </w:r>
      <w:r w:rsidRPr="00FE73DE">
        <w:t xml:space="preserve">rogram </w:t>
      </w:r>
      <w:r w:rsidR="00070766">
        <w:t>d</w:t>
      </w:r>
      <w:r w:rsidRPr="00FE73DE">
        <w:t>elivery</w:t>
      </w:r>
      <w:bookmarkEnd w:id="125"/>
    </w:p>
    <w:p w14:paraId="1FE12B7F" w14:textId="122E3EEC" w:rsidR="008308DA" w:rsidRPr="00FE73DE" w:rsidRDefault="008E2FFC" w:rsidP="008308DA">
      <w:r w:rsidRPr="00FE73DE">
        <w:t xml:space="preserve">This section </w:t>
      </w:r>
      <w:r w:rsidR="008308DA" w:rsidRPr="00FE73DE">
        <w:t xml:space="preserve">examines the program capacity to build and strengthen Indigenous cultural values through the design and delivery of the BSP. </w:t>
      </w:r>
      <w:r w:rsidR="00B577AD" w:rsidRPr="00FE73DE">
        <w:t>In particular, it answers the evaluation question:</w:t>
      </w:r>
    </w:p>
    <w:p w14:paraId="7F69D485" w14:textId="286E1E4F" w:rsidR="00B577AD" w:rsidRPr="00FE73DE" w:rsidRDefault="00B577AD">
      <w:pPr>
        <w:pStyle w:val="ListBullet"/>
      </w:pPr>
      <w:r w:rsidRPr="00FE73DE">
        <w:t>Does the design and delivery of the BSP build on strengths, demonstrate cultural respect and involve collaboration?</w:t>
      </w:r>
    </w:p>
    <w:p w14:paraId="1C4E5944" w14:textId="161920CD" w:rsidR="008308DA" w:rsidRPr="00FE73DE" w:rsidRDefault="008308DA" w:rsidP="008308DA">
      <w:r w:rsidRPr="00FE73DE">
        <w:t>This question aligns to the IAS evaluation framework core principles:</w:t>
      </w:r>
    </w:p>
    <w:p w14:paraId="04C34D0A" w14:textId="77777777" w:rsidR="008308DA" w:rsidRPr="00FE73DE" w:rsidRDefault="008308DA">
      <w:pPr>
        <w:pStyle w:val="ListBullet"/>
      </w:pPr>
      <w:r w:rsidRPr="00FE73DE">
        <w:t>Build on strengths to make a positive contribution to the lives of current and future generations of Indigenous Australians.</w:t>
      </w:r>
    </w:p>
    <w:p w14:paraId="536F291C" w14:textId="77777777" w:rsidR="008308DA" w:rsidRPr="00FE73DE" w:rsidRDefault="008308DA">
      <w:pPr>
        <w:pStyle w:val="ListBullet"/>
      </w:pPr>
      <w:r w:rsidRPr="00FE73DE">
        <w:t>Designed and delivered in collaboration with Indigenous Australians ensuring diverse voices are heard and respected.</w:t>
      </w:r>
    </w:p>
    <w:p w14:paraId="6A890504" w14:textId="77777777" w:rsidR="008308DA" w:rsidRPr="00FE73DE" w:rsidRDefault="008308DA">
      <w:pPr>
        <w:pStyle w:val="ListBullet"/>
      </w:pPr>
      <w:r w:rsidRPr="00FE73DE">
        <w:t>Demonstrate cultural respect towards Indigenous Australians.</w:t>
      </w:r>
    </w:p>
    <w:tbl>
      <w:tblPr>
        <w:tblStyle w:val="Summaryboxtablestyle"/>
        <w:tblW w:w="5000" w:type="pct"/>
        <w:tblLook w:val="04A0" w:firstRow="1" w:lastRow="0" w:firstColumn="1" w:lastColumn="0" w:noHBand="0" w:noVBand="1"/>
      </w:tblPr>
      <w:tblGrid>
        <w:gridCol w:w="8890"/>
      </w:tblGrid>
      <w:tr w:rsidR="00CF7A03" w:rsidRPr="00FE73DE" w14:paraId="1AE8024F" w14:textId="77777777" w:rsidTr="00CF7A03">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6B818C" w:themeColor="accent5"/>
              <w:left w:val="single" w:sz="4" w:space="0" w:color="6B818C" w:themeColor="accent5"/>
              <w:bottom w:val="nil"/>
              <w:right w:val="single" w:sz="4" w:space="0" w:color="6B818C" w:themeColor="accent5"/>
            </w:tcBorders>
            <w:hideMark/>
          </w:tcPr>
          <w:p w14:paraId="6AC4CC8C" w14:textId="03ED10FA" w:rsidR="00CF7A03" w:rsidRPr="00FE73DE" w:rsidRDefault="00CF7A03">
            <w:pPr>
              <w:pStyle w:val="TableText"/>
            </w:pPr>
            <w:r w:rsidRPr="00FE73DE">
              <w:t>Findings summary – Core values</w:t>
            </w:r>
            <w:r w:rsidR="00070766">
              <w:t>/strength-based approach to program delivery</w:t>
            </w:r>
          </w:p>
        </w:tc>
      </w:tr>
      <w:tr w:rsidR="00CF7A03" w:rsidRPr="00FE73DE" w14:paraId="29282B9B" w14:textId="77777777" w:rsidTr="00CF7A03">
        <w:tc>
          <w:tcPr>
            <w:tcW w:w="5000" w:type="pct"/>
            <w:tcBorders>
              <w:top w:val="nil"/>
              <w:left w:val="single" w:sz="4" w:space="0" w:color="6B818C" w:themeColor="accent5"/>
              <w:bottom w:val="single" w:sz="4" w:space="0" w:color="6B818C" w:themeColor="accent5"/>
              <w:right w:val="single" w:sz="4" w:space="0" w:color="6B818C" w:themeColor="accent5"/>
            </w:tcBorders>
          </w:tcPr>
          <w:p w14:paraId="01D4E4BA" w14:textId="49EE80B8" w:rsidR="00CF7A03" w:rsidRPr="00A41D18" w:rsidRDefault="00CF7A03" w:rsidP="001F0E08">
            <w:pPr>
              <w:pStyle w:val="Findingssummarylist"/>
              <w:rPr>
                <w:sz w:val="22"/>
                <w:szCs w:val="22"/>
              </w:rPr>
            </w:pPr>
            <w:r w:rsidRPr="00A41D18">
              <w:rPr>
                <w:sz w:val="22"/>
                <w:szCs w:val="22"/>
              </w:rPr>
              <w:t>The program intent</w:t>
            </w:r>
            <w:r w:rsidR="00070766" w:rsidRPr="00A41D18">
              <w:rPr>
                <w:sz w:val="22"/>
                <w:szCs w:val="22"/>
              </w:rPr>
              <w:t>,</w:t>
            </w:r>
            <w:r w:rsidRPr="00A41D18">
              <w:rPr>
                <w:sz w:val="22"/>
                <w:szCs w:val="22"/>
              </w:rPr>
              <w:t xml:space="preserve"> as </w:t>
            </w:r>
            <w:r w:rsidR="00070766" w:rsidRPr="00A41D18">
              <w:rPr>
                <w:sz w:val="22"/>
                <w:szCs w:val="22"/>
              </w:rPr>
              <w:t xml:space="preserve">reflected </w:t>
            </w:r>
            <w:r w:rsidRPr="00A41D18">
              <w:rPr>
                <w:sz w:val="22"/>
                <w:szCs w:val="22"/>
              </w:rPr>
              <w:t xml:space="preserve">in </w:t>
            </w:r>
            <w:r w:rsidR="001F0E08" w:rsidRPr="00A41D18">
              <w:rPr>
                <w:sz w:val="22"/>
                <w:szCs w:val="22"/>
              </w:rPr>
              <w:t xml:space="preserve">key policy </w:t>
            </w:r>
            <w:r w:rsidRPr="00A41D18">
              <w:rPr>
                <w:sz w:val="22"/>
                <w:szCs w:val="22"/>
              </w:rPr>
              <w:t>documents</w:t>
            </w:r>
            <w:r w:rsidR="00070766" w:rsidRPr="00A41D18">
              <w:rPr>
                <w:sz w:val="22"/>
                <w:szCs w:val="22"/>
              </w:rPr>
              <w:t>,</w:t>
            </w:r>
            <w:r w:rsidRPr="00A41D18">
              <w:rPr>
                <w:sz w:val="22"/>
                <w:szCs w:val="22"/>
              </w:rPr>
              <w:t xml:space="preserve"> </w:t>
            </w:r>
            <w:r w:rsidR="00070766" w:rsidRPr="00A41D18">
              <w:rPr>
                <w:sz w:val="22"/>
                <w:szCs w:val="22"/>
              </w:rPr>
              <w:t>represented</w:t>
            </w:r>
            <w:r w:rsidRPr="00A41D18">
              <w:rPr>
                <w:sz w:val="22"/>
                <w:szCs w:val="22"/>
              </w:rPr>
              <w:t xml:space="preserve"> a </w:t>
            </w:r>
            <w:r w:rsidR="00070766" w:rsidRPr="00A41D18">
              <w:rPr>
                <w:sz w:val="22"/>
                <w:szCs w:val="22"/>
              </w:rPr>
              <w:t>strength-</w:t>
            </w:r>
            <w:r w:rsidRPr="00A41D18">
              <w:rPr>
                <w:sz w:val="22"/>
                <w:szCs w:val="22"/>
              </w:rPr>
              <w:t>based philosophy including the creation of economic independence.</w:t>
            </w:r>
            <w:r w:rsidR="00063D5E" w:rsidRPr="00A41D18">
              <w:rPr>
                <w:sz w:val="22"/>
                <w:szCs w:val="22"/>
              </w:rPr>
              <w:t xml:space="preserve"> It builds on IBA’s experience in delivering the long running </w:t>
            </w:r>
            <w:r w:rsidR="00FF6BC2" w:rsidRPr="00A41D18">
              <w:rPr>
                <w:sz w:val="22"/>
                <w:szCs w:val="22"/>
              </w:rPr>
              <w:t>BDAP</w:t>
            </w:r>
            <w:r w:rsidR="00063D5E" w:rsidRPr="00A41D18">
              <w:rPr>
                <w:sz w:val="22"/>
                <w:szCs w:val="22"/>
              </w:rPr>
              <w:t>.</w:t>
            </w:r>
          </w:p>
          <w:p w14:paraId="0BE3344F" w14:textId="0F0C8B29" w:rsidR="00B577AD" w:rsidRPr="00A41D18" w:rsidRDefault="00325A89" w:rsidP="001F0E08">
            <w:pPr>
              <w:pStyle w:val="Findingssummarylist"/>
              <w:rPr>
                <w:sz w:val="22"/>
                <w:szCs w:val="22"/>
              </w:rPr>
            </w:pPr>
            <w:r w:rsidRPr="00A41D18">
              <w:rPr>
                <w:sz w:val="22"/>
                <w:szCs w:val="22"/>
              </w:rPr>
              <w:t xml:space="preserve">Internal IBA documents show that </w:t>
            </w:r>
            <w:r w:rsidR="00B577AD" w:rsidRPr="00A41D18">
              <w:rPr>
                <w:sz w:val="22"/>
                <w:szCs w:val="22"/>
              </w:rPr>
              <w:t>IBA seeks to maintain a customer-focused approach to delivering services, and to assisting customers through all stages of their business journey.</w:t>
            </w:r>
            <w:r w:rsidR="00063D5E" w:rsidRPr="00A41D18">
              <w:rPr>
                <w:sz w:val="22"/>
                <w:szCs w:val="22"/>
              </w:rPr>
              <w:t xml:space="preserve"> </w:t>
            </w:r>
          </w:p>
          <w:p w14:paraId="54DEDAD1" w14:textId="350B35ED" w:rsidR="001F0E08" w:rsidRPr="00A41D18" w:rsidRDefault="001F0E08" w:rsidP="001F0E08">
            <w:pPr>
              <w:pStyle w:val="Findingssummarylist"/>
              <w:rPr>
                <w:sz w:val="22"/>
                <w:szCs w:val="22"/>
              </w:rPr>
            </w:pPr>
            <w:r w:rsidRPr="00A41D18">
              <w:rPr>
                <w:sz w:val="22"/>
                <w:szCs w:val="22"/>
              </w:rPr>
              <w:t>IBA had a Reconciliation Action Plan (RAP) since 2007</w:t>
            </w:r>
            <w:r w:rsidR="006F4BE9" w:rsidRPr="00A41D18">
              <w:rPr>
                <w:sz w:val="22"/>
                <w:szCs w:val="22"/>
              </w:rPr>
              <w:t>, but i</w:t>
            </w:r>
            <w:r w:rsidRPr="00A41D18">
              <w:rPr>
                <w:sz w:val="22"/>
                <w:szCs w:val="22"/>
              </w:rPr>
              <w:t>n 2016</w:t>
            </w:r>
            <w:r w:rsidR="006F4BE9" w:rsidRPr="00A41D18">
              <w:rPr>
                <w:sz w:val="22"/>
                <w:szCs w:val="22"/>
              </w:rPr>
              <w:t>,</w:t>
            </w:r>
            <w:r w:rsidRPr="00A41D18">
              <w:rPr>
                <w:sz w:val="22"/>
                <w:szCs w:val="22"/>
              </w:rPr>
              <w:t xml:space="preserve"> </w:t>
            </w:r>
            <w:r w:rsidR="006F4BE9" w:rsidRPr="00A41D18">
              <w:rPr>
                <w:sz w:val="22"/>
                <w:szCs w:val="22"/>
              </w:rPr>
              <w:t xml:space="preserve">it </w:t>
            </w:r>
            <w:r w:rsidRPr="00A41D18">
              <w:rPr>
                <w:sz w:val="22"/>
                <w:szCs w:val="22"/>
              </w:rPr>
              <w:t xml:space="preserve">made a conscious decision to move away from the RAP program. Since then, IBA has sought to embed cultural capability, introduced strategies to enhance Indigenous employment and procurement outcomes through service delivery, and embedded IBA’s key value of Respect across the organisation. </w:t>
            </w:r>
          </w:p>
          <w:p w14:paraId="11CD4435" w14:textId="746CE077" w:rsidR="001F0E08" w:rsidRPr="00A41D18" w:rsidRDefault="00325A89" w:rsidP="001F0E08">
            <w:pPr>
              <w:pStyle w:val="Findingssummarylist"/>
              <w:rPr>
                <w:sz w:val="22"/>
                <w:szCs w:val="22"/>
              </w:rPr>
            </w:pPr>
            <w:r w:rsidRPr="00A41D18">
              <w:rPr>
                <w:sz w:val="22"/>
                <w:szCs w:val="22"/>
              </w:rPr>
              <w:t xml:space="preserve">Stakeholder consultations and internal IBA documentation shows that </w:t>
            </w:r>
            <w:r w:rsidR="001F0E08" w:rsidRPr="00A41D18">
              <w:rPr>
                <w:sz w:val="22"/>
                <w:szCs w:val="22"/>
              </w:rPr>
              <w:t xml:space="preserve">IBA endeavours to embed customer voice and stakeholder engagement across the range of services delivered under the BSP. This includes through the engagement of partnerships and business support service consultants primarily from Indigenous businesses, the opportunity for customers to provide feedback </w:t>
            </w:r>
            <w:r w:rsidR="006F4BE9" w:rsidRPr="00A41D18">
              <w:rPr>
                <w:sz w:val="22"/>
                <w:szCs w:val="22"/>
              </w:rPr>
              <w:t xml:space="preserve">through </w:t>
            </w:r>
            <w:r w:rsidR="001F0E08" w:rsidRPr="00A41D18">
              <w:rPr>
                <w:sz w:val="22"/>
                <w:szCs w:val="22"/>
              </w:rPr>
              <w:t xml:space="preserve">an annual customer satisfaction survey, and the recent introduction of a </w:t>
            </w:r>
            <w:r w:rsidR="006F4BE9" w:rsidRPr="00A41D18">
              <w:rPr>
                <w:sz w:val="22"/>
                <w:szCs w:val="22"/>
              </w:rPr>
              <w:t>S</w:t>
            </w:r>
            <w:r w:rsidR="001F0E08" w:rsidRPr="00A41D18">
              <w:rPr>
                <w:sz w:val="22"/>
                <w:szCs w:val="22"/>
              </w:rPr>
              <w:t xml:space="preserve">ocial Impact </w:t>
            </w:r>
            <w:r w:rsidR="006F4BE9" w:rsidRPr="00A41D18">
              <w:rPr>
                <w:sz w:val="22"/>
                <w:szCs w:val="22"/>
              </w:rPr>
              <w:t>S</w:t>
            </w:r>
            <w:r w:rsidR="001F0E08" w:rsidRPr="00A41D18">
              <w:rPr>
                <w:sz w:val="22"/>
                <w:szCs w:val="22"/>
              </w:rPr>
              <w:t>urvey.</w:t>
            </w:r>
          </w:p>
          <w:p w14:paraId="5F5766BF" w14:textId="75349791" w:rsidR="00CF7A03" w:rsidRPr="00A41D18" w:rsidRDefault="006F4BE9" w:rsidP="001F0E08">
            <w:pPr>
              <w:pStyle w:val="Findingssummarylist"/>
              <w:rPr>
                <w:sz w:val="22"/>
                <w:szCs w:val="22"/>
              </w:rPr>
            </w:pPr>
            <w:r w:rsidRPr="00A41D18">
              <w:rPr>
                <w:sz w:val="22"/>
                <w:szCs w:val="22"/>
              </w:rPr>
              <w:t>The BSP</w:t>
            </w:r>
            <w:r w:rsidR="00CF7A03" w:rsidRPr="00A41D18">
              <w:rPr>
                <w:sz w:val="22"/>
                <w:szCs w:val="22"/>
              </w:rPr>
              <w:t xml:space="preserve"> showed capacity to create empowerment, wellbeing</w:t>
            </w:r>
            <w:r w:rsidR="00454428" w:rsidRPr="00A41D18">
              <w:rPr>
                <w:sz w:val="22"/>
                <w:szCs w:val="22"/>
              </w:rPr>
              <w:t>,</w:t>
            </w:r>
            <w:r w:rsidR="00CF7A03" w:rsidRPr="00A41D18">
              <w:rPr>
                <w:sz w:val="22"/>
                <w:szCs w:val="22"/>
              </w:rPr>
              <w:t xml:space="preserve"> and financial resilience for some customers of the program. This was typically contingent upon building sound relationships with </w:t>
            </w:r>
            <w:r w:rsidR="00B577AD" w:rsidRPr="00A41D18">
              <w:rPr>
                <w:sz w:val="22"/>
                <w:szCs w:val="22"/>
              </w:rPr>
              <w:t xml:space="preserve">IBA </w:t>
            </w:r>
            <w:r w:rsidR="00CF7A03" w:rsidRPr="00A41D18">
              <w:rPr>
                <w:sz w:val="22"/>
                <w:szCs w:val="22"/>
              </w:rPr>
              <w:t xml:space="preserve">staff and </w:t>
            </w:r>
            <w:r w:rsidRPr="00A41D18">
              <w:rPr>
                <w:sz w:val="22"/>
                <w:szCs w:val="22"/>
              </w:rPr>
              <w:t xml:space="preserve">receiving </w:t>
            </w:r>
            <w:r w:rsidR="00CF7A03" w:rsidRPr="00A41D18">
              <w:rPr>
                <w:sz w:val="22"/>
                <w:szCs w:val="22"/>
              </w:rPr>
              <w:t>services tailored to the specific needs</w:t>
            </w:r>
            <w:r w:rsidR="00D02059" w:rsidRPr="00A41D18">
              <w:rPr>
                <w:sz w:val="22"/>
                <w:szCs w:val="22"/>
              </w:rPr>
              <w:t xml:space="preserve"> of the business</w:t>
            </w:r>
            <w:r w:rsidR="00CF7A03" w:rsidRPr="00A41D18">
              <w:rPr>
                <w:sz w:val="22"/>
                <w:szCs w:val="22"/>
              </w:rPr>
              <w:t xml:space="preserve">. </w:t>
            </w:r>
            <w:r w:rsidR="00063D5E" w:rsidRPr="00A41D18">
              <w:rPr>
                <w:sz w:val="22"/>
                <w:szCs w:val="22"/>
              </w:rPr>
              <w:t>These relationships were underpinned by respect and collaboration.</w:t>
            </w:r>
          </w:p>
          <w:p w14:paraId="370D898D" w14:textId="51B02176" w:rsidR="00CF7A03" w:rsidRPr="00A41D18" w:rsidRDefault="00CF7A03" w:rsidP="001F0E08">
            <w:pPr>
              <w:pStyle w:val="Findingssummarylist"/>
              <w:rPr>
                <w:sz w:val="22"/>
                <w:szCs w:val="22"/>
              </w:rPr>
            </w:pPr>
            <w:r w:rsidRPr="00A41D18">
              <w:rPr>
                <w:sz w:val="22"/>
                <w:szCs w:val="22"/>
              </w:rPr>
              <w:t>Improvements to program delivery such as increasing responsiveness could improve outcomes.</w:t>
            </w:r>
          </w:p>
          <w:p w14:paraId="1D62C0BD" w14:textId="218AE29C" w:rsidR="00CF7A03" w:rsidRPr="00A41D18" w:rsidRDefault="00CF7A03" w:rsidP="001F0E08">
            <w:pPr>
              <w:pStyle w:val="Findingssummarylist"/>
              <w:rPr>
                <w:sz w:val="22"/>
                <w:szCs w:val="22"/>
              </w:rPr>
            </w:pPr>
            <w:r w:rsidRPr="00A41D18">
              <w:rPr>
                <w:sz w:val="22"/>
                <w:szCs w:val="22"/>
              </w:rPr>
              <w:t>There was no direct evidence of building organisational or community strengths nor flow on impacts to communities</w:t>
            </w:r>
            <w:r w:rsidR="00070766" w:rsidRPr="00A41D18">
              <w:rPr>
                <w:sz w:val="22"/>
                <w:szCs w:val="22"/>
              </w:rPr>
              <w:t>,</w:t>
            </w:r>
            <w:r w:rsidRPr="00A41D18">
              <w:rPr>
                <w:sz w:val="22"/>
                <w:szCs w:val="22"/>
              </w:rPr>
              <w:t xml:space="preserve"> although it </w:t>
            </w:r>
            <w:r w:rsidR="006F4BE9" w:rsidRPr="00A41D18">
              <w:rPr>
                <w:sz w:val="22"/>
                <w:szCs w:val="22"/>
              </w:rPr>
              <w:t xml:space="preserve">is </w:t>
            </w:r>
            <w:r w:rsidRPr="00A41D18">
              <w:rPr>
                <w:sz w:val="22"/>
                <w:szCs w:val="22"/>
              </w:rPr>
              <w:t>plausible</w:t>
            </w:r>
            <w:r w:rsidR="006F4BE9" w:rsidRPr="00A41D18">
              <w:rPr>
                <w:sz w:val="22"/>
                <w:szCs w:val="22"/>
              </w:rPr>
              <w:t xml:space="preserve"> that </w:t>
            </w:r>
            <w:r w:rsidR="00325A89" w:rsidRPr="00A41D18">
              <w:rPr>
                <w:sz w:val="22"/>
                <w:szCs w:val="22"/>
              </w:rPr>
              <w:t xml:space="preserve">by supporting Indigenous businesses grow and mature </w:t>
            </w:r>
            <w:r w:rsidR="006F4BE9" w:rsidRPr="00A41D18">
              <w:rPr>
                <w:sz w:val="22"/>
                <w:szCs w:val="22"/>
              </w:rPr>
              <w:t>these impacts have occurred</w:t>
            </w:r>
            <w:r w:rsidRPr="00A41D18">
              <w:rPr>
                <w:sz w:val="22"/>
                <w:szCs w:val="22"/>
              </w:rPr>
              <w:t>.</w:t>
            </w:r>
          </w:p>
          <w:p w14:paraId="19D8B1C2" w14:textId="0BA78CB0" w:rsidR="00063D5E" w:rsidRPr="00FE73DE" w:rsidRDefault="00070766" w:rsidP="001F0E08">
            <w:pPr>
              <w:pStyle w:val="Findingssummarylist"/>
            </w:pPr>
            <w:r w:rsidRPr="00A41D18">
              <w:rPr>
                <w:sz w:val="22"/>
                <w:szCs w:val="22"/>
              </w:rPr>
              <w:t>At</w:t>
            </w:r>
            <w:r w:rsidR="00CF7A03" w:rsidRPr="00A41D18">
              <w:rPr>
                <w:sz w:val="22"/>
                <w:szCs w:val="22"/>
              </w:rPr>
              <w:t xml:space="preserve"> an organisational level</w:t>
            </w:r>
            <w:r w:rsidRPr="00A41D18">
              <w:rPr>
                <w:sz w:val="22"/>
                <w:szCs w:val="22"/>
              </w:rPr>
              <w:t>,</w:t>
            </w:r>
            <w:r w:rsidR="00CF7A03" w:rsidRPr="00A41D18">
              <w:rPr>
                <w:sz w:val="22"/>
                <w:szCs w:val="22"/>
              </w:rPr>
              <w:t xml:space="preserve"> IBA</w:t>
            </w:r>
            <w:r w:rsidR="008E498D" w:rsidRPr="00A41D18">
              <w:rPr>
                <w:sz w:val="22"/>
                <w:szCs w:val="22"/>
              </w:rPr>
              <w:t xml:space="preserve"> has done significant work on improving its corporate culture. This includes updating </w:t>
            </w:r>
            <w:r w:rsidR="00CF7A03" w:rsidRPr="00A41D18">
              <w:rPr>
                <w:sz w:val="22"/>
                <w:szCs w:val="22"/>
              </w:rPr>
              <w:t xml:space="preserve">policies and procedures to improve its capacity to show cultural respect </w:t>
            </w:r>
            <w:r w:rsidR="008E498D" w:rsidRPr="00A41D18">
              <w:rPr>
                <w:sz w:val="22"/>
                <w:szCs w:val="22"/>
              </w:rPr>
              <w:t xml:space="preserve">and the development of a </w:t>
            </w:r>
            <w:r w:rsidR="00CF7A03" w:rsidRPr="00A41D18">
              <w:rPr>
                <w:sz w:val="22"/>
                <w:szCs w:val="22"/>
              </w:rPr>
              <w:t>cultural capability framework</w:t>
            </w:r>
            <w:r w:rsidR="00D02059" w:rsidRPr="00A41D18">
              <w:rPr>
                <w:sz w:val="22"/>
                <w:szCs w:val="22"/>
              </w:rPr>
              <w:t xml:space="preserve"> for staff</w:t>
            </w:r>
            <w:r w:rsidR="008E498D" w:rsidRPr="00A41D18">
              <w:rPr>
                <w:sz w:val="22"/>
                <w:szCs w:val="22"/>
              </w:rPr>
              <w:t xml:space="preserve"> outlining the essential skills, knowledge and behaviours for engaging with Indigenous customers. </w:t>
            </w:r>
            <w:r w:rsidR="00C361B7" w:rsidRPr="00A41D18">
              <w:rPr>
                <w:sz w:val="22"/>
                <w:szCs w:val="22"/>
              </w:rPr>
              <w:t xml:space="preserve">However, from the </w:t>
            </w:r>
            <w:r w:rsidRPr="00A41D18">
              <w:rPr>
                <w:sz w:val="22"/>
                <w:szCs w:val="22"/>
              </w:rPr>
              <w:t>viewpoint</w:t>
            </w:r>
            <w:r w:rsidR="00C361B7" w:rsidRPr="00A41D18">
              <w:rPr>
                <w:sz w:val="22"/>
                <w:szCs w:val="22"/>
              </w:rPr>
              <w:t xml:space="preserve"> of the BSP</w:t>
            </w:r>
            <w:r w:rsidRPr="00A41D18">
              <w:rPr>
                <w:sz w:val="22"/>
                <w:szCs w:val="22"/>
              </w:rPr>
              <w:t>,</w:t>
            </w:r>
            <w:r w:rsidR="00C361B7" w:rsidRPr="00A41D18">
              <w:rPr>
                <w:sz w:val="22"/>
                <w:szCs w:val="22"/>
              </w:rPr>
              <w:t xml:space="preserve"> there is an opportunity to enhance transparency regarding requirements for cultural competency in service delivery.</w:t>
            </w:r>
            <w:r w:rsidR="00063D5E" w:rsidRPr="00A41D18">
              <w:rPr>
                <w:sz w:val="22"/>
                <w:szCs w:val="22"/>
              </w:rPr>
              <w:t xml:space="preserve"> </w:t>
            </w:r>
          </w:p>
        </w:tc>
      </w:tr>
    </w:tbl>
    <w:p w14:paraId="072AE74E" w14:textId="2F196CAF" w:rsidR="002732E6" w:rsidRPr="00FE73DE" w:rsidRDefault="002732E6" w:rsidP="002732E6"/>
    <w:p w14:paraId="01EF5091" w14:textId="6193EA3C" w:rsidR="00CF7A03" w:rsidRPr="00FE73DE" w:rsidRDefault="00CF7A03" w:rsidP="00757C55">
      <w:pPr>
        <w:pStyle w:val="Heading2"/>
        <w:ind w:hanging="792"/>
      </w:pPr>
      <w:bookmarkStart w:id="126" w:name="_Toc108632484"/>
      <w:bookmarkStart w:id="127" w:name="_Toc109569527"/>
      <w:bookmarkStart w:id="128" w:name="_Toc123734715"/>
      <w:r w:rsidRPr="00FE73DE">
        <w:t xml:space="preserve">Build on </w:t>
      </w:r>
      <w:r w:rsidR="00725F5D" w:rsidRPr="00FE73DE">
        <w:t>s</w:t>
      </w:r>
      <w:r w:rsidRPr="00FE73DE">
        <w:t>trengths to make positive contributions to the lives of Indigenous Australians</w:t>
      </w:r>
      <w:bookmarkEnd w:id="126"/>
      <w:bookmarkEnd w:id="127"/>
      <w:bookmarkEnd w:id="128"/>
    </w:p>
    <w:p w14:paraId="18D43851" w14:textId="5E232E55" w:rsidR="00CF7A03" w:rsidRPr="00FE73DE" w:rsidRDefault="001F0E08" w:rsidP="00CF7A03">
      <w:r>
        <w:t xml:space="preserve">IBA’s statutory purpose </w:t>
      </w:r>
      <w:r w:rsidRPr="00B93F5C">
        <w:t xml:space="preserve">as set out in the ATSI Act is to assist and enhance Aboriginal and Torres Strait Islander self-management and economic self-sufficiency, and to advance the commercial and economic interests of Aboriginal and Torres Strait Islanders. </w:t>
      </w:r>
      <w:r w:rsidR="00CF7A03" w:rsidRPr="00FE73DE">
        <w:t>The program intent, as reflected in key</w:t>
      </w:r>
      <w:r>
        <w:t xml:space="preserve"> policy and corporate</w:t>
      </w:r>
      <w:r w:rsidR="00CF7A03" w:rsidRPr="00FE73DE">
        <w:t xml:space="preserve"> documents</w:t>
      </w:r>
      <w:r>
        <w:t xml:space="preserve"> </w:t>
      </w:r>
      <w:r w:rsidR="00B93F5C">
        <w:t xml:space="preserve">such as </w:t>
      </w:r>
      <w:r>
        <w:t>the IBSS and IBA’s corporate plans and annual reports</w:t>
      </w:r>
      <w:r w:rsidR="00CF7A03" w:rsidRPr="00FE73DE">
        <w:t>, represent</w:t>
      </w:r>
      <w:r>
        <w:t>s</w:t>
      </w:r>
      <w:r w:rsidR="00CF7A03" w:rsidRPr="00FE73DE">
        <w:t xml:space="preserve"> a </w:t>
      </w:r>
      <w:r w:rsidR="00070766" w:rsidRPr="00FE73DE">
        <w:t>strengths-based</w:t>
      </w:r>
      <w:r w:rsidR="00CF7A03" w:rsidRPr="00FE73DE">
        <w:t xml:space="preserve"> approach, including notions of economic independence and growing Indigenous business and capital capability. </w:t>
      </w:r>
      <w:r w:rsidR="00B93F5C">
        <w:t xml:space="preserve">The BSP </w:t>
      </w:r>
      <w:r w:rsidR="00CF7A03" w:rsidRPr="00FE73DE">
        <w:t xml:space="preserve">also </w:t>
      </w:r>
      <w:r w:rsidR="00B93F5C">
        <w:t xml:space="preserve">has </w:t>
      </w:r>
      <w:r w:rsidR="00CF7A03" w:rsidRPr="00FE73DE">
        <w:t>a focus on building knowledge, skills</w:t>
      </w:r>
      <w:r w:rsidR="00070766">
        <w:t>,</w:t>
      </w:r>
      <w:r w:rsidR="00CF7A03" w:rsidRPr="00FE73DE">
        <w:t xml:space="preserve"> and capabilities. </w:t>
      </w:r>
    </w:p>
    <w:p w14:paraId="54F283D8" w14:textId="55000DB0" w:rsidR="00CF7A03" w:rsidRPr="00FE73DE" w:rsidRDefault="00CF7A03" w:rsidP="00CF7A03">
      <w:r w:rsidRPr="00FE73DE">
        <w:t>This was highlighted earlier in the report, particularly under section 5.1 where</w:t>
      </w:r>
      <w:r w:rsidR="00070766">
        <w:t>,</w:t>
      </w:r>
      <w:r w:rsidRPr="00FE73DE">
        <w:t xml:space="preserve"> for example, IBA’s goals for the organisation are built around a strengths-based approach and the </w:t>
      </w:r>
      <w:r w:rsidR="00457F2B" w:rsidRPr="00FE73DE">
        <w:t>alignment of IBA’s business support activity to its purpose and government expectations.</w:t>
      </w:r>
      <w:r w:rsidRPr="00FE73DE">
        <w:t xml:space="preserve"> </w:t>
      </w:r>
      <w:r w:rsidR="00063D5E">
        <w:t>This approach was built on the extensive experience IBA had in delivering the BDAP</w:t>
      </w:r>
      <w:r w:rsidR="00B93F5C">
        <w:t xml:space="preserve"> since 2005</w:t>
      </w:r>
      <w:r w:rsidR="00063D5E">
        <w:t>.</w:t>
      </w:r>
    </w:p>
    <w:p w14:paraId="165D9892" w14:textId="75747AB5" w:rsidR="00457F2B" w:rsidRPr="00FE73DE" w:rsidRDefault="009B32D2" w:rsidP="00457F2B">
      <w:pPr>
        <w:rPr>
          <w:szCs w:val="24"/>
        </w:rPr>
      </w:pPr>
      <w:r w:rsidRPr="00FE73DE">
        <w:rPr>
          <w:szCs w:val="24"/>
        </w:rPr>
        <w:t>Research has shown that p</w:t>
      </w:r>
      <w:r w:rsidR="00457F2B" w:rsidRPr="00FE73DE">
        <w:rPr>
          <w:szCs w:val="24"/>
        </w:rPr>
        <w:t>rogram</w:t>
      </w:r>
      <w:r w:rsidRPr="00FE73DE">
        <w:rPr>
          <w:szCs w:val="24"/>
        </w:rPr>
        <w:t>s</w:t>
      </w:r>
      <w:r w:rsidR="00457F2B" w:rsidRPr="00FE73DE">
        <w:rPr>
          <w:szCs w:val="24"/>
        </w:rPr>
        <w:t xml:space="preserve"> such as </w:t>
      </w:r>
      <w:r w:rsidRPr="00FE73DE">
        <w:rPr>
          <w:szCs w:val="24"/>
        </w:rPr>
        <w:t xml:space="preserve">the </w:t>
      </w:r>
      <w:r w:rsidR="00457F2B" w:rsidRPr="00FE73DE">
        <w:rPr>
          <w:szCs w:val="24"/>
        </w:rPr>
        <w:t xml:space="preserve">BSP which foster business and economic development can empower individuals and communities, through improved social capital, skills and knowledge, </w:t>
      </w:r>
      <w:r w:rsidR="00070766">
        <w:rPr>
          <w:szCs w:val="24"/>
        </w:rPr>
        <w:t xml:space="preserve">and </w:t>
      </w:r>
      <w:r w:rsidR="00457F2B" w:rsidRPr="00FE73DE">
        <w:rPr>
          <w:szCs w:val="24"/>
        </w:rPr>
        <w:t>economic opportunities</w:t>
      </w:r>
      <w:r w:rsidR="00B417C4">
        <w:rPr>
          <w:rStyle w:val="FootnoteReference"/>
          <w:szCs w:val="24"/>
        </w:rPr>
        <w:footnoteReference w:id="56"/>
      </w:r>
      <w:r w:rsidR="00457F2B" w:rsidRPr="00FE73DE">
        <w:rPr>
          <w:szCs w:val="24"/>
        </w:rPr>
        <w:t>. This is particularly the case in remote</w:t>
      </w:r>
      <w:r w:rsidR="00070766">
        <w:rPr>
          <w:szCs w:val="24"/>
        </w:rPr>
        <w:t xml:space="preserve"> and</w:t>
      </w:r>
      <w:r w:rsidR="0036487D" w:rsidRPr="00FE73DE">
        <w:rPr>
          <w:szCs w:val="24"/>
        </w:rPr>
        <w:t xml:space="preserve"> </w:t>
      </w:r>
      <w:r w:rsidR="00457F2B" w:rsidRPr="00FE73DE">
        <w:rPr>
          <w:szCs w:val="24"/>
        </w:rPr>
        <w:t xml:space="preserve">regional areas where such opportunities may not </w:t>
      </w:r>
      <w:r w:rsidR="00070766" w:rsidRPr="00FE73DE">
        <w:rPr>
          <w:szCs w:val="24"/>
        </w:rPr>
        <w:t xml:space="preserve">have </w:t>
      </w:r>
      <w:r w:rsidR="00457F2B" w:rsidRPr="00FE73DE">
        <w:rPr>
          <w:szCs w:val="24"/>
        </w:rPr>
        <w:t>been available previously and there can be economic and social disadvantage despite community assets and strengths.</w:t>
      </w:r>
    </w:p>
    <w:p w14:paraId="1FB2DFD9" w14:textId="698D173E" w:rsidR="00457F2B" w:rsidRPr="00FE73DE" w:rsidRDefault="00457F2B" w:rsidP="00457F2B">
      <w:pPr>
        <w:rPr>
          <w:szCs w:val="24"/>
        </w:rPr>
      </w:pPr>
      <w:r w:rsidRPr="00FE73DE">
        <w:rPr>
          <w:szCs w:val="24"/>
        </w:rPr>
        <w:t xml:space="preserve">In relation to </w:t>
      </w:r>
      <w:r w:rsidR="0036487D" w:rsidRPr="00FE73DE">
        <w:rPr>
          <w:szCs w:val="24"/>
        </w:rPr>
        <w:t>B</w:t>
      </w:r>
      <w:r w:rsidRPr="00FE73DE">
        <w:rPr>
          <w:szCs w:val="24"/>
        </w:rPr>
        <w:t xml:space="preserve">usiness </w:t>
      </w:r>
      <w:r w:rsidR="0036487D" w:rsidRPr="00FE73DE">
        <w:rPr>
          <w:szCs w:val="24"/>
        </w:rPr>
        <w:t>Solutions</w:t>
      </w:r>
      <w:r w:rsidRPr="00FE73DE">
        <w:rPr>
          <w:szCs w:val="24"/>
        </w:rPr>
        <w:t>, the IBA’s first impact report in 2020 provide</w:t>
      </w:r>
      <w:r w:rsidR="00070766">
        <w:rPr>
          <w:szCs w:val="24"/>
        </w:rPr>
        <w:t>d</w:t>
      </w:r>
      <w:r w:rsidRPr="00FE73DE">
        <w:rPr>
          <w:szCs w:val="24"/>
        </w:rPr>
        <w:t xml:space="preserve"> evidence (survey and interview) that the BSP enabled empowerment, financial resilience</w:t>
      </w:r>
      <w:r w:rsidR="00070766">
        <w:rPr>
          <w:szCs w:val="24"/>
        </w:rPr>
        <w:t>,</w:t>
      </w:r>
      <w:r w:rsidRPr="00FE73DE">
        <w:rPr>
          <w:szCs w:val="24"/>
        </w:rPr>
        <w:t xml:space="preserve"> and wellbeing. It also generated personal growth</w:t>
      </w:r>
      <w:r w:rsidR="00070766">
        <w:rPr>
          <w:szCs w:val="24"/>
        </w:rPr>
        <w:t xml:space="preserve"> and improved</w:t>
      </w:r>
      <w:r w:rsidRPr="00FE73DE">
        <w:rPr>
          <w:szCs w:val="24"/>
        </w:rPr>
        <w:t xml:space="preserve"> business skills.</w:t>
      </w:r>
      <w:r w:rsidR="0036487D" w:rsidRPr="00FE73DE">
        <w:rPr>
          <w:rStyle w:val="FootnoteReference"/>
          <w:szCs w:val="24"/>
        </w:rPr>
        <w:footnoteReference w:id="57"/>
      </w:r>
    </w:p>
    <w:p w14:paraId="2C425443" w14:textId="18E04673" w:rsidR="00457F2B" w:rsidRPr="00FE73DE" w:rsidRDefault="00457F2B" w:rsidP="00457F2B">
      <w:pPr>
        <w:rPr>
          <w:szCs w:val="24"/>
        </w:rPr>
      </w:pPr>
      <w:r w:rsidRPr="00FE73DE">
        <w:rPr>
          <w:szCs w:val="24"/>
        </w:rPr>
        <w:t>However, these benefits were only found when</w:t>
      </w:r>
      <w:r w:rsidR="0036487D" w:rsidRPr="00FE73DE">
        <w:rPr>
          <w:szCs w:val="24"/>
        </w:rPr>
        <w:t xml:space="preserve"> IBA </w:t>
      </w:r>
      <w:r w:rsidRPr="00FE73DE">
        <w:rPr>
          <w:szCs w:val="24"/>
        </w:rPr>
        <w:t xml:space="preserve">support was strong, meaning that the service was tailored to the client, responsive, </w:t>
      </w:r>
      <w:r w:rsidR="00070766">
        <w:rPr>
          <w:szCs w:val="24"/>
        </w:rPr>
        <w:t xml:space="preserve">and </w:t>
      </w:r>
      <w:r w:rsidRPr="00FE73DE">
        <w:rPr>
          <w:szCs w:val="24"/>
        </w:rPr>
        <w:t>lacked red-tape and bureaucracy.</w:t>
      </w:r>
      <w:r w:rsidR="0036487D" w:rsidRPr="00FE73DE">
        <w:rPr>
          <w:szCs w:val="24"/>
        </w:rPr>
        <w:t xml:space="preserve"> </w:t>
      </w:r>
      <w:r w:rsidR="00493AC9" w:rsidRPr="00FE73DE">
        <w:rPr>
          <w:szCs w:val="24"/>
        </w:rPr>
        <w:t>The impact report found that both positive and negative impacts on customers primarily relate</w:t>
      </w:r>
      <w:r w:rsidR="00070766">
        <w:rPr>
          <w:szCs w:val="24"/>
        </w:rPr>
        <w:t>d</w:t>
      </w:r>
      <w:r w:rsidR="00493AC9" w:rsidRPr="00FE73DE">
        <w:rPr>
          <w:szCs w:val="24"/>
        </w:rPr>
        <w:t xml:space="preserve"> to the experience a customer ha</w:t>
      </w:r>
      <w:r w:rsidR="00070766">
        <w:rPr>
          <w:szCs w:val="24"/>
        </w:rPr>
        <w:t>d</w:t>
      </w:r>
      <w:r w:rsidR="00493AC9" w:rsidRPr="00FE73DE">
        <w:rPr>
          <w:szCs w:val="24"/>
        </w:rPr>
        <w:t xml:space="preserve"> with IBA staff. Positive experiences </w:t>
      </w:r>
      <w:r w:rsidR="00070766">
        <w:rPr>
          <w:szCs w:val="24"/>
        </w:rPr>
        <w:t>were</w:t>
      </w:r>
      <w:r w:rsidR="00493AC9" w:rsidRPr="00FE73DE">
        <w:rPr>
          <w:szCs w:val="24"/>
        </w:rPr>
        <w:t xml:space="preserve"> driven from a needs-focused approach, whereas negative experiences were more often a result of a products-focused approach. </w:t>
      </w:r>
    </w:p>
    <w:p w14:paraId="07A74C4F" w14:textId="73A941CD" w:rsidR="00457F2B" w:rsidRPr="00FE73DE" w:rsidRDefault="00B77BD5" w:rsidP="00457F2B">
      <w:pPr>
        <w:rPr>
          <w:szCs w:val="24"/>
        </w:rPr>
      </w:pPr>
      <w:r w:rsidRPr="00FE73DE">
        <w:rPr>
          <w:szCs w:val="24"/>
        </w:rPr>
        <w:t>T</w:t>
      </w:r>
      <w:r w:rsidR="00457F2B" w:rsidRPr="00FE73DE">
        <w:rPr>
          <w:szCs w:val="24"/>
        </w:rPr>
        <w:t xml:space="preserve">he findings in this evaluation support these </w:t>
      </w:r>
      <w:r w:rsidRPr="00FE73DE">
        <w:rPr>
          <w:szCs w:val="24"/>
        </w:rPr>
        <w:t xml:space="preserve">broader views </w:t>
      </w:r>
      <w:r w:rsidR="00457F2B" w:rsidRPr="00FE73DE">
        <w:rPr>
          <w:szCs w:val="24"/>
        </w:rPr>
        <w:t xml:space="preserve">that a </w:t>
      </w:r>
      <w:r w:rsidR="00070766" w:rsidRPr="00FE73DE">
        <w:rPr>
          <w:szCs w:val="24"/>
        </w:rPr>
        <w:t>strength-based</w:t>
      </w:r>
      <w:r w:rsidR="00457F2B" w:rsidRPr="00FE73DE">
        <w:rPr>
          <w:szCs w:val="24"/>
        </w:rPr>
        <w:t xml:space="preserve"> approach can be achieved when:</w:t>
      </w:r>
    </w:p>
    <w:p w14:paraId="38272E7E" w14:textId="3583C725" w:rsidR="00457F2B" w:rsidRPr="00FE73DE" w:rsidRDefault="00070766">
      <w:pPr>
        <w:pStyle w:val="ListBullet"/>
      </w:pPr>
      <w:r>
        <w:t>a</w:t>
      </w:r>
      <w:r w:rsidR="00B77BD5" w:rsidRPr="00FE73DE">
        <w:t xml:space="preserve"> p</w:t>
      </w:r>
      <w:r w:rsidR="00457F2B" w:rsidRPr="00FE73DE">
        <w:t xml:space="preserve">rogram is tailored to assess and meet the specific needs of the </w:t>
      </w:r>
      <w:r w:rsidR="00493AC9" w:rsidRPr="00FE73DE">
        <w:t xml:space="preserve">individual </w:t>
      </w:r>
      <w:r w:rsidR="00457F2B" w:rsidRPr="00FE73DE">
        <w:t xml:space="preserve">business, starting with a </w:t>
      </w:r>
      <w:r w:rsidR="00B77BD5" w:rsidRPr="00FE73DE">
        <w:t xml:space="preserve">viable </w:t>
      </w:r>
      <w:r w:rsidR="00457F2B" w:rsidRPr="00FE73DE">
        <w:t>business plan</w:t>
      </w:r>
    </w:p>
    <w:p w14:paraId="522F6FAA" w14:textId="3C421721" w:rsidR="00457F2B" w:rsidRPr="00FE73DE" w:rsidRDefault="00070766">
      <w:pPr>
        <w:pStyle w:val="ListBullet"/>
      </w:pPr>
      <w:r>
        <w:t>a</w:t>
      </w:r>
      <w:r w:rsidR="00B77BD5" w:rsidRPr="00FE73DE">
        <w:t xml:space="preserve"> p</w:t>
      </w:r>
      <w:r w:rsidR="00457F2B" w:rsidRPr="00FE73DE">
        <w:t>rogram has a strong networking and building social capital element</w:t>
      </w:r>
    </w:p>
    <w:p w14:paraId="00DBA913" w14:textId="10271487" w:rsidR="00457F2B" w:rsidRPr="00FE73DE" w:rsidRDefault="00070766">
      <w:pPr>
        <w:pStyle w:val="ListBullet"/>
      </w:pPr>
      <w:r>
        <w:t>h</w:t>
      </w:r>
      <w:r w:rsidR="00457F2B" w:rsidRPr="00FE73DE">
        <w:t xml:space="preserve">igh focus </w:t>
      </w:r>
      <w:r w:rsidR="00B77BD5" w:rsidRPr="00FE73DE">
        <w:t xml:space="preserve">is </w:t>
      </w:r>
      <w:r w:rsidR="00457F2B" w:rsidRPr="00FE73DE">
        <w:t>on early stage support to compensate for barriers to entry of Indigenous businesses</w:t>
      </w:r>
    </w:p>
    <w:p w14:paraId="05F1E8FD" w14:textId="53ABF8DF" w:rsidR="00457F2B" w:rsidRPr="00FE73DE" w:rsidRDefault="00070766">
      <w:pPr>
        <w:pStyle w:val="ListBullet"/>
      </w:pPr>
      <w:r>
        <w:t>s</w:t>
      </w:r>
      <w:r w:rsidR="00457F2B" w:rsidRPr="00FE73DE">
        <w:t>kills and capacity building is integral</w:t>
      </w:r>
      <w:r>
        <w:t>,</w:t>
      </w:r>
      <w:r w:rsidR="00457F2B" w:rsidRPr="00FE73DE">
        <w:t xml:space="preserve"> including foundational skills but also specific industry expertise.</w:t>
      </w:r>
    </w:p>
    <w:p w14:paraId="46EE1BFA" w14:textId="3264C253" w:rsidR="00457F2B" w:rsidRPr="00FE73DE" w:rsidRDefault="00457F2B" w:rsidP="00757C55">
      <w:pPr>
        <w:pStyle w:val="Heading2"/>
        <w:ind w:hanging="792"/>
      </w:pPr>
      <w:bookmarkStart w:id="129" w:name="_Toc108632485"/>
      <w:bookmarkStart w:id="130" w:name="_Toc109569528"/>
      <w:bookmarkStart w:id="131" w:name="_Toc123734716"/>
      <w:r w:rsidRPr="00FE73DE">
        <w:t xml:space="preserve">Programs </w:t>
      </w:r>
      <w:r w:rsidR="00B77BD5" w:rsidRPr="00FE73DE">
        <w:t>d</w:t>
      </w:r>
      <w:r w:rsidRPr="00FE73DE">
        <w:t>esigned and delivered in collaboration</w:t>
      </w:r>
      <w:bookmarkEnd w:id="129"/>
      <w:bookmarkEnd w:id="130"/>
      <w:bookmarkEnd w:id="131"/>
    </w:p>
    <w:p w14:paraId="37B4328B" w14:textId="723F5E29" w:rsidR="00457F2B" w:rsidRPr="00FE73DE" w:rsidRDefault="00457F2B">
      <w:pPr>
        <w:pStyle w:val="Heading3"/>
      </w:pPr>
      <w:r w:rsidRPr="00FE73DE">
        <w:t xml:space="preserve">Program </w:t>
      </w:r>
      <w:r w:rsidR="003C5F8C" w:rsidRPr="00FE73DE">
        <w:t>d</w:t>
      </w:r>
      <w:r w:rsidRPr="00FE73DE">
        <w:t>esign</w:t>
      </w:r>
    </w:p>
    <w:p w14:paraId="07086A04" w14:textId="1E107A84" w:rsidR="00457F2B" w:rsidRPr="00FE73DE" w:rsidRDefault="00457F2B" w:rsidP="00B77BD5">
      <w:r w:rsidRPr="00FE73DE">
        <w:rPr>
          <w:szCs w:val="24"/>
        </w:rPr>
        <w:t>The BSP was highlighted as a key approach of the I</w:t>
      </w:r>
      <w:r w:rsidR="00B77BD5" w:rsidRPr="00FE73DE">
        <w:rPr>
          <w:szCs w:val="24"/>
        </w:rPr>
        <w:t>BSS with</w:t>
      </w:r>
      <w:r w:rsidRPr="00FE73DE">
        <w:t xml:space="preserve"> IBA to support start-ups and entrepreneurs that are outside of the commercial lending/banks’ risk profile but who with one-on-one support and tailored finance can succeed</w:t>
      </w:r>
      <w:r w:rsidR="00B77BD5" w:rsidRPr="00FE73DE">
        <w:t>.</w:t>
      </w:r>
      <w:r w:rsidRPr="00FE73DE">
        <w:t xml:space="preserve"> </w:t>
      </w:r>
    </w:p>
    <w:p w14:paraId="3B1327A8" w14:textId="135066A7" w:rsidR="00457F2B" w:rsidRPr="00FE73DE" w:rsidRDefault="00457F2B" w:rsidP="00457F2B">
      <w:pPr>
        <w:rPr>
          <w:szCs w:val="24"/>
        </w:rPr>
      </w:pPr>
      <w:r w:rsidRPr="00FE73DE">
        <w:rPr>
          <w:szCs w:val="24"/>
        </w:rPr>
        <w:t>The IBSS</w:t>
      </w:r>
      <w:r w:rsidR="00B77BD5" w:rsidRPr="00FE73DE">
        <w:rPr>
          <w:szCs w:val="24"/>
        </w:rPr>
        <w:t>,</w:t>
      </w:r>
      <w:r w:rsidRPr="00FE73DE">
        <w:rPr>
          <w:szCs w:val="24"/>
        </w:rPr>
        <w:t xml:space="preserve"> including the policy intent for the BSP</w:t>
      </w:r>
      <w:r w:rsidR="00B77BD5" w:rsidRPr="00FE73DE">
        <w:rPr>
          <w:szCs w:val="24"/>
        </w:rPr>
        <w:t>,</w:t>
      </w:r>
      <w:r w:rsidRPr="00FE73DE">
        <w:rPr>
          <w:szCs w:val="24"/>
        </w:rPr>
        <w:t xml:space="preserve"> were developed after significant consultation. It was recognised that building the Indigenous sector as a whole required supporting new businesses and entrepreneurs through </w:t>
      </w:r>
      <w:r w:rsidR="00493AC9" w:rsidRPr="00FE73DE">
        <w:rPr>
          <w:szCs w:val="24"/>
        </w:rPr>
        <w:t>one-on-one</w:t>
      </w:r>
      <w:r w:rsidRPr="00FE73DE">
        <w:rPr>
          <w:szCs w:val="24"/>
        </w:rPr>
        <w:t xml:space="preserve"> support and tailored finance. This intent has been carried through into current program approaches aligning with IAS grant funding directions to have a renewed focus on early </w:t>
      </w:r>
      <w:r w:rsidR="00493AC9" w:rsidRPr="00FE73DE">
        <w:rPr>
          <w:szCs w:val="24"/>
        </w:rPr>
        <w:t>stage</w:t>
      </w:r>
      <w:r w:rsidR="00070766">
        <w:rPr>
          <w:szCs w:val="24"/>
        </w:rPr>
        <w:t>,</w:t>
      </w:r>
      <w:r w:rsidR="00493AC9" w:rsidRPr="00FE73DE">
        <w:rPr>
          <w:szCs w:val="24"/>
        </w:rPr>
        <w:t xml:space="preserve"> pre-</w:t>
      </w:r>
      <w:r w:rsidRPr="00FE73DE">
        <w:rPr>
          <w:szCs w:val="24"/>
        </w:rPr>
        <w:t>bank</w:t>
      </w:r>
      <w:r w:rsidR="00070766">
        <w:rPr>
          <w:szCs w:val="24"/>
        </w:rPr>
        <w:t>,</w:t>
      </w:r>
      <w:r w:rsidRPr="00FE73DE">
        <w:rPr>
          <w:szCs w:val="24"/>
        </w:rPr>
        <w:t xml:space="preserve"> and high risk customers.</w:t>
      </w:r>
    </w:p>
    <w:p w14:paraId="7D4A5179" w14:textId="18261A59" w:rsidR="00BF3AF2" w:rsidRPr="00FE73DE" w:rsidRDefault="00457F2B" w:rsidP="00457F2B">
      <w:pPr>
        <w:rPr>
          <w:szCs w:val="24"/>
        </w:rPr>
      </w:pPr>
      <w:r w:rsidRPr="00FE73DE">
        <w:rPr>
          <w:szCs w:val="24"/>
        </w:rPr>
        <w:t>However, the BSP itself</w:t>
      </w:r>
      <w:r w:rsidR="00070766">
        <w:rPr>
          <w:szCs w:val="24"/>
        </w:rPr>
        <w:t>,</w:t>
      </w:r>
      <w:r w:rsidRPr="00FE73DE">
        <w:rPr>
          <w:szCs w:val="24"/>
        </w:rPr>
        <w:t xml:space="preserve"> including the recent design and implementation</w:t>
      </w:r>
      <w:r w:rsidR="00425A65">
        <w:rPr>
          <w:szCs w:val="24"/>
        </w:rPr>
        <w:t>,</w:t>
      </w:r>
      <w:r w:rsidRPr="00FE73DE">
        <w:rPr>
          <w:szCs w:val="24"/>
        </w:rPr>
        <w:t xml:space="preserve"> ha</w:t>
      </w:r>
      <w:r w:rsidR="00425A65">
        <w:rPr>
          <w:szCs w:val="24"/>
        </w:rPr>
        <w:t>d</w:t>
      </w:r>
      <w:r w:rsidRPr="00FE73DE">
        <w:rPr>
          <w:szCs w:val="24"/>
        </w:rPr>
        <w:t xml:space="preserve"> not been through a process of stakeholder consultation, rather many elements grew out of the former B</w:t>
      </w:r>
      <w:r w:rsidR="00396C02" w:rsidRPr="00FE73DE">
        <w:rPr>
          <w:szCs w:val="24"/>
        </w:rPr>
        <w:t>DAP</w:t>
      </w:r>
      <w:r w:rsidRPr="00FE73DE">
        <w:rPr>
          <w:szCs w:val="24"/>
        </w:rPr>
        <w:t>.</w:t>
      </w:r>
    </w:p>
    <w:p w14:paraId="61754FB3" w14:textId="6342D6F0" w:rsidR="00457F2B" w:rsidRPr="00FE73DE" w:rsidRDefault="00457F2B">
      <w:pPr>
        <w:pStyle w:val="Heading3"/>
      </w:pPr>
      <w:r w:rsidRPr="00FE73DE">
        <w:t xml:space="preserve">Program </w:t>
      </w:r>
      <w:r w:rsidR="003C5F8C" w:rsidRPr="00FE73DE">
        <w:t>d</w:t>
      </w:r>
      <w:r w:rsidRPr="00FE73DE">
        <w:t>elivery</w:t>
      </w:r>
    </w:p>
    <w:p w14:paraId="4007ACFB" w14:textId="7051D8A2" w:rsidR="00EF3CA1" w:rsidRDefault="00EF3CA1" w:rsidP="0069583E">
      <w:r>
        <w:rPr>
          <w:szCs w:val="24"/>
        </w:rPr>
        <w:t>The BSP</w:t>
      </w:r>
      <w:r w:rsidR="00E07EB2">
        <w:rPr>
          <w:szCs w:val="24"/>
        </w:rPr>
        <w:t>,</w:t>
      </w:r>
      <w:r>
        <w:rPr>
          <w:szCs w:val="24"/>
        </w:rPr>
        <w:t xml:space="preserve"> similar to other IAS grants, tracks the level of Indigenous employment as a KPI.</w:t>
      </w:r>
      <w:r w:rsidR="00E07EB2">
        <w:rPr>
          <w:szCs w:val="24"/>
        </w:rPr>
        <w:t xml:space="preserve"> </w:t>
      </w:r>
      <w:r w:rsidR="00E07EB2" w:rsidRPr="00FE73DE">
        <w:t xml:space="preserve">It is appropriate that no specific employment targets are presented </w:t>
      </w:r>
      <w:r w:rsidR="00E07EB2">
        <w:t>because</w:t>
      </w:r>
      <w:r w:rsidR="00E07EB2" w:rsidRPr="00FE73DE">
        <w:t xml:space="preserve"> while the support of Indigenous businesses has a flow-on impact to increasing Indigenous employment, the BSP is not an employment program.</w:t>
      </w:r>
      <w:r w:rsidR="00E07EB2" w:rsidRPr="00E07EB2">
        <w:rPr>
          <w:szCs w:val="24"/>
        </w:rPr>
        <w:t xml:space="preserve"> </w:t>
      </w:r>
      <w:r w:rsidR="00E07EB2">
        <w:rPr>
          <w:szCs w:val="24"/>
        </w:rPr>
        <w:t>The reported proportion of Indigenous employment involved in the BSP has increased from 30% in 2017-18 to 35% in 2021.</w:t>
      </w:r>
    </w:p>
    <w:p w14:paraId="6CB70069" w14:textId="531010B5" w:rsidR="001B0278" w:rsidRDefault="001B0278" w:rsidP="001B0278">
      <w:r>
        <w:t xml:space="preserve">Since the interim grant arrangement was entered into in 2016-17, a number of specific program delivery initiatives have been introduced in response to the identification of an emergent need. </w:t>
      </w:r>
      <w:r w:rsidR="00B01F8F">
        <w:t>These i</w:t>
      </w:r>
      <w:r w:rsidR="00B01F8F" w:rsidRPr="00FE73DE">
        <w:t xml:space="preserve">nitiatives </w:t>
      </w:r>
      <w:r w:rsidR="00B01F8F">
        <w:t>were often</w:t>
      </w:r>
      <w:r w:rsidR="00B01F8F" w:rsidRPr="00FE73DE">
        <w:t xml:space="preserve"> designed and delivered in collaboration. </w:t>
      </w:r>
      <w:r>
        <w:t>For example, in the 2017 agreement new indicators related to collaborative partnerships with third parties was added, as was increasing participation of Aboriginal and Torres Strait Islander women in business. This included IBA organising a conference on getting Indigenous women into business, and the formation of a Facebook networking group ‘Strong Women, Strong Business’. IBA Alumni and Ambassadors (past BSP customers and network members) champion this initiative to enhance ‘business on country’ and to grow the Strong Women, Strong Business network.</w:t>
      </w:r>
    </w:p>
    <w:p w14:paraId="7469C912" w14:textId="77309922" w:rsidR="00457F2B" w:rsidRPr="00FE73DE" w:rsidRDefault="00457F2B" w:rsidP="00757C55">
      <w:pPr>
        <w:pStyle w:val="Heading2"/>
        <w:ind w:hanging="792"/>
      </w:pPr>
      <w:bookmarkStart w:id="132" w:name="_Toc108632486"/>
      <w:bookmarkStart w:id="133" w:name="_Toc109569529"/>
      <w:bookmarkStart w:id="134" w:name="_Toc123734717"/>
      <w:r w:rsidRPr="00FE73DE">
        <w:t xml:space="preserve">Demonstrate </w:t>
      </w:r>
      <w:r w:rsidR="001B07F7" w:rsidRPr="00FE73DE">
        <w:t>c</w:t>
      </w:r>
      <w:r w:rsidRPr="00FE73DE">
        <w:t xml:space="preserve">ultural </w:t>
      </w:r>
      <w:r w:rsidR="001B07F7" w:rsidRPr="00FE73DE">
        <w:t>r</w:t>
      </w:r>
      <w:r w:rsidRPr="00FE73DE">
        <w:t>espect toward Indigenous Australians</w:t>
      </w:r>
      <w:bookmarkEnd w:id="132"/>
      <w:bookmarkEnd w:id="133"/>
      <w:bookmarkEnd w:id="134"/>
    </w:p>
    <w:p w14:paraId="19539DAB" w14:textId="6300EA87" w:rsidR="00457F2B" w:rsidRPr="00FE73DE" w:rsidRDefault="00457F2B">
      <w:pPr>
        <w:pStyle w:val="Heading3"/>
      </w:pPr>
      <w:bookmarkStart w:id="135" w:name="_Toc108632487"/>
      <w:bookmarkStart w:id="136" w:name="_Toc109569530"/>
      <w:r w:rsidRPr="00FE73DE">
        <w:t xml:space="preserve">IBA </w:t>
      </w:r>
      <w:r w:rsidR="00F802DD" w:rsidRPr="00FE73DE">
        <w:t>c</w:t>
      </w:r>
      <w:r w:rsidRPr="00FE73DE">
        <w:t xml:space="preserve">ultural </w:t>
      </w:r>
      <w:r w:rsidR="00F802DD" w:rsidRPr="00FE73DE">
        <w:t>a</w:t>
      </w:r>
      <w:r w:rsidRPr="00FE73DE">
        <w:t>pproaches</w:t>
      </w:r>
      <w:bookmarkEnd w:id="135"/>
      <w:bookmarkEnd w:id="136"/>
    </w:p>
    <w:p w14:paraId="1B593ADF" w14:textId="222FF16A" w:rsidR="00420724" w:rsidRPr="00406D92" w:rsidRDefault="00420724" w:rsidP="00420724">
      <w:r w:rsidRPr="00406D92">
        <w:t xml:space="preserve">IBA’s inaugural </w:t>
      </w:r>
      <w:r w:rsidRPr="00FE73DE">
        <w:rPr>
          <w:szCs w:val="24"/>
        </w:rPr>
        <w:t>Reconciliation Action Plan</w:t>
      </w:r>
      <w:r w:rsidRPr="00406D92">
        <w:t xml:space="preserve"> </w:t>
      </w:r>
      <w:r>
        <w:t>(</w:t>
      </w:r>
      <w:r w:rsidRPr="00406D92">
        <w:t>RAP</w:t>
      </w:r>
      <w:r>
        <w:t>)</w:t>
      </w:r>
      <w:r w:rsidRPr="00406D92">
        <w:t xml:space="preserve"> was developed</w:t>
      </w:r>
      <w:r>
        <w:t xml:space="preserve"> </w:t>
      </w:r>
      <w:r w:rsidRPr="00406D92">
        <w:t>in 2007 and refreshed in 2010, 2012</w:t>
      </w:r>
      <w:r>
        <w:t xml:space="preserve"> </w:t>
      </w:r>
      <w:r w:rsidRPr="00406D92">
        <w:t xml:space="preserve">and 2013. </w:t>
      </w:r>
      <w:r>
        <w:t xml:space="preserve">The 2014-16 </w:t>
      </w:r>
      <w:r w:rsidRPr="00406D92">
        <w:t>RAP was</w:t>
      </w:r>
      <w:r>
        <w:t xml:space="preserve"> </w:t>
      </w:r>
      <w:r w:rsidRPr="00406D92">
        <w:t>developed by IBA’s Reconciliation</w:t>
      </w:r>
      <w:r>
        <w:t xml:space="preserve"> </w:t>
      </w:r>
      <w:r w:rsidRPr="00406D92">
        <w:t>Action Plan Working Group, which</w:t>
      </w:r>
      <w:r>
        <w:t xml:space="preserve"> </w:t>
      </w:r>
      <w:r w:rsidRPr="00406D92">
        <w:t>comprise</w:t>
      </w:r>
      <w:r>
        <w:t>d</w:t>
      </w:r>
      <w:r w:rsidRPr="00406D92">
        <w:t xml:space="preserve"> representatives from</w:t>
      </w:r>
      <w:r>
        <w:t xml:space="preserve"> </w:t>
      </w:r>
      <w:r w:rsidRPr="00406D92">
        <w:t>different business areas and include</w:t>
      </w:r>
      <w:r>
        <w:t xml:space="preserve">d </w:t>
      </w:r>
      <w:r w:rsidRPr="00406D92">
        <w:t>both Aboriginal and Torres Strait</w:t>
      </w:r>
      <w:r>
        <w:t xml:space="preserve"> </w:t>
      </w:r>
      <w:r w:rsidRPr="00406D92">
        <w:t>Islander and non-Indigenous staff</w:t>
      </w:r>
      <w:r>
        <w:t xml:space="preserve"> </w:t>
      </w:r>
      <w:r w:rsidRPr="00406D92">
        <w:t xml:space="preserve">members. </w:t>
      </w:r>
      <w:r>
        <w:t xml:space="preserve">The development of the 2014-16 RAP took </w:t>
      </w:r>
      <w:r w:rsidRPr="00406D92">
        <w:t>into account the</w:t>
      </w:r>
      <w:r>
        <w:t xml:space="preserve"> </w:t>
      </w:r>
      <w:r w:rsidRPr="00406D92">
        <w:t xml:space="preserve">lessons learnt </w:t>
      </w:r>
      <w:r>
        <w:t xml:space="preserve">from </w:t>
      </w:r>
      <w:r w:rsidRPr="00406D92">
        <w:t>implementing</w:t>
      </w:r>
      <w:r>
        <w:t xml:space="preserve"> </w:t>
      </w:r>
      <w:r w:rsidRPr="00406D92">
        <w:t xml:space="preserve">previous RAPs, </w:t>
      </w:r>
      <w:r>
        <w:t xml:space="preserve">IBA’s </w:t>
      </w:r>
      <w:r w:rsidRPr="00406D92">
        <w:t>experience and</w:t>
      </w:r>
      <w:r>
        <w:t xml:space="preserve"> </w:t>
      </w:r>
      <w:r w:rsidRPr="00406D92">
        <w:t xml:space="preserve">achievements to date, the views of </w:t>
      </w:r>
      <w:r>
        <w:t xml:space="preserve">IBA </w:t>
      </w:r>
      <w:r w:rsidRPr="00406D92">
        <w:t xml:space="preserve">customers and stakeholders, and </w:t>
      </w:r>
      <w:r>
        <w:t xml:space="preserve">IBA’s </w:t>
      </w:r>
      <w:r w:rsidRPr="00406D92">
        <w:t>plans for the future.</w:t>
      </w:r>
    </w:p>
    <w:p w14:paraId="61677E8E" w14:textId="28B988A0" w:rsidR="00420724" w:rsidRDefault="00420724" w:rsidP="00420724">
      <w:r>
        <w:t xml:space="preserve">The 2014-16 RAP stated that </w:t>
      </w:r>
      <w:r w:rsidRPr="00406D92">
        <w:t xml:space="preserve">IBA’s core functions </w:t>
      </w:r>
      <w:r>
        <w:t xml:space="preserve">were </w:t>
      </w:r>
      <w:r w:rsidRPr="00406D92">
        <w:t>already</w:t>
      </w:r>
      <w:r>
        <w:t xml:space="preserve"> </w:t>
      </w:r>
      <w:r w:rsidRPr="00406D92">
        <w:t>centred on Aboriginal and Torres Strait</w:t>
      </w:r>
      <w:r>
        <w:t xml:space="preserve"> </w:t>
      </w:r>
      <w:r w:rsidRPr="00406D92">
        <w:t xml:space="preserve">Islander people, </w:t>
      </w:r>
      <w:r>
        <w:t xml:space="preserve">and the </w:t>
      </w:r>
      <w:r w:rsidRPr="00406D92">
        <w:t>focus for the 2014</w:t>
      </w:r>
      <w:r>
        <w:t xml:space="preserve">-16 </w:t>
      </w:r>
      <w:r w:rsidRPr="00406D92">
        <w:t xml:space="preserve">RAP </w:t>
      </w:r>
      <w:r>
        <w:t xml:space="preserve">was </w:t>
      </w:r>
      <w:r w:rsidRPr="00406D92">
        <w:t xml:space="preserve">to explore how </w:t>
      </w:r>
      <w:r>
        <w:t xml:space="preserve">IBA could </w:t>
      </w:r>
      <w:r w:rsidRPr="00406D92">
        <w:t>move</w:t>
      </w:r>
      <w:r>
        <w:t xml:space="preserve"> </w:t>
      </w:r>
      <w:r w:rsidRPr="00406D92">
        <w:t>beyond ‘business as usual’.</w:t>
      </w:r>
    </w:p>
    <w:p w14:paraId="35BFB204" w14:textId="1903CB7E" w:rsidR="00457F2B" w:rsidRPr="00FE73DE" w:rsidRDefault="00420724" w:rsidP="00420724">
      <w:r>
        <w:rPr>
          <w:szCs w:val="24"/>
        </w:rPr>
        <w:t xml:space="preserve">Since that time, and building on this earlier work, </w:t>
      </w:r>
      <w:r w:rsidR="00457F2B" w:rsidRPr="00FE73DE">
        <w:rPr>
          <w:szCs w:val="24"/>
        </w:rPr>
        <w:t xml:space="preserve">IBA has developed a number of tools and processes to build capacity for cultural respect. </w:t>
      </w:r>
      <w:r w:rsidR="00457F2B" w:rsidRPr="00FE73DE">
        <w:t>In 2016 IBA made a conscious decision to move away from the RAP program and focus on employment and procurement outcomes</w:t>
      </w:r>
      <w:r>
        <w:t xml:space="preserve"> across the organisation</w:t>
      </w:r>
      <w:r w:rsidR="00457F2B" w:rsidRPr="00FE73DE">
        <w:t>. Key initiatives that IBA progressed since the 2016 RAP included embedding cultural capability</w:t>
      </w:r>
      <w:r>
        <w:t xml:space="preserve"> across all staff</w:t>
      </w:r>
      <w:r w:rsidR="00457F2B" w:rsidRPr="00FE73DE">
        <w:t xml:space="preserve">, </w:t>
      </w:r>
      <w:r>
        <w:t xml:space="preserve">the </w:t>
      </w:r>
      <w:r w:rsidR="00457F2B" w:rsidRPr="00FE73DE">
        <w:t>introduction strategies to enhance Indigenous employment and procurement outcomes through service delivery, and embedding IBA’s key value of Respect across the organisation. The value of Respect is embedded through IBA’s policies including recruitment, performance</w:t>
      </w:r>
      <w:r w:rsidR="009211E1">
        <w:t>,</w:t>
      </w:r>
      <w:r w:rsidR="00457F2B" w:rsidRPr="00FE73DE">
        <w:t xml:space="preserve"> and recognition and rewards.</w:t>
      </w:r>
      <w:r w:rsidR="009211E1" w:rsidRPr="009211E1">
        <w:rPr>
          <w:szCs w:val="24"/>
        </w:rPr>
        <w:t xml:space="preserve"> </w:t>
      </w:r>
    </w:p>
    <w:p w14:paraId="6C4404F9" w14:textId="23BF7CCC" w:rsidR="00457F2B" w:rsidRPr="00FE73DE" w:rsidRDefault="00457F2B" w:rsidP="00457F2B">
      <w:pPr>
        <w:rPr>
          <w:szCs w:val="24"/>
        </w:rPr>
      </w:pPr>
      <w:r w:rsidRPr="00FE73DE">
        <w:rPr>
          <w:szCs w:val="24"/>
        </w:rPr>
        <w:t>IBA’s ‘Cultural Capability’ framework outline</w:t>
      </w:r>
      <w:r w:rsidR="00420724">
        <w:rPr>
          <w:szCs w:val="24"/>
        </w:rPr>
        <w:t>s</w:t>
      </w:r>
      <w:r w:rsidRPr="00FE73DE">
        <w:rPr>
          <w:szCs w:val="24"/>
        </w:rPr>
        <w:t xml:space="preserve"> the essential capabilities (skills, knowledge</w:t>
      </w:r>
      <w:r w:rsidR="009211E1">
        <w:rPr>
          <w:szCs w:val="24"/>
        </w:rPr>
        <w:t>,</w:t>
      </w:r>
      <w:r w:rsidRPr="00FE73DE">
        <w:rPr>
          <w:szCs w:val="24"/>
        </w:rPr>
        <w:t xml:space="preserve"> and behaviours) staff seek to present when engaging with Aboriginal and Torres Strait Islander customers. This include</w:t>
      </w:r>
      <w:r w:rsidR="00420724">
        <w:rPr>
          <w:szCs w:val="24"/>
        </w:rPr>
        <w:t>s</w:t>
      </w:r>
      <w:r w:rsidRPr="00FE73DE">
        <w:rPr>
          <w:szCs w:val="24"/>
        </w:rPr>
        <w:t xml:space="preserve"> cultural capability training of staff, cultural immersion opportunities, the establishment of the Galambany Indigenous Staff network within IBA, The Diversity Council membership and Champion, and use of Indigenous training providers, among other activities.  </w:t>
      </w:r>
    </w:p>
    <w:p w14:paraId="24024EAF" w14:textId="5D99F8F4" w:rsidR="00457F2B" w:rsidRPr="00FE73DE" w:rsidRDefault="00457F2B">
      <w:pPr>
        <w:pStyle w:val="Heading3"/>
      </w:pPr>
      <w:bookmarkStart w:id="137" w:name="_Toc108632488"/>
      <w:bookmarkStart w:id="138" w:name="_Toc109569531"/>
      <w:r w:rsidRPr="00FE73DE">
        <w:t xml:space="preserve">BSP </w:t>
      </w:r>
      <w:r w:rsidR="00F802DD" w:rsidRPr="00FE73DE">
        <w:t>delivery a</w:t>
      </w:r>
      <w:r w:rsidRPr="00FE73DE">
        <w:t>pproaches</w:t>
      </w:r>
      <w:bookmarkEnd w:id="137"/>
      <w:bookmarkEnd w:id="138"/>
      <w:r w:rsidRPr="00FE73DE">
        <w:t xml:space="preserve"> </w:t>
      </w:r>
    </w:p>
    <w:p w14:paraId="07915BB5" w14:textId="000AB3AB" w:rsidR="00457F2B" w:rsidRPr="00FE73DE" w:rsidRDefault="00EF3CA1" w:rsidP="00457F2B">
      <w:pPr>
        <w:rPr>
          <w:szCs w:val="24"/>
        </w:rPr>
      </w:pPr>
      <w:r>
        <w:rPr>
          <w:szCs w:val="24"/>
        </w:rPr>
        <w:t>S</w:t>
      </w:r>
      <w:r w:rsidR="00DF4A03" w:rsidRPr="00FE73DE">
        <w:rPr>
          <w:szCs w:val="24"/>
        </w:rPr>
        <w:t xml:space="preserve">ome </w:t>
      </w:r>
      <w:r w:rsidR="00457F2B" w:rsidRPr="00FE73DE">
        <w:rPr>
          <w:szCs w:val="24"/>
        </w:rPr>
        <w:t>10% of participants identif</w:t>
      </w:r>
      <w:r w:rsidR="00DF4A03" w:rsidRPr="00FE73DE">
        <w:rPr>
          <w:szCs w:val="24"/>
        </w:rPr>
        <w:t>ied</w:t>
      </w:r>
      <w:r w:rsidR="00457F2B" w:rsidRPr="00FE73DE">
        <w:rPr>
          <w:szCs w:val="24"/>
        </w:rPr>
        <w:t xml:space="preserve"> the </w:t>
      </w:r>
      <w:r w:rsidR="00DF4A03" w:rsidRPr="00FE73DE">
        <w:rPr>
          <w:szCs w:val="24"/>
        </w:rPr>
        <w:t xml:space="preserve">program </w:t>
      </w:r>
      <w:r w:rsidR="00AE62C2">
        <w:rPr>
          <w:szCs w:val="24"/>
        </w:rPr>
        <w:t>was</w:t>
      </w:r>
      <w:r w:rsidR="00DF4A03" w:rsidRPr="00FE73DE">
        <w:rPr>
          <w:szCs w:val="24"/>
        </w:rPr>
        <w:t xml:space="preserve"> </w:t>
      </w:r>
      <w:r w:rsidR="00457F2B" w:rsidRPr="00FE73DE">
        <w:rPr>
          <w:szCs w:val="24"/>
        </w:rPr>
        <w:t>delivered in a culturally sensitive way</w:t>
      </w:r>
      <w:r w:rsidR="00E00527">
        <w:rPr>
          <w:szCs w:val="24"/>
        </w:rPr>
        <w:t xml:space="preserve"> with no issues with cultural competency identified</w:t>
      </w:r>
      <w:r w:rsidR="00457F2B" w:rsidRPr="00FE73DE">
        <w:rPr>
          <w:szCs w:val="24"/>
        </w:rPr>
        <w:t>.</w:t>
      </w:r>
      <w:r w:rsidR="00AB341D" w:rsidRPr="00FE73DE">
        <w:rPr>
          <w:szCs w:val="24"/>
        </w:rPr>
        <w:t xml:space="preserve"> </w:t>
      </w:r>
    </w:p>
    <w:p w14:paraId="5B76FEAC" w14:textId="1EC57EE8" w:rsidR="0043686C" w:rsidRPr="00FE73DE" w:rsidRDefault="00457F2B" w:rsidP="00457F2B">
      <w:pPr>
        <w:rPr>
          <w:szCs w:val="24"/>
        </w:rPr>
      </w:pPr>
      <w:r w:rsidRPr="00FE73DE">
        <w:rPr>
          <w:szCs w:val="24"/>
        </w:rPr>
        <w:t xml:space="preserve">However, as outlined in </w:t>
      </w:r>
      <w:r w:rsidR="0043686C" w:rsidRPr="00FE73DE">
        <w:rPr>
          <w:szCs w:val="24"/>
        </w:rPr>
        <w:t>s</w:t>
      </w:r>
      <w:r w:rsidRPr="00FE73DE">
        <w:rPr>
          <w:szCs w:val="24"/>
        </w:rPr>
        <w:t xml:space="preserve">ection </w:t>
      </w:r>
      <w:r w:rsidR="0043686C" w:rsidRPr="00FE73DE">
        <w:rPr>
          <w:szCs w:val="24"/>
        </w:rPr>
        <w:t>6.1.3</w:t>
      </w:r>
      <w:r w:rsidR="00AE62C2">
        <w:rPr>
          <w:szCs w:val="24"/>
        </w:rPr>
        <w:t>,</w:t>
      </w:r>
      <w:r w:rsidRPr="00FE73DE">
        <w:rPr>
          <w:szCs w:val="24"/>
        </w:rPr>
        <w:t xml:space="preserve"> some </w:t>
      </w:r>
      <w:r w:rsidR="0043686C" w:rsidRPr="00FE73DE">
        <w:rPr>
          <w:szCs w:val="24"/>
        </w:rPr>
        <w:t>businesses</w:t>
      </w:r>
      <w:r w:rsidRPr="00FE73DE">
        <w:rPr>
          <w:szCs w:val="24"/>
        </w:rPr>
        <w:t xml:space="preserve">, including those who </w:t>
      </w:r>
      <w:r w:rsidR="0043686C" w:rsidRPr="00FE73DE">
        <w:rPr>
          <w:szCs w:val="24"/>
        </w:rPr>
        <w:t>have not become customers</w:t>
      </w:r>
      <w:r w:rsidR="00AE62C2">
        <w:rPr>
          <w:szCs w:val="24"/>
        </w:rPr>
        <w:t>,</w:t>
      </w:r>
      <w:r w:rsidR="0043686C" w:rsidRPr="00FE73DE">
        <w:rPr>
          <w:szCs w:val="24"/>
        </w:rPr>
        <w:t xml:space="preserve"> </w:t>
      </w:r>
      <w:r w:rsidRPr="00FE73DE">
        <w:rPr>
          <w:szCs w:val="24"/>
        </w:rPr>
        <w:t xml:space="preserve">had issues with </w:t>
      </w:r>
      <w:r w:rsidR="0043686C" w:rsidRPr="00FE73DE">
        <w:rPr>
          <w:szCs w:val="24"/>
        </w:rPr>
        <w:t xml:space="preserve">the </w:t>
      </w:r>
      <w:r w:rsidRPr="00FE73DE">
        <w:rPr>
          <w:szCs w:val="24"/>
        </w:rPr>
        <w:t xml:space="preserve">level of customer service including responsiveness and ability to meet client needs. </w:t>
      </w:r>
      <w:r w:rsidR="00AE62C2">
        <w:rPr>
          <w:szCs w:val="24"/>
        </w:rPr>
        <w:t>Addressing t</w:t>
      </w:r>
      <w:r w:rsidRPr="00FE73DE">
        <w:rPr>
          <w:szCs w:val="24"/>
        </w:rPr>
        <w:t>his is an essential step toward</w:t>
      </w:r>
      <w:r w:rsidR="00AE62C2">
        <w:rPr>
          <w:szCs w:val="24"/>
        </w:rPr>
        <w:t>s</w:t>
      </w:r>
      <w:r w:rsidRPr="00FE73DE">
        <w:rPr>
          <w:szCs w:val="24"/>
        </w:rPr>
        <w:t xml:space="preserve"> cultural competency and taking into account cultural values. </w:t>
      </w:r>
      <w:r w:rsidR="00DF4A03" w:rsidRPr="00FE73DE">
        <w:rPr>
          <w:szCs w:val="24"/>
        </w:rPr>
        <w:t xml:space="preserve">Capturing the level of demand for </w:t>
      </w:r>
      <w:r w:rsidR="00AE62C2" w:rsidRPr="00FE73DE">
        <w:rPr>
          <w:szCs w:val="24"/>
        </w:rPr>
        <w:t>support and</w:t>
      </w:r>
      <w:r w:rsidR="00DF4A03" w:rsidRPr="00FE73DE">
        <w:rPr>
          <w:szCs w:val="24"/>
        </w:rPr>
        <w:t xml:space="preserve"> h</w:t>
      </w:r>
      <w:r w:rsidRPr="00FE73DE">
        <w:rPr>
          <w:szCs w:val="24"/>
        </w:rPr>
        <w:t xml:space="preserve">aving a stronger element of co-design </w:t>
      </w:r>
      <w:r w:rsidR="00DF4A03" w:rsidRPr="00FE73DE">
        <w:rPr>
          <w:szCs w:val="24"/>
        </w:rPr>
        <w:t xml:space="preserve">to address emergent gaps </w:t>
      </w:r>
      <w:r w:rsidRPr="00FE73DE">
        <w:rPr>
          <w:szCs w:val="24"/>
        </w:rPr>
        <w:t>could improve this.</w:t>
      </w:r>
    </w:p>
    <w:p w14:paraId="0593E11D" w14:textId="49FA565B" w:rsidR="00457F2B" w:rsidRPr="00FE73DE" w:rsidRDefault="00457F2B" w:rsidP="00457F2B">
      <w:pPr>
        <w:rPr>
          <w:szCs w:val="24"/>
        </w:rPr>
      </w:pPr>
      <w:r w:rsidRPr="00FE73DE">
        <w:rPr>
          <w:szCs w:val="24"/>
        </w:rPr>
        <w:t>IBA</w:t>
      </w:r>
      <w:r w:rsidR="00AE62C2">
        <w:rPr>
          <w:szCs w:val="24"/>
        </w:rPr>
        <w:t>,</w:t>
      </w:r>
      <w:r w:rsidRPr="00FE73DE">
        <w:rPr>
          <w:szCs w:val="24"/>
        </w:rPr>
        <w:t xml:space="preserve"> through its customer satisfaction survey and social impact survey</w:t>
      </w:r>
      <w:r w:rsidR="00AE62C2">
        <w:rPr>
          <w:szCs w:val="24"/>
        </w:rPr>
        <w:t>,</w:t>
      </w:r>
      <w:r w:rsidRPr="00FE73DE">
        <w:rPr>
          <w:szCs w:val="24"/>
        </w:rPr>
        <w:t xml:space="preserve"> are gaining a better understanding of issues relat</w:t>
      </w:r>
      <w:r w:rsidR="00AE62C2">
        <w:rPr>
          <w:szCs w:val="24"/>
        </w:rPr>
        <w:t>ed</w:t>
      </w:r>
      <w:r w:rsidRPr="00FE73DE">
        <w:rPr>
          <w:szCs w:val="24"/>
        </w:rPr>
        <w:t xml:space="preserve"> to service delivery including in relation to social</w:t>
      </w:r>
      <w:r w:rsidR="00DF4A03" w:rsidRPr="00FE73DE">
        <w:rPr>
          <w:szCs w:val="24"/>
        </w:rPr>
        <w:t xml:space="preserve"> and </w:t>
      </w:r>
      <w:r w:rsidRPr="00FE73DE">
        <w:rPr>
          <w:szCs w:val="24"/>
        </w:rPr>
        <w:t>economic outcomes</w:t>
      </w:r>
      <w:r w:rsidR="00DF4A03" w:rsidRPr="00FE73DE">
        <w:rPr>
          <w:szCs w:val="24"/>
        </w:rPr>
        <w:t>. T</w:t>
      </w:r>
      <w:r w:rsidRPr="00FE73DE">
        <w:rPr>
          <w:szCs w:val="24"/>
        </w:rPr>
        <w:t>his requires understanding the customer journey better and the experiences of those participating.</w:t>
      </w:r>
      <w:r w:rsidR="00063D5E">
        <w:rPr>
          <w:szCs w:val="24"/>
        </w:rPr>
        <w:t xml:space="preserve"> </w:t>
      </w:r>
      <w:r w:rsidR="00E07EB2">
        <w:rPr>
          <w:szCs w:val="24"/>
        </w:rPr>
        <w:t xml:space="preserve">In mid 2021, IBA also established </w:t>
      </w:r>
      <w:r w:rsidR="001B0278">
        <w:rPr>
          <w:szCs w:val="24"/>
        </w:rPr>
        <w:t xml:space="preserve">a new </w:t>
      </w:r>
      <w:r w:rsidR="00E07EB2">
        <w:rPr>
          <w:szCs w:val="24"/>
        </w:rPr>
        <w:t xml:space="preserve">Director role titled ‘Director Community </w:t>
      </w:r>
      <w:r w:rsidR="002A15B3">
        <w:rPr>
          <w:szCs w:val="24"/>
        </w:rPr>
        <w:t>&amp;</w:t>
      </w:r>
      <w:r w:rsidR="00E07EB2">
        <w:rPr>
          <w:szCs w:val="24"/>
        </w:rPr>
        <w:t xml:space="preserve"> Customer Experience’ to strengthen its work in this area.</w:t>
      </w:r>
      <w:r w:rsidR="001B0278">
        <w:rPr>
          <w:szCs w:val="24"/>
        </w:rPr>
        <w:t xml:space="preserve"> </w:t>
      </w:r>
    </w:p>
    <w:p w14:paraId="152FC5B8" w14:textId="5B7544CB" w:rsidR="00457F2B" w:rsidRPr="00FE73DE" w:rsidRDefault="009C77EE" w:rsidP="009C77EE">
      <w:pPr>
        <w:rPr>
          <w:szCs w:val="24"/>
        </w:rPr>
      </w:pPr>
      <w:r w:rsidRPr="00DB79E1">
        <w:rPr>
          <w:spacing w:val="2"/>
        </w:rPr>
        <w:t>Aligned with one of the BSP’s KPIs, the IBA</w:t>
      </w:r>
      <w:r w:rsidR="00B06E80">
        <w:rPr>
          <w:spacing w:val="2"/>
        </w:rPr>
        <w:t xml:space="preserve"> continues to use </w:t>
      </w:r>
      <w:r w:rsidRPr="00DB79E1">
        <w:rPr>
          <w:spacing w:val="2"/>
        </w:rPr>
        <w:t>partnerships</w:t>
      </w:r>
      <w:r w:rsidR="00B06E80">
        <w:rPr>
          <w:spacing w:val="2"/>
        </w:rPr>
        <w:t xml:space="preserve"> for the delivery of the BSP</w:t>
      </w:r>
      <w:r w:rsidRPr="00DB79E1">
        <w:rPr>
          <w:spacing w:val="2"/>
        </w:rPr>
        <w:t>. For example, i</w:t>
      </w:r>
      <w:r w:rsidRPr="00DB79E1">
        <w:rPr>
          <w:spacing w:val="2"/>
          <w:szCs w:val="24"/>
        </w:rPr>
        <w:t xml:space="preserve">n 2018–19, it entered into a partnership with Murawin Pty Ltd to provide business support and capability development to up to 150 Indigenous women through workshops; and it also worked with </w:t>
      </w:r>
      <w:r w:rsidRPr="00DB79E1">
        <w:rPr>
          <w:spacing w:val="2"/>
        </w:rPr>
        <w:t>the Melbourne School of Business for the Murra Indigenous Business Masterclass program</w:t>
      </w:r>
      <w:r w:rsidRPr="00DB79E1">
        <w:rPr>
          <w:spacing w:val="2"/>
          <w:szCs w:val="24"/>
        </w:rPr>
        <w:t>. T</w:t>
      </w:r>
      <w:r w:rsidRPr="00DB79E1">
        <w:rPr>
          <w:spacing w:val="2"/>
        </w:rPr>
        <w:t>he diversity of IBA’s partnerships has been important in its efforts to connect widely with a range of Indigenous businesses</w:t>
      </w:r>
      <w:r>
        <w:rPr>
          <w:spacing w:val="2"/>
        </w:rPr>
        <w:t>, and to address emergent needs of the BSP</w:t>
      </w:r>
      <w:r w:rsidRPr="00DB79E1">
        <w:rPr>
          <w:spacing w:val="2"/>
        </w:rPr>
        <w:t xml:space="preserve">. However, there </w:t>
      </w:r>
      <w:r>
        <w:rPr>
          <w:spacing w:val="2"/>
        </w:rPr>
        <w:t xml:space="preserve">is </w:t>
      </w:r>
      <w:r w:rsidRPr="00DB79E1">
        <w:rPr>
          <w:spacing w:val="2"/>
        </w:rPr>
        <w:t xml:space="preserve">currently no </w:t>
      </w:r>
      <w:r>
        <w:rPr>
          <w:spacing w:val="2"/>
        </w:rPr>
        <w:t xml:space="preserve">requirement to capture or report on a </w:t>
      </w:r>
      <w:r w:rsidRPr="00DB79E1">
        <w:rPr>
          <w:spacing w:val="2"/>
          <w:szCs w:val="24"/>
        </w:rPr>
        <w:t>partner</w:t>
      </w:r>
      <w:r>
        <w:rPr>
          <w:spacing w:val="2"/>
          <w:szCs w:val="24"/>
        </w:rPr>
        <w:t>’</w:t>
      </w:r>
      <w:r w:rsidRPr="00DB79E1">
        <w:rPr>
          <w:spacing w:val="2"/>
          <w:szCs w:val="24"/>
        </w:rPr>
        <w:t>s cultural competency</w:t>
      </w:r>
      <w:r>
        <w:rPr>
          <w:spacing w:val="2"/>
          <w:szCs w:val="24"/>
        </w:rPr>
        <w:t>.</w:t>
      </w:r>
      <w:r w:rsidRPr="00DB79E1">
        <w:rPr>
          <w:spacing w:val="2"/>
          <w:szCs w:val="24"/>
        </w:rPr>
        <w:t xml:space="preserve"> </w:t>
      </w:r>
      <w:r w:rsidR="00E5282A" w:rsidRPr="00FE73DE">
        <w:rPr>
          <w:szCs w:val="24"/>
        </w:rPr>
        <w:t>There is an opportunity to expand upon this in future.</w:t>
      </w:r>
    </w:p>
    <w:p w14:paraId="2F051D87" w14:textId="52680346" w:rsidR="006414A4" w:rsidRDefault="006D0F34">
      <w:pPr>
        <w:pStyle w:val="Heading1"/>
      </w:pPr>
      <w:bookmarkStart w:id="139" w:name="_Toc123734718"/>
      <w:r w:rsidRPr="00FE73DE">
        <w:t>Future directions</w:t>
      </w:r>
      <w:bookmarkEnd w:id="139"/>
    </w:p>
    <w:p w14:paraId="191213E6" w14:textId="5C03D578" w:rsidR="00494D4B" w:rsidRPr="00FE73DE" w:rsidRDefault="002732E6" w:rsidP="00494D4B">
      <w:pPr>
        <w:rPr>
          <w:szCs w:val="24"/>
        </w:rPr>
      </w:pPr>
      <w:r w:rsidRPr="00FE73DE">
        <w:t xml:space="preserve">The evaluation identified several options for future delivery. </w:t>
      </w:r>
      <w:r w:rsidR="008F63C6" w:rsidRPr="00FE73DE">
        <w:rPr>
          <w:szCs w:val="24"/>
        </w:rPr>
        <w:t xml:space="preserve">This section </w:t>
      </w:r>
      <w:r w:rsidR="00B1457B">
        <w:rPr>
          <w:szCs w:val="24"/>
        </w:rPr>
        <w:t xml:space="preserve">examines </w:t>
      </w:r>
      <w:r w:rsidR="008F63C6" w:rsidRPr="00FE73DE">
        <w:rPr>
          <w:szCs w:val="24"/>
        </w:rPr>
        <w:t xml:space="preserve">the strategic priorities/drivers for the BSP currently and how </w:t>
      </w:r>
      <w:r w:rsidR="00B64DDD" w:rsidRPr="00FE73DE">
        <w:rPr>
          <w:szCs w:val="24"/>
        </w:rPr>
        <w:t xml:space="preserve">they </w:t>
      </w:r>
      <w:r w:rsidR="00974DD8" w:rsidRPr="00FE73DE">
        <w:rPr>
          <w:szCs w:val="24"/>
        </w:rPr>
        <w:t>c</w:t>
      </w:r>
      <w:r w:rsidR="00B1457B">
        <w:rPr>
          <w:szCs w:val="24"/>
        </w:rPr>
        <w:t>an</w:t>
      </w:r>
      <w:r w:rsidR="008F63C6" w:rsidRPr="00FE73DE">
        <w:rPr>
          <w:szCs w:val="24"/>
        </w:rPr>
        <w:t xml:space="preserve"> inform future directions.</w:t>
      </w:r>
    </w:p>
    <w:p w14:paraId="64BA35BD" w14:textId="5CBF941F" w:rsidR="008F63C6" w:rsidRPr="00FE73DE" w:rsidRDefault="008F63C6" w:rsidP="008F63C6">
      <w:pPr>
        <w:rPr>
          <w:szCs w:val="24"/>
        </w:rPr>
      </w:pPr>
      <w:r w:rsidRPr="00FE73DE">
        <w:rPr>
          <w:szCs w:val="24"/>
        </w:rPr>
        <w:t xml:space="preserve">This includes consideration of future directions in light of Closing the Gap priority reforms, broader context of </w:t>
      </w:r>
      <w:r w:rsidR="00B64DDD" w:rsidRPr="00FE73DE">
        <w:rPr>
          <w:szCs w:val="24"/>
        </w:rPr>
        <w:t xml:space="preserve">Indigenous </w:t>
      </w:r>
      <w:r w:rsidRPr="00FE73DE">
        <w:rPr>
          <w:szCs w:val="24"/>
        </w:rPr>
        <w:t>business development and practicalities of current BSP grant approaches</w:t>
      </w:r>
      <w:r w:rsidR="00B64DDD" w:rsidRPr="00FE73DE">
        <w:rPr>
          <w:szCs w:val="24"/>
        </w:rPr>
        <w:t xml:space="preserve"> in the context of broader IBA business support activities</w:t>
      </w:r>
      <w:r w:rsidRPr="00FE73DE">
        <w:rPr>
          <w:szCs w:val="24"/>
        </w:rPr>
        <w:t>.</w:t>
      </w:r>
    </w:p>
    <w:tbl>
      <w:tblPr>
        <w:tblStyle w:val="Summaryboxtablestyle"/>
        <w:tblW w:w="5000" w:type="pct"/>
        <w:tblLook w:val="04A0" w:firstRow="1" w:lastRow="0" w:firstColumn="1" w:lastColumn="0" w:noHBand="0" w:noVBand="1"/>
      </w:tblPr>
      <w:tblGrid>
        <w:gridCol w:w="8890"/>
      </w:tblGrid>
      <w:tr w:rsidR="00B313F0" w:rsidRPr="00FE73DE" w14:paraId="63AB08AD" w14:textId="77777777" w:rsidTr="00B313F0">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6B818C" w:themeColor="accent5"/>
              <w:left w:val="single" w:sz="4" w:space="0" w:color="6B818C" w:themeColor="accent5"/>
              <w:bottom w:val="nil"/>
              <w:right w:val="single" w:sz="4" w:space="0" w:color="6B818C" w:themeColor="accent5"/>
            </w:tcBorders>
            <w:hideMark/>
          </w:tcPr>
          <w:p w14:paraId="3CE2CBA3" w14:textId="5B2CB33E" w:rsidR="00B313F0" w:rsidRPr="00FE73DE" w:rsidRDefault="00B313F0">
            <w:pPr>
              <w:pStyle w:val="TableText"/>
            </w:pPr>
            <w:r w:rsidRPr="00FE73DE">
              <w:t xml:space="preserve">Findings summary – Future </w:t>
            </w:r>
            <w:r w:rsidR="00333631">
              <w:t>d</w:t>
            </w:r>
            <w:r w:rsidRPr="00FE73DE">
              <w:t>irections</w:t>
            </w:r>
          </w:p>
        </w:tc>
      </w:tr>
      <w:tr w:rsidR="00B313F0" w:rsidRPr="00FE73DE" w14:paraId="11DF6EA3" w14:textId="77777777" w:rsidTr="00B313F0">
        <w:tc>
          <w:tcPr>
            <w:tcW w:w="5000" w:type="pct"/>
            <w:tcBorders>
              <w:top w:val="nil"/>
              <w:left w:val="single" w:sz="4" w:space="0" w:color="6B818C" w:themeColor="accent5"/>
              <w:bottom w:val="single" w:sz="4" w:space="0" w:color="6B818C" w:themeColor="accent5"/>
              <w:right w:val="single" w:sz="4" w:space="0" w:color="6B818C" w:themeColor="accent5"/>
            </w:tcBorders>
          </w:tcPr>
          <w:p w14:paraId="38A71E0A" w14:textId="000F5622" w:rsidR="00B313F0" w:rsidRPr="00A41D18" w:rsidRDefault="00B313F0" w:rsidP="00857846">
            <w:pPr>
              <w:pStyle w:val="Findingssummarylist"/>
              <w:rPr>
                <w:sz w:val="22"/>
                <w:szCs w:val="22"/>
              </w:rPr>
            </w:pPr>
            <w:r w:rsidRPr="00A41D18">
              <w:rPr>
                <w:sz w:val="22"/>
                <w:szCs w:val="22"/>
              </w:rPr>
              <w:t>When considering program implementation in light of Closing the Gap Priority Reforms</w:t>
            </w:r>
            <w:r w:rsidR="00333631" w:rsidRPr="00A41D18">
              <w:rPr>
                <w:sz w:val="22"/>
                <w:szCs w:val="22"/>
              </w:rPr>
              <w:t>,</w:t>
            </w:r>
            <w:r w:rsidRPr="00A41D18">
              <w:rPr>
                <w:sz w:val="22"/>
                <w:szCs w:val="22"/>
              </w:rPr>
              <w:t xml:space="preserve"> progress </w:t>
            </w:r>
            <w:r w:rsidR="00333631" w:rsidRPr="00A41D18">
              <w:rPr>
                <w:sz w:val="22"/>
                <w:szCs w:val="22"/>
              </w:rPr>
              <w:t xml:space="preserve">has been </w:t>
            </w:r>
            <w:r w:rsidRPr="00A41D18">
              <w:rPr>
                <w:sz w:val="22"/>
                <w:szCs w:val="22"/>
              </w:rPr>
              <w:t>made but more could be done to integrate with current directions</w:t>
            </w:r>
            <w:r w:rsidR="00333631" w:rsidRPr="00A41D18">
              <w:rPr>
                <w:sz w:val="22"/>
                <w:szCs w:val="22"/>
              </w:rPr>
              <w:t>,</w:t>
            </w:r>
            <w:r w:rsidRPr="00A41D18">
              <w:rPr>
                <w:sz w:val="22"/>
                <w:szCs w:val="22"/>
              </w:rPr>
              <w:t xml:space="preserve"> particularly in relation to shared decision making, building the community</w:t>
            </w:r>
            <w:r w:rsidR="00974DD8" w:rsidRPr="00A41D18">
              <w:rPr>
                <w:sz w:val="22"/>
                <w:szCs w:val="22"/>
              </w:rPr>
              <w:t>-</w:t>
            </w:r>
            <w:r w:rsidRPr="00A41D18">
              <w:rPr>
                <w:sz w:val="22"/>
                <w:szCs w:val="22"/>
              </w:rPr>
              <w:t xml:space="preserve">controlled sector and supporting access to </w:t>
            </w:r>
            <w:r w:rsidR="00974DD8" w:rsidRPr="00A41D18">
              <w:rPr>
                <w:sz w:val="22"/>
                <w:szCs w:val="22"/>
              </w:rPr>
              <w:t xml:space="preserve">consistent </w:t>
            </w:r>
            <w:r w:rsidRPr="00A41D18">
              <w:rPr>
                <w:sz w:val="22"/>
                <w:szCs w:val="22"/>
              </w:rPr>
              <w:t>data and information.</w:t>
            </w:r>
          </w:p>
          <w:p w14:paraId="4F21540B" w14:textId="69181857" w:rsidR="00B313F0" w:rsidRPr="00A41D18" w:rsidRDefault="00B313F0" w:rsidP="00857846">
            <w:pPr>
              <w:pStyle w:val="Findingssummarylist"/>
              <w:rPr>
                <w:sz w:val="22"/>
                <w:szCs w:val="22"/>
              </w:rPr>
            </w:pPr>
            <w:r w:rsidRPr="00A41D18">
              <w:rPr>
                <w:sz w:val="22"/>
                <w:szCs w:val="22"/>
              </w:rPr>
              <w:t xml:space="preserve">Results from a broader policy </w:t>
            </w:r>
            <w:r w:rsidR="00051AAA" w:rsidRPr="00A41D18">
              <w:rPr>
                <w:sz w:val="22"/>
                <w:szCs w:val="22"/>
              </w:rPr>
              <w:t xml:space="preserve">development </w:t>
            </w:r>
            <w:r w:rsidRPr="00A41D18">
              <w:rPr>
                <w:sz w:val="22"/>
                <w:szCs w:val="22"/>
              </w:rPr>
              <w:t>stakeholder process highlighted the ongoing need to improve access to capital and finance, strengthen regional and community capacity and business opportunities in land and water; and increas</w:t>
            </w:r>
            <w:r w:rsidR="00333631" w:rsidRPr="00A41D18">
              <w:rPr>
                <w:sz w:val="22"/>
                <w:szCs w:val="22"/>
              </w:rPr>
              <w:t>e</w:t>
            </w:r>
            <w:r w:rsidRPr="00A41D18">
              <w:rPr>
                <w:sz w:val="22"/>
                <w:szCs w:val="22"/>
              </w:rPr>
              <w:t xml:space="preserve"> capability and connection to broader opportunities.</w:t>
            </w:r>
          </w:p>
          <w:p w14:paraId="4CA1FDD7" w14:textId="5B4A1E57" w:rsidR="00B313F0" w:rsidRPr="00A41D18" w:rsidRDefault="00B313F0" w:rsidP="00857846">
            <w:pPr>
              <w:pStyle w:val="Findingssummarylist"/>
              <w:rPr>
                <w:sz w:val="22"/>
                <w:szCs w:val="22"/>
              </w:rPr>
            </w:pPr>
            <w:r w:rsidRPr="00A41D18">
              <w:rPr>
                <w:sz w:val="22"/>
                <w:szCs w:val="22"/>
              </w:rPr>
              <w:t xml:space="preserve">Since the development of the BDAP and BSP, there has been a growth of different service providers and opportunities for Indigenous business both in government and </w:t>
            </w:r>
            <w:r w:rsidR="00725F5D" w:rsidRPr="00A41D18">
              <w:rPr>
                <w:sz w:val="22"/>
                <w:szCs w:val="22"/>
              </w:rPr>
              <w:t xml:space="preserve">the </w:t>
            </w:r>
            <w:r w:rsidRPr="00A41D18">
              <w:rPr>
                <w:sz w:val="22"/>
                <w:szCs w:val="22"/>
              </w:rPr>
              <w:t xml:space="preserve">corporate sector. This broader support ecosystem means there is overlapping service provision, and a need to assist Indigenous businesses navigate through the different options to maximise their opportunities and </w:t>
            </w:r>
            <w:r w:rsidR="00725F5D" w:rsidRPr="00A41D18">
              <w:rPr>
                <w:sz w:val="22"/>
                <w:szCs w:val="22"/>
              </w:rPr>
              <w:t xml:space="preserve">create </w:t>
            </w:r>
            <w:r w:rsidRPr="00A41D18">
              <w:rPr>
                <w:sz w:val="22"/>
                <w:szCs w:val="22"/>
              </w:rPr>
              <w:t>longer</w:t>
            </w:r>
            <w:r w:rsidR="00725F5D" w:rsidRPr="00A41D18">
              <w:rPr>
                <w:sz w:val="22"/>
                <w:szCs w:val="22"/>
              </w:rPr>
              <w:t>-</w:t>
            </w:r>
            <w:r w:rsidRPr="00A41D18">
              <w:rPr>
                <w:sz w:val="22"/>
                <w:szCs w:val="22"/>
              </w:rPr>
              <w:t xml:space="preserve">term competitiveness and sustainability. </w:t>
            </w:r>
          </w:p>
          <w:p w14:paraId="328776A5" w14:textId="4E05A5C2" w:rsidR="00B313F0" w:rsidRPr="00FE73DE" w:rsidRDefault="00B313F0" w:rsidP="008A6926">
            <w:pPr>
              <w:pStyle w:val="Findingssummarylist"/>
            </w:pPr>
            <w:r w:rsidRPr="00A41D18">
              <w:rPr>
                <w:sz w:val="22"/>
                <w:szCs w:val="22"/>
              </w:rPr>
              <w:t xml:space="preserve">The </w:t>
            </w:r>
            <w:r w:rsidR="00FB348D" w:rsidRPr="00A41D18">
              <w:rPr>
                <w:sz w:val="22"/>
                <w:szCs w:val="22"/>
              </w:rPr>
              <w:t xml:space="preserve">activities and support provided under the </w:t>
            </w:r>
            <w:r w:rsidRPr="00A41D18">
              <w:rPr>
                <w:sz w:val="22"/>
                <w:szCs w:val="22"/>
              </w:rPr>
              <w:t xml:space="preserve">BSP grant </w:t>
            </w:r>
            <w:r w:rsidR="00FB348D" w:rsidRPr="00A41D18">
              <w:rPr>
                <w:sz w:val="22"/>
                <w:szCs w:val="22"/>
              </w:rPr>
              <w:t xml:space="preserve">agreement </w:t>
            </w:r>
            <w:r w:rsidRPr="00A41D18">
              <w:rPr>
                <w:sz w:val="22"/>
                <w:szCs w:val="22"/>
              </w:rPr>
              <w:t xml:space="preserve">is now only a </w:t>
            </w:r>
            <w:r w:rsidR="00FB348D" w:rsidRPr="00A41D18">
              <w:rPr>
                <w:sz w:val="22"/>
                <w:szCs w:val="22"/>
              </w:rPr>
              <w:t xml:space="preserve">sub-set of the support </w:t>
            </w:r>
            <w:r w:rsidRPr="00A41D18">
              <w:rPr>
                <w:sz w:val="22"/>
                <w:szCs w:val="22"/>
              </w:rPr>
              <w:t xml:space="preserve">IBA </w:t>
            </w:r>
            <w:r w:rsidR="00FB348D" w:rsidRPr="00A41D18">
              <w:rPr>
                <w:sz w:val="22"/>
                <w:szCs w:val="22"/>
              </w:rPr>
              <w:t xml:space="preserve">offers to </w:t>
            </w:r>
            <w:r w:rsidRPr="00A41D18">
              <w:rPr>
                <w:sz w:val="22"/>
                <w:szCs w:val="22"/>
              </w:rPr>
              <w:t xml:space="preserve">support Indigenous businesses. </w:t>
            </w:r>
            <w:r w:rsidR="00FB348D" w:rsidRPr="00A41D18">
              <w:rPr>
                <w:sz w:val="22"/>
                <w:szCs w:val="22"/>
              </w:rPr>
              <w:t xml:space="preserve">The quarterly BSP performance reporting provided in isolation of the other </w:t>
            </w:r>
            <w:r w:rsidR="008A6926" w:rsidRPr="00A41D18">
              <w:rPr>
                <w:sz w:val="22"/>
                <w:szCs w:val="22"/>
              </w:rPr>
              <w:t xml:space="preserve">IBA </w:t>
            </w:r>
            <w:r w:rsidR="00FB348D" w:rsidRPr="00A41D18">
              <w:rPr>
                <w:sz w:val="22"/>
                <w:szCs w:val="22"/>
              </w:rPr>
              <w:t>business support results in a</w:t>
            </w:r>
            <w:r w:rsidR="00736FE4" w:rsidRPr="00A41D18">
              <w:rPr>
                <w:sz w:val="22"/>
                <w:szCs w:val="22"/>
              </w:rPr>
              <w:t>n</w:t>
            </w:r>
            <w:r w:rsidR="00FB348D" w:rsidRPr="00A41D18">
              <w:rPr>
                <w:sz w:val="22"/>
                <w:szCs w:val="22"/>
              </w:rPr>
              <w:t xml:space="preserve"> </w:t>
            </w:r>
            <w:r w:rsidR="00974DD8" w:rsidRPr="00A41D18">
              <w:rPr>
                <w:sz w:val="22"/>
                <w:szCs w:val="22"/>
              </w:rPr>
              <w:t>incomplete</w:t>
            </w:r>
            <w:r w:rsidR="00FB348D" w:rsidRPr="00A41D18">
              <w:rPr>
                <w:sz w:val="22"/>
                <w:szCs w:val="22"/>
              </w:rPr>
              <w:t xml:space="preserve"> picture</w:t>
            </w:r>
            <w:r w:rsidR="00736FE4" w:rsidRPr="00A41D18">
              <w:rPr>
                <w:sz w:val="22"/>
                <w:szCs w:val="22"/>
              </w:rPr>
              <w:t xml:space="preserve"> of </w:t>
            </w:r>
            <w:r w:rsidR="00FB348D" w:rsidRPr="00A41D18">
              <w:rPr>
                <w:sz w:val="22"/>
                <w:szCs w:val="22"/>
              </w:rPr>
              <w:t xml:space="preserve">support. This grant reporting is </w:t>
            </w:r>
            <w:r w:rsidR="00974DD8" w:rsidRPr="00A41D18">
              <w:rPr>
                <w:sz w:val="22"/>
                <w:szCs w:val="22"/>
              </w:rPr>
              <w:t xml:space="preserve">then aggregated into broader business reporting </w:t>
            </w:r>
            <w:r w:rsidR="00FB348D" w:rsidRPr="00A41D18">
              <w:rPr>
                <w:sz w:val="22"/>
                <w:szCs w:val="22"/>
              </w:rPr>
              <w:t xml:space="preserve">as part of IBA’s </w:t>
            </w:r>
            <w:r w:rsidR="00974DD8" w:rsidRPr="00A41D18">
              <w:rPr>
                <w:sz w:val="22"/>
                <w:szCs w:val="22"/>
              </w:rPr>
              <w:t>a</w:t>
            </w:r>
            <w:r w:rsidR="00FB348D" w:rsidRPr="00A41D18">
              <w:rPr>
                <w:sz w:val="22"/>
                <w:szCs w:val="22"/>
              </w:rPr>
              <w:t xml:space="preserve">nnual </w:t>
            </w:r>
            <w:r w:rsidR="00974DD8" w:rsidRPr="00A41D18">
              <w:rPr>
                <w:sz w:val="22"/>
                <w:szCs w:val="22"/>
              </w:rPr>
              <w:t>r</w:t>
            </w:r>
            <w:r w:rsidR="00FB348D" w:rsidRPr="00A41D18">
              <w:rPr>
                <w:sz w:val="22"/>
                <w:szCs w:val="22"/>
              </w:rPr>
              <w:t>eporting</w:t>
            </w:r>
            <w:r w:rsidR="00974DD8" w:rsidRPr="00A41D18">
              <w:rPr>
                <w:sz w:val="22"/>
                <w:szCs w:val="22"/>
              </w:rPr>
              <w:t xml:space="preserve"> to Parliament</w:t>
            </w:r>
            <w:r w:rsidR="00FB348D" w:rsidRPr="00A41D18">
              <w:rPr>
                <w:sz w:val="22"/>
                <w:szCs w:val="22"/>
              </w:rPr>
              <w:t xml:space="preserve">. </w:t>
            </w:r>
            <w:r w:rsidR="00974DD8" w:rsidRPr="00A41D18">
              <w:rPr>
                <w:sz w:val="22"/>
                <w:szCs w:val="22"/>
              </w:rPr>
              <w:t>The duplicate reporting consumes a considerable amount of corporate time and effort and could be streamlined</w:t>
            </w:r>
            <w:r w:rsidR="00B64DDD" w:rsidRPr="00A41D18">
              <w:rPr>
                <w:sz w:val="22"/>
                <w:szCs w:val="22"/>
              </w:rPr>
              <w:t>.</w:t>
            </w:r>
          </w:p>
        </w:tc>
      </w:tr>
    </w:tbl>
    <w:p w14:paraId="385C43B7" w14:textId="77777777" w:rsidR="008F63C6" w:rsidRPr="00FE73DE" w:rsidRDefault="008F63C6"/>
    <w:p w14:paraId="6ABC4B88" w14:textId="31833155" w:rsidR="00051AAA" w:rsidRPr="00FE73DE" w:rsidRDefault="00051AAA" w:rsidP="00757C55">
      <w:pPr>
        <w:pStyle w:val="Heading2"/>
        <w:ind w:hanging="792"/>
      </w:pPr>
      <w:bookmarkStart w:id="140" w:name="_Toc108632490"/>
      <w:bookmarkStart w:id="141" w:name="_Toc109569533"/>
      <w:bookmarkStart w:id="142" w:name="_Toc123734719"/>
      <w:r w:rsidRPr="00FE73DE">
        <w:t xml:space="preserve">Closing the Gap </w:t>
      </w:r>
      <w:r w:rsidR="00BD2C1C">
        <w:t>P</w:t>
      </w:r>
      <w:r w:rsidRPr="00FE73DE">
        <w:t xml:space="preserve">riority </w:t>
      </w:r>
      <w:r w:rsidR="00BD2C1C">
        <w:t>R</w:t>
      </w:r>
      <w:r w:rsidRPr="00FE73DE">
        <w:t>eforms</w:t>
      </w:r>
      <w:bookmarkEnd w:id="140"/>
      <w:bookmarkEnd w:id="141"/>
      <w:bookmarkEnd w:id="142"/>
    </w:p>
    <w:p w14:paraId="2220F5AE" w14:textId="595FB993" w:rsidR="00974DD8" w:rsidRPr="00FE73DE" w:rsidRDefault="00974DD8" w:rsidP="00974DD8">
      <w:r w:rsidRPr="00FE73DE">
        <w:t xml:space="preserve">The </w:t>
      </w:r>
      <w:r w:rsidR="007319A5">
        <w:t xml:space="preserve">broader Australian Government </w:t>
      </w:r>
      <w:r w:rsidRPr="00FE73DE">
        <w:t xml:space="preserve">Closing the Gap agenda includes elements relevant to Indigenous businesses. A new </w:t>
      </w:r>
      <w:r w:rsidRPr="00FE73DE">
        <w:rPr>
          <w:i/>
          <w:iCs/>
        </w:rPr>
        <w:t>National Agreement on Closing the Gap</w:t>
      </w:r>
      <w:r w:rsidRPr="00FE73DE">
        <w:t xml:space="preserve"> (the National Agreement) was signed by all Australian governments and the Coalition of Aboriginal and Torres Strait Islander Peak Organisations in July 2020.</w:t>
      </w:r>
    </w:p>
    <w:p w14:paraId="54AA9D89" w14:textId="33CFCD97" w:rsidR="00051AAA" w:rsidRPr="00FE73DE" w:rsidRDefault="00051AAA" w:rsidP="00051AAA">
      <w:pPr>
        <w:rPr>
          <w:szCs w:val="24"/>
        </w:rPr>
      </w:pPr>
      <w:r w:rsidRPr="00FE73DE">
        <w:rPr>
          <w:szCs w:val="24"/>
        </w:rPr>
        <w:t xml:space="preserve">To promote program delivery in collaboration with Indigenous Australians following on from a </w:t>
      </w:r>
      <w:r w:rsidR="00974DD8" w:rsidRPr="00FE73DE">
        <w:rPr>
          <w:szCs w:val="24"/>
        </w:rPr>
        <w:t>strengths-based</w:t>
      </w:r>
      <w:r w:rsidRPr="00FE73DE">
        <w:rPr>
          <w:szCs w:val="24"/>
        </w:rPr>
        <w:t xml:space="preserve"> approach</w:t>
      </w:r>
      <w:r w:rsidR="00505C18">
        <w:rPr>
          <w:szCs w:val="24"/>
        </w:rPr>
        <w:t>,</w:t>
      </w:r>
      <w:r w:rsidRPr="00FE73DE">
        <w:rPr>
          <w:szCs w:val="24"/>
        </w:rPr>
        <w:t xml:space="preserve"> there is merit in examining </w:t>
      </w:r>
      <w:r w:rsidR="007319A5">
        <w:rPr>
          <w:szCs w:val="24"/>
        </w:rPr>
        <w:t xml:space="preserve">broader </w:t>
      </w:r>
      <w:r w:rsidRPr="00FE73DE">
        <w:rPr>
          <w:szCs w:val="24"/>
        </w:rPr>
        <w:t xml:space="preserve">directions taken in relation to </w:t>
      </w:r>
      <w:r w:rsidR="00265C2D">
        <w:rPr>
          <w:bCs/>
          <w:szCs w:val="24"/>
        </w:rPr>
        <w:t>Closing the Gap</w:t>
      </w:r>
      <w:r w:rsidRPr="00505C18">
        <w:rPr>
          <w:bCs/>
          <w:szCs w:val="24"/>
        </w:rPr>
        <w:t xml:space="preserve"> </w:t>
      </w:r>
      <w:r w:rsidR="00BD2C1C">
        <w:rPr>
          <w:bCs/>
          <w:szCs w:val="24"/>
        </w:rPr>
        <w:t>P</w:t>
      </w:r>
      <w:r w:rsidRPr="00505C18">
        <w:rPr>
          <w:bCs/>
          <w:szCs w:val="24"/>
        </w:rPr>
        <w:t xml:space="preserve">riority </w:t>
      </w:r>
      <w:r w:rsidR="00BD2C1C">
        <w:rPr>
          <w:bCs/>
          <w:szCs w:val="24"/>
        </w:rPr>
        <w:t>R</w:t>
      </w:r>
      <w:r w:rsidRPr="00505C18">
        <w:rPr>
          <w:bCs/>
          <w:szCs w:val="24"/>
        </w:rPr>
        <w:t>eforms</w:t>
      </w:r>
      <w:r w:rsidR="00974DD8" w:rsidRPr="00FE73DE">
        <w:rPr>
          <w:b/>
          <w:szCs w:val="24"/>
        </w:rPr>
        <w:t xml:space="preserve"> </w:t>
      </w:r>
      <w:r w:rsidR="00974DD8" w:rsidRPr="00FE73DE">
        <w:rPr>
          <w:bCs/>
          <w:szCs w:val="24"/>
        </w:rPr>
        <w:t>in future directions for the BSP</w:t>
      </w:r>
      <w:r w:rsidRPr="00FE73DE">
        <w:rPr>
          <w:szCs w:val="24"/>
        </w:rPr>
        <w:t xml:space="preserve">. </w:t>
      </w:r>
    </w:p>
    <w:p w14:paraId="58897FDA" w14:textId="7746C93A" w:rsidR="00C86FD2" w:rsidRPr="00FE73DE" w:rsidRDefault="00265C2D" w:rsidP="00051AAA">
      <w:pPr>
        <w:rPr>
          <w:szCs w:val="24"/>
        </w:rPr>
      </w:pPr>
      <w:r>
        <w:rPr>
          <w:b/>
          <w:szCs w:val="24"/>
        </w:rPr>
        <w:t>Closing the Gap</w:t>
      </w:r>
      <w:r w:rsidR="00051AAA" w:rsidRPr="00FE73DE">
        <w:rPr>
          <w:b/>
          <w:szCs w:val="24"/>
        </w:rPr>
        <w:t xml:space="preserve"> Reform 1:</w:t>
      </w:r>
      <w:r w:rsidR="00051AAA" w:rsidRPr="00FE73DE">
        <w:rPr>
          <w:szCs w:val="24"/>
        </w:rPr>
        <w:t xml:space="preserve"> </w:t>
      </w:r>
      <w:r w:rsidR="00051AAA" w:rsidRPr="00FE73DE">
        <w:rPr>
          <w:b/>
          <w:szCs w:val="24"/>
        </w:rPr>
        <w:t>Formal partnerships and shared decision-making</w:t>
      </w:r>
    </w:p>
    <w:p w14:paraId="306A77A6" w14:textId="4DB81727" w:rsidR="00051AAA" w:rsidRPr="00FE73DE" w:rsidRDefault="00C86FD2" w:rsidP="00051AAA">
      <w:pPr>
        <w:rPr>
          <w:i/>
          <w:szCs w:val="24"/>
        </w:rPr>
      </w:pPr>
      <w:r w:rsidRPr="00FE73DE">
        <w:rPr>
          <w:b/>
          <w:bCs/>
          <w:szCs w:val="24"/>
        </w:rPr>
        <w:t>Outcome</w:t>
      </w:r>
      <w:r w:rsidRPr="00FE73DE">
        <w:rPr>
          <w:b/>
          <w:bCs/>
          <w:i/>
          <w:iCs/>
          <w:szCs w:val="24"/>
        </w:rPr>
        <w:t>:</w:t>
      </w:r>
      <w:r w:rsidRPr="00FE73DE">
        <w:rPr>
          <w:i/>
          <w:iCs/>
          <w:szCs w:val="24"/>
        </w:rPr>
        <w:t xml:space="preserve"> Aboriginal and Torres Strait Islander </w:t>
      </w:r>
      <w:r w:rsidR="00051AAA" w:rsidRPr="00FE73DE">
        <w:rPr>
          <w:i/>
          <w:iCs/>
          <w:szCs w:val="24"/>
        </w:rPr>
        <w:t>people are empowered to share decision</w:t>
      </w:r>
      <w:r w:rsidRPr="00FE73DE">
        <w:rPr>
          <w:i/>
          <w:iCs/>
          <w:szCs w:val="24"/>
        </w:rPr>
        <w:t>-</w:t>
      </w:r>
      <w:r w:rsidR="00051AAA" w:rsidRPr="00FE73DE">
        <w:rPr>
          <w:i/>
          <w:iCs/>
          <w:szCs w:val="24"/>
        </w:rPr>
        <w:t>making authority with governments</w:t>
      </w:r>
      <w:r w:rsidR="00051AAA" w:rsidRPr="00FE73DE">
        <w:rPr>
          <w:i/>
          <w:szCs w:val="24"/>
        </w:rPr>
        <w:t xml:space="preserve"> to accelerate policy and place</w:t>
      </w:r>
      <w:r w:rsidRPr="00FE73DE">
        <w:rPr>
          <w:i/>
          <w:szCs w:val="24"/>
        </w:rPr>
        <w:t>-</w:t>
      </w:r>
      <w:r w:rsidR="00051AAA" w:rsidRPr="00FE73DE">
        <w:rPr>
          <w:i/>
          <w:szCs w:val="24"/>
        </w:rPr>
        <w:t>based progress on Closing the Gap through formal partnership arrangements.</w:t>
      </w:r>
    </w:p>
    <w:p w14:paraId="7F7CDDD6" w14:textId="0CB075C5" w:rsidR="00051AAA" w:rsidRPr="00FE73DE" w:rsidRDefault="00051AAA" w:rsidP="00051AAA">
      <w:pPr>
        <w:rPr>
          <w:szCs w:val="24"/>
        </w:rPr>
      </w:pPr>
      <w:r w:rsidRPr="00FE73DE">
        <w:rPr>
          <w:szCs w:val="24"/>
        </w:rPr>
        <w:t xml:space="preserve">The current </w:t>
      </w:r>
      <w:r w:rsidR="007319A5">
        <w:rPr>
          <w:szCs w:val="24"/>
        </w:rPr>
        <w:t xml:space="preserve">BSP </w:t>
      </w:r>
      <w:r w:rsidRPr="00FE73DE">
        <w:rPr>
          <w:szCs w:val="24"/>
        </w:rPr>
        <w:t>delivery show</w:t>
      </w:r>
      <w:r w:rsidR="002B2596" w:rsidRPr="00FE73DE">
        <w:rPr>
          <w:szCs w:val="24"/>
        </w:rPr>
        <w:t>s</w:t>
      </w:r>
      <w:r w:rsidRPr="00FE73DE">
        <w:rPr>
          <w:szCs w:val="24"/>
        </w:rPr>
        <w:t xml:space="preserve"> evidence that there is scope for </w:t>
      </w:r>
      <w:r w:rsidR="007319A5">
        <w:rPr>
          <w:szCs w:val="24"/>
        </w:rPr>
        <w:t xml:space="preserve">increased </w:t>
      </w:r>
      <w:r w:rsidRPr="00FE73DE">
        <w:rPr>
          <w:szCs w:val="24"/>
        </w:rPr>
        <w:t>input into program design and delivery</w:t>
      </w:r>
      <w:r w:rsidR="00505C18">
        <w:rPr>
          <w:szCs w:val="24"/>
        </w:rPr>
        <w:t>,</w:t>
      </w:r>
      <w:r w:rsidRPr="00FE73DE">
        <w:rPr>
          <w:szCs w:val="24"/>
        </w:rPr>
        <w:t xml:space="preserve"> </w:t>
      </w:r>
      <w:r w:rsidR="004A514B" w:rsidRPr="00FE73DE">
        <w:rPr>
          <w:szCs w:val="24"/>
        </w:rPr>
        <w:t xml:space="preserve">particularly </w:t>
      </w:r>
      <w:r w:rsidRPr="00FE73DE">
        <w:rPr>
          <w:szCs w:val="24"/>
        </w:rPr>
        <w:t>on shared decision-making.</w:t>
      </w:r>
    </w:p>
    <w:p w14:paraId="74576655" w14:textId="13389646" w:rsidR="00051AAA" w:rsidRPr="00FE73DE" w:rsidRDefault="00051AAA" w:rsidP="00051AAA">
      <w:pPr>
        <w:rPr>
          <w:szCs w:val="24"/>
        </w:rPr>
      </w:pPr>
      <w:r w:rsidRPr="00FE73DE">
        <w:rPr>
          <w:szCs w:val="24"/>
        </w:rPr>
        <w:t>IBA as an organisation is decentralised</w:t>
      </w:r>
      <w:r w:rsidR="006E5651" w:rsidRPr="00FE73DE">
        <w:rPr>
          <w:szCs w:val="24"/>
        </w:rPr>
        <w:t xml:space="preserve"> across Australia. </w:t>
      </w:r>
      <w:r w:rsidR="00A1402E" w:rsidRPr="00FE73DE">
        <w:rPr>
          <w:szCs w:val="24"/>
        </w:rPr>
        <w:t>IBA</w:t>
      </w:r>
      <w:r w:rsidR="002B2596" w:rsidRPr="00FE73DE">
        <w:rPr>
          <w:szCs w:val="24"/>
        </w:rPr>
        <w:t xml:space="preserve"> works with </w:t>
      </w:r>
      <w:r w:rsidR="00C86FD2" w:rsidRPr="00FE73DE">
        <w:rPr>
          <w:szCs w:val="24"/>
        </w:rPr>
        <w:t xml:space="preserve">collaborative </w:t>
      </w:r>
      <w:r w:rsidR="002B2596" w:rsidRPr="00FE73DE">
        <w:rPr>
          <w:szCs w:val="24"/>
        </w:rPr>
        <w:t xml:space="preserve">partners to </w:t>
      </w:r>
      <w:r w:rsidRPr="00FE73DE">
        <w:rPr>
          <w:szCs w:val="24"/>
        </w:rPr>
        <w:t xml:space="preserve">foster local partnerships and positioning business development within the local context of regional opportunity and enabling systematic change. </w:t>
      </w:r>
      <w:r w:rsidR="002B2596" w:rsidRPr="00FE73DE">
        <w:rPr>
          <w:szCs w:val="24"/>
        </w:rPr>
        <w:t xml:space="preserve">While </w:t>
      </w:r>
      <w:r w:rsidR="00FB348D" w:rsidRPr="00FE73DE">
        <w:rPr>
          <w:szCs w:val="24"/>
        </w:rPr>
        <w:t xml:space="preserve">BSP KPIs </w:t>
      </w:r>
      <w:r w:rsidRPr="00FE73DE">
        <w:rPr>
          <w:szCs w:val="24"/>
        </w:rPr>
        <w:t>focus on individual customers and meeting their needs based on a demand driven approach to grow IBA organisational success and capacity</w:t>
      </w:r>
      <w:r w:rsidR="002B2596" w:rsidRPr="00FE73DE">
        <w:rPr>
          <w:szCs w:val="24"/>
        </w:rPr>
        <w:t>, the qualitative reporting highlights individual partnerships and initiatives being supported by the BSP</w:t>
      </w:r>
      <w:r w:rsidRPr="00FE73DE">
        <w:rPr>
          <w:szCs w:val="24"/>
        </w:rPr>
        <w:t>.</w:t>
      </w:r>
      <w:r w:rsidR="004A514B" w:rsidRPr="00FE73DE">
        <w:rPr>
          <w:szCs w:val="24"/>
        </w:rPr>
        <w:t xml:space="preserve"> </w:t>
      </w:r>
      <w:r w:rsidR="00505C18">
        <w:rPr>
          <w:szCs w:val="24"/>
        </w:rPr>
        <w:t>However, t</w:t>
      </w:r>
      <w:r w:rsidR="004A514B" w:rsidRPr="00FE73DE">
        <w:rPr>
          <w:szCs w:val="24"/>
        </w:rPr>
        <w:t>here is however no mention of shared decision-making.</w:t>
      </w:r>
    </w:p>
    <w:p w14:paraId="51B309F5" w14:textId="18358E4F" w:rsidR="00C86FD2" w:rsidRPr="00FE73DE" w:rsidRDefault="00265C2D" w:rsidP="00051AAA">
      <w:pPr>
        <w:rPr>
          <w:b/>
          <w:szCs w:val="24"/>
        </w:rPr>
      </w:pPr>
      <w:r>
        <w:rPr>
          <w:b/>
          <w:szCs w:val="24"/>
        </w:rPr>
        <w:t>Closing the Gap</w:t>
      </w:r>
      <w:r w:rsidR="00051AAA" w:rsidRPr="00FE73DE">
        <w:rPr>
          <w:b/>
          <w:szCs w:val="24"/>
        </w:rPr>
        <w:t xml:space="preserve"> Reform 2: Building the Community-Controlled Sector</w:t>
      </w:r>
    </w:p>
    <w:p w14:paraId="0BFDFAE9" w14:textId="7A38014E" w:rsidR="00051AAA" w:rsidRPr="00FE73DE" w:rsidRDefault="00C86FD2" w:rsidP="00051AAA">
      <w:pPr>
        <w:rPr>
          <w:szCs w:val="24"/>
        </w:rPr>
      </w:pPr>
      <w:r w:rsidRPr="00FE73DE">
        <w:rPr>
          <w:b/>
          <w:szCs w:val="24"/>
        </w:rPr>
        <w:t xml:space="preserve">Outcome: </w:t>
      </w:r>
      <w:r w:rsidRPr="00FE73DE">
        <w:rPr>
          <w:i/>
          <w:iCs/>
          <w:szCs w:val="24"/>
        </w:rPr>
        <w:t>There is a strong and sustainable Aboriginal and Torres Strait Islander community-controlled sector delivering high quality services to meet the needs of Aboriginal and Torres Strait Islander people across the country.</w:t>
      </w:r>
    </w:p>
    <w:p w14:paraId="0225C066" w14:textId="3B43225A" w:rsidR="00051AAA" w:rsidRPr="00FE73DE" w:rsidRDefault="00051AAA" w:rsidP="00051AAA">
      <w:pPr>
        <w:rPr>
          <w:szCs w:val="24"/>
        </w:rPr>
      </w:pPr>
      <w:r w:rsidRPr="00FE73DE">
        <w:rPr>
          <w:szCs w:val="24"/>
        </w:rPr>
        <w:t xml:space="preserve">IBA has shown the capacity through the BSP to form partnerships with Indigenous businesses in the delivery of the BSP, particularly in the case </w:t>
      </w:r>
      <w:r w:rsidR="007319A5">
        <w:rPr>
          <w:szCs w:val="24"/>
        </w:rPr>
        <w:t xml:space="preserve">of </w:t>
      </w:r>
      <w:r w:rsidRPr="00FE73DE">
        <w:rPr>
          <w:szCs w:val="24"/>
        </w:rPr>
        <w:t>the external support.</w:t>
      </w:r>
      <w:r w:rsidRPr="00FE73DE">
        <w:rPr>
          <w:b/>
          <w:szCs w:val="24"/>
        </w:rPr>
        <w:t xml:space="preserve"> </w:t>
      </w:r>
      <w:r w:rsidRPr="00FE73DE">
        <w:rPr>
          <w:szCs w:val="24"/>
        </w:rPr>
        <w:t xml:space="preserve">This includes utilising these third parties to enhance access to business support where there is a gap in geographic reach or specialist knowledge. </w:t>
      </w:r>
    </w:p>
    <w:p w14:paraId="7D52BBA1" w14:textId="0217EF83" w:rsidR="00051AAA" w:rsidRPr="00FE73DE" w:rsidRDefault="00EF2E51" w:rsidP="00051AAA">
      <w:pPr>
        <w:rPr>
          <w:szCs w:val="24"/>
        </w:rPr>
      </w:pPr>
      <w:r>
        <w:rPr>
          <w:szCs w:val="24"/>
        </w:rPr>
        <w:t>As outlined in the BSP performance reporting, t</w:t>
      </w:r>
      <w:r w:rsidR="007319A5">
        <w:rPr>
          <w:szCs w:val="24"/>
        </w:rPr>
        <w:t>here is a mix in the type of businesses engaged</w:t>
      </w:r>
      <w:r>
        <w:rPr>
          <w:szCs w:val="24"/>
        </w:rPr>
        <w:t xml:space="preserve"> to support the BSP</w:t>
      </w:r>
      <w:r w:rsidR="007319A5">
        <w:rPr>
          <w:szCs w:val="24"/>
        </w:rPr>
        <w:t xml:space="preserve"> – some are engaged on a </w:t>
      </w:r>
      <w:r w:rsidR="004A514B" w:rsidRPr="00FE73DE">
        <w:rPr>
          <w:szCs w:val="24"/>
        </w:rPr>
        <w:t xml:space="preserve">subcontracted </w:t>
      </w:r>
      <w:r w:rsidR="007319A5">
        <w:rPr>
          <w:szCs w:val="24"/>
        </w:rPr>
        <w:t xml:space="preserve">basis </w:t>
      </w:r>
      <w:r w:rsidR="004A514B" w:rsidRPr="00FE73DE">
        <w:rPr>
          <w:szCs w:val="24"/>
        </w:rPr>
        <w:t xml:space="preserve">to deliver </w:t>
      </w:r>
      <w:r>
        <w:rPr>
          <w:szCs w:val="24"/>
        </w:rPr>
        <w:t xml:space="preserve">a broad range of business support services as per </w:t>
      </w:r>
      <w:r w:rsidR="004A514B" w:rsidRPr="00FE73DE">
        <w:rPr>
          <w:szCs w:val="24"/>
        </w:rPr>
        <w:t>IBA</w:t>
      </w:r>
      <w:r>
        <w:rPr>
          <w:szCs w:val="24"/>
        </w:rPr>
        <w:t xml:space="preserve"> customer </w:t>
      </w:r>
      <w:r w:rsidR="004A514B" w:rsidRPr="00FE73DE">
        <w:rPr>
          <w:szCs w:val="24"/>
        </w:rPr>
        <w:t>requirements</w:t>
      </w:r>
      <w:r w:rsidR="007319A5">
        <w:rPr>
          <w:szCs w:val="24"/>
        </w:rPr>
        <w:t xml:space="preserve">, whereas other entities are engaged </w:t>
      </w:r>
      <w:r>
        <w:rPr>
          <w:szCs w:val="24"/>
        </w:rPr>
        <w:t xml:space="preserve">through a more </w:t>
      </w:r>
      <w:r w:rsidR="007319A5">
        <w:rPr>
          <w:szCs w:val="24"/>
        </w:rPr>
        <w:t xml:space="preserve">collaborating </w:t>
      </w:r>
      <w:r>
        <w:rPr>
          <w:szCs w:val="24"/>
        </w:rPr>
        <w:t xml:space="preserve">partnership approach aligned to </w:t>
      </w:r>
      <w:r w:rsidR="007319A5">
        <w:rPr>
          <w:szCs w:val="24"/>
        </w:rPr>
        <w:t>develop and deliver on a specific initiative.</w:t>
      </w:r>
    </w:p>
    <w:p w14:paraId="0C0EBFFF" w14:textId="23A2AC3F" w:rsidR="00051AAA" w:rsidRPr="00505C18" w:rsidRDefault="00051AAA" w:rsidP="00051AAA">
      <w:pPr>
        <w:rPr>
          <w:spacing w:val="2"/>
          <w:szCs w:val="24"/>
        </w:rPr>
      </w:pPr>
      <w:r w:rsidRPr="00FE73DE">
        <w:rPr>
          <w:szCs w:val="24"/>
        </w:rPr>
        <w:t>There is a</w:t>
      </w:r>
      <w:r w:rsidR="004A514B" w:rsidRPr="00FE73DE">
        <w:rPr>
          <w:szCs w:val="24"/>
        </w:rPr>
        <w:t xml:space="preserve">n opportunity to </w:t>
      </w:r>
      <w:r w:rsidR="00EF2E51">
        <w:rPr>
          <w:szCs w:val="24"/>
        </w:rPr>
        <w:t xml:space="preserve">support the development of the community-controlled sector through services provided under the BSP. </w:t>
      </w:r>
      <w:r w:rsidRPr="00505C18">
        <w:rPr>
          <w:spacing w:val="2"/>
          <w:szCs w:val="24"/>
        </w:rPr>
        <w:t>There are also potential opportunities as raised in the long</w:t>
      </w:r>
      <w:r w:rsidR="00B64DDD" w:rsidRPr="00505C18">
        <w:rPr>
          <w:spacing w:val="2"/>
          <w:szCs w:val="24"/>
        </w:rPr>
        <w:t>-</w:t>
      </w:r>
      <w:r w:rsidRPr="00505C18">
        <w:rPr>
          <w:spacing w:val="2"/>
          <w:szCs w:val="24"/>
        </w:rPr>
        <w:t>term outcome section</w:t>
      </w:r>
      <w:r w:rsidR="00505C18" w:rsidRPr="00505C18">
        <w:rPr>
          <w:spacing w:val="2"/>
          <w:szCs w:val="24"/>
        </w:rPr>
        <w:t xml:space="preserve"> (section 6.3)</w:t>
      </w:r>
      <w:r w:rsidRPr="00505C18">
        <w:rPr>
          <w:spacing w:val="2"/>
          <w:szCs w:val="24"/>
        </w:rPr>
        <w:t xml:space="preserve"> to develop </w:t>
      </w:r>
      <w:r w:rsidR="00505C18" w:rsidRPr="00505C18">
        <w:rPr>
          <w:spacing w:val="2"/>
          <w:szCs w:val="24"/>
        </w:rPr>
        <w:t>community-based</w:t>
      </w:r>
      <w:r w:rsidRPr="00505C18">
        <w:rPr>
          <w:spacing w:val="2"/>
          <w:szCs w:val="24"/>
        </w:rPr>
        <w:t xml:space="preserve"> business models</w:t>
      </w:r>
      <w:r w:rsidR="00505C18" w:rsidRPr="00505C18">
        <w:rPr>
          <w:spacing w:val="2"/>
          <w:szCs w:val="24"/>
        </w:rPr>
        <w:t xml:space="preserve"> and</w:t>
      </w:r>
      <w:r w:rsidR="00B64DDD" w:rsidRPr="00505C18">
        <w:rPr>
          <w:spacing w:val="2"/>
          <w:szCs w:val="24"/>
        </w:rPr>
        <w:t xml:space="preserve"> </w:t>
      </w:r>
      <w:r w:rsidRPr="00505C18">
        <w:rPr>
          <w:spacing w:val="2"/>
          <w:szCs w:val="24"/>
        </w:rPr>
        <w:t xml:space="preserve">partnerships which also could further strengthen the </w:t>
      </w:r>
      <w:r w:rsidR="00505C18" w:rsidRPr="00505C18">
        <w:rPr>
          <w:spacing w:val="2"/>
          <w:szCs w:val="24"/>
        </w:rPr>
        <w:t>community-controlled</w:t>
      </w:r>
      <w:r w:rsidRPr="00505C18">
        <w:rPr>
          <w:spacing w:val="2"/>
          <w:szCs w:val="24"/>
        </w:rPr>
        <w:t xml:space="preserve"> sector. </w:t>
      </w:r>
    </w:p>
    <w:p w14:paraId="29480D53" w14:textId="490B8105" w:rsidR="00051AAA" w:rsidRPr="00FE73DE" w:rsidRDefault="00265C2D" w:rsidP="00051AAA">
      <w:pPr>
        <w:rPr>
          <w:b/>
          <w:szCs w:val="24"/>
        </w:rPr>
      </w:pPr>
      <w:r>
        <w:rPr>
          <w:b/>
          <w:szCs w:val="24"/>
        </w:rPr>
        <w:t>Closing the Gap</w:t>
      </w:r>
      <w:r w:rsidR="005A0CCF" w:rsidRPr="00FE73DE">
        <w:rPr>
          <w:b/>
          <w:szCs w:val="24"/>
        </w:rPr>
        <w:t xml:space="preserve"> </w:t>
      </w:r>
      <w:r w:rsidR="00051AAA" w:rsidRPr="00FE73DE">
        <w:rPr>
          <w:b/>
          <w:szCs w:val="24"/>
        </w:rPr>
        <w:t>Reform 4: Shared access to data and information at a regional level.</w:t>
      </w:r>
    </w:p>
    <w:p w14:paraId="4C3400AB" w14:textId="77777777" w:rsidR="00051AAA" w:rsidRPr="00FE73DE" w:rsidRDefault="00051AAA" w:rsidP="00051AAA">
      <w:pPr>
        <w:rPr>
          <w:szCs w:val="24"/>
        </w:rPr>
      </w:pPr>
      <w:r w:rsidRPr="00FE73DE">
        <w:rPr>
          <w:b/>
          <w:szCs w:val="24"/>
        </w:rPr>
        <w:t xml:space="preserve">Outcome: </w:t>
      </w:r>
      <w:r w:rsidRPr="00FE73DE">
        <w:rPr>
          <w:i/>
          <w:iCs/>
          <w:szCs w:val="24"/>
        </w:rPr>
        <w:t>Aboriginal and Torres Strait Islander people have access to, and the capability to use, locally-relevant data and information to set and monitor the implementation of efforts to close the gap, their priorities and drive their own development.</w:t>
      </w:r>
    </w:p>
    <w:p w14:paraId="020A7FF5" w14:textId="0AF51B6C" w:rsidR="00051AAA" w:rsidRPr="00FE73DE" w:rsidRDefault="00051AAA" w:rsidP="00051AAA">
      <w:pPr>
        <w:rPr>
          <w:szCs w:val="24"/>
        </w:rPr>
      </w:pPr>
      <w:r w:rsidRPr="00FE73DE">
        <w:rPr>
          <w:szCs w:val="24"/>
        </w:rPr>
        <w:t>This priority reform includes</w:t>
      </w:r>
      <w:r w:rsidR="00505C18">
        <w:rPr>
          <w:szCs w:val="24"/>
        </w:rPr>
        <w:t xml:space="preserve"> the following</w:t>
      </w:r>
      <w:r w:rsidRPr="00FE73DE">
        <w:rPr>
          <w:szCs w:val="24"/>
        </w:rPr>
        <w:t>:</w:t>
      </w:r>
    </w:p>
    <w:p w14:paraId="67DB99B1" w14:textId="095A08B4" w:rsidR="00051AAA" w:rsidRPr="00FE73DE" w:rsidRDefault="00051AAA">
      <w:pPr>
        <w:pStyle w:val="ListBullet"/>
      </w:pPr>
      <w:r w:rsidRPr="00FE73DE">
        <w:t xml:space="preserve">Partnerships are in place to guide the improved collection, access, </w:t>
      </w:r>
      <w:r w:rsidR="00505C18" w:rsidRPr="00FE73DE">
        <w:t>management,</w:t>
      </w:r>
      <w:r w:rsidRPr="00FE73DE">
        <w:t xml:space="preserve"> and use of data to inform shared decision-making.</w:t>
      </w:r>
    </w:p>
    <w:p w14:paraId="6EA40446" w14:textId="77777777" w:rsidR="00051AAA" w:rsidRPr="00FE73DE" w:rsidRDefault="00051AAA">
      <w:pPr>
        <w:pStyle w:val="ListBullet"/>
      </w:pPr>
      <w:r w:rsidRPr="00FE73DE">
        <w:t>Governments provide communities and organisations with access to the same data and information they use to make decisions.</w:t>
      </w:r>
    </w:p>
    <w:p w14:paraId="2544F4A2" w14:textId="44FC7899" w:rsidR="00051AAA" w:rsidRPr="00FE73DE" w:rsidRDefault="00051AAA">
      <w:pPr>
        <w:pStyle w:val="ListBullet"/>
      </w:pPr>
      <w:r w:rsidRPr="00FE73DE">
        <w:t>Government’s collect, handle and report data at sufficient levels of disaggregation, and in an accessible and timely way.</w:t>
      </w:r>
    </w:p>
    <w:p w14:paraId="6169A06C" w14:textId="73AE176C" w:rsidR="00051AAA" w:rsidRPr="00FE73DE" w:rsidRDefault="00051AAA">
      <w:pPr>
        <w:pStyle w:val="ListBullet"/>
      </w:pPr>
      <w:r w:rsidRPr="00FE73DE">
        <w:t xml:space="preserve">Indigenous communities and organisations are supported by governments to build capability and expertise in collecting, </w:t>
      </w:r>
      <w:r w:rsidR="00505C18" w:rsidRPr="00FE73DE">
        <w:t>using,</w:t>
      </w:r>
      <w:r w:rsidRPr="00FE73DE">
        <w:t xml:space="preserve"> and interpreting data in a meaningful way.</w:t>
      </w:r>
    </w:p>
    <w:p w14:paraId="01D167E5" w14:textId="7C00D473" w:rsidR="005A0CCF" w:rsidRDefault="00505C18" w:rsidP="005A0CCF">
      <w:pPr>
        <w:rPr>
          <w:szCs w:val="24"/>
        </w:rPr>
      </w:pPr>
      <w:r>
        <w:rPr>
          <w:szCs w:val="24"/>
        </w:rPr>
        <w:t>A</w:t>
      </w:r>
      <w:r w:rsidR="00051AAA" w:rsidRPr="00FE73DE">
        <w:rPr>
          <w:szCs w:val="24"/>
        </w:rPr>
        <w:t xml:space="preserve">s described in </w:t>
      </w:r>
      <w:r w:rsidR="005A0CCF" w:rsidRPr="00505C18">
        <w:rPr>
          <w:szCs w:val="24"/>
        </w:rPr>
        <w:t>6.3.1</w:t>
      </w:r>
      <w:r>
        <w:rPr>
          <w:szCs w:val="24"/>
        </w:rPr>
        <w:t>,</w:t>
      </w:r>
      <w:r w:rsidR="005A0CCF" w:rsidRPr="00FE73DE">
        <w:rPr>
          <w:szCs w:val="24"/>
        </w:rPr>
        <w:t xml:space="preserve"> there is currently no up to date baseline of Indigenous businesses (number, size</w:t>
      </w:r>
      <w:r>
        <w:rPr>
          <w:szCs w:val="24"/>
        </w:rPr>
        <w:t>,</w:t>
      </w:r>
      <w:r w:rsidR="005A0CCF" w:rsidRPr="00FE73DE">
        <w:rPr>
          <w:szCs w:val="24"/>
        </w:rPr>
        <w:t xml:space="preserve"> and type). There is a need to understand trends in the sector including composition, size</w:t>
      </w:r>
      <w:r>
        <w:rPr>
          <w:szCs w:val="24"/>
        </w:rPr>
        <w:t>,</w:t>
      </w:r>
      <w:r w:rsidR="005A0CCF" w:rsidRPr="00FE73DE">
        <w:rPr>
          <w:szCs w:val="24"/>
        </w:rPr>
        <w:t xml:space="preserve"> and type of business</w:t>
      </w:r>
      <w:r>
        <w:rPr>
          <w:szCs w:val="24"/>
        </w:rPr>
        <w:t>es</w:t>
      </w:r>
      <w:r w:rsidR="005A0CCF" w:rsidRPr="00FE73DE">
        <w:rPr>
          <w:szCs w:val="24"/>
        </w:rPr>
        <w:t xml:space="preserve"> and how these change over time. </w:t>
      </w:r>
      <w:r w:rsidR="00985C7B" w:rsidRPr="00FE73DE">
        <w:rPr>
          <w:szCs w:val="24"/>
        </w:rPr>
        <w:t xml:space="preserve">Collection of this sort of information, including the use of a </w:t>
      </w:r>
      <w:r w:rsidR="00985C7B" w:rsidRPr="00FE73DE">
        <w:t>consistent set of definitions associated with the Indigenous business sector,</w:t>
      </w:r>
      <w:r w:rsidR="005A0CCF" w:rsidRPr="00FE73DE">
        <w:rPr>
          <w:szCs w:val="24"/>
        </w:rPr>
        <w:t xml:space="preserve"> will help address this </w:t>
      </w:r>
      <w:r w:rsidR="00E048B4" w:rsidRPr="00FE73DE">
        <w:rPr>
          <w:szCs w:val="24"/>
        </w:rPr>
        <w:t>priority.</w:t>
      </w:r>
      <w:r w:rsidR="007319A5">
        <w:rPr>
          <w:szCs w:val="24"/>
        </w:rPr>
        <w:t xml:space="preserve"> Aligning future BSP reporting to be consistent with such business definitions will also help in measuring the impact of the program</w:t>
      </w:r>
      <w:r w:rsidR="00EF2E51">
        <w:rPr>
          <w:szCs w:val="24"/>
        </w:rPr>
        <w:t>, and the growth in the sector</w:t>
      </w:r>
      <w:r w:rsidR="007319A5">
        <w:rPr>
          <w:szCs w:val="24"/>
        </w:rPr>
        <w:t xml:space="preserve">. </w:t>
      </w:r>
    </w:p>
    <w:p w14:paraId="66A6A2C7" w14:textId="50575DC1" w:rsidR="00063D5E" w:rsidRDefault="00063D5E" w:rsidP="003E752F">
      <w:pPr>
        <w:pStyle w:val="Heading4"/>
      </w:pPr>
      <w:r w:rsidRPr="00063D5E">
        <w:t>Recomme</w:t>
      </w:r>
      <w:r>
        <w:t>ndation 2</w:t>
      </w:r>
    </w:p>
    <w:p w14:paraId="42B498EB" w14:textId="4134B34C" w:rsidR="00063D5E" w:rsidRPr="00063D5E" w:rsidRDefault="00063D5E" w:rsidP="00063D5E">
      <w:r>
        <w:t xml:space="preserve">NIAA </w:t>
      </w:r>
      <w:r w:rsidR="00895B50">
        <w:t xml:space="preserve">and IBA </w:t>
      </w:r>
      <w:r>
        <w:t xml:space="preserve">should </w:t>
      </w:r>
      <w:r w:rsidR="00895B50">
        <w:t xml:space="preserve">ensure that </w:t>
      </w:r>
      <w:r>
        <w:t xml:space="preserve">any </w:t>
      </w:r>
      <w:r w:rsidR="00895B50">
        <w:t xml:space="preserve">changes in the </w:t>
      </w:r>
      <w:r>
        <w:t xml:space="preserve">BSP </w:t>
      </w:r>
      <w:r w:rsidR="0034447A">
        <w:t>delivery</w:t>
      </w:r>
      <w:r>
        <w:t xml:space="preserve"> </w:t>
      </w:r>
      <w:r w:rsidR="00895B50">
        <w:t>model</w:t>
      </w:r>
      <w:r>
        <w:t xml:space="preserve"> and intent </w:t>
      </w:r>
      <w:r w:rsidR="00895B50">
        <w:t xml:space="preserve">are designed </w:t>
      </w:r>
      <w:r>
        <w:t>to contribute to Closing the Gap targets and Priority Reforms</w:t>
      </w:r>
      <w:r w:rsidR="00895B50">
        <w:t>. An area in which there is strong potential for this is the development of</w:t>
      </w:r>
      <w:r>
        <w:t xml:space="preserve"> a more regional delivery model</w:t>
      </w:r>
      <w:r w:rsidR="003F551A">
        <w:t xml:space="preserve"> that </w:t>
      </w:r>
      <w:r w:rsidR="00635C8D">
        <w:t>develops</w:t>
      </w:r>
      <w:r w:rsidR="003F551A">
        <w:t xml:space="preserve"> place-based service delivery organisations to provide BSP external business support.</w:t>
      </w:r>
      <w:r w:rsidR="00895B50">
        <w:t xml:space="preserve"> This would provide stronger</w:t>
      </w:r>
      <w:r>
        <w:t xml:space="preserve"> links to </w:t>
      </w:r>
      <w:r w:rsidR="00895B50">
        <w:t xml:space="preserve">underserved areas, opportunities for a more diverse range of businesses, and wide-ranging benefits for regional </w:t>
      </w:r>
      <w:r>
        <w:t>communit</w:t>
      </w:r>
      <w:r w:rsidR="00895B50">
        <w:t>ies</w:t>
      </w:r>
      <w:r>
        <w:t>.</w:t>
      </w:r>
    </w:p>
    <w:p w14:paraId="3459EB9C" w14:textId="00D57B4D" w:rsidR="00051AAA" w:rsidRPr="00FE73DE" w:rsidRDefault="00051AAA" w:rsidP="00757C55">
      <w:pPr>
        <w:pStyle w:val="Heading2"/>
        <w:ind w:hanging="792"/>
      </w:pPr>
      <w:bookmarkStart w:id="143" w:name="_Toc109569534"/>
      <w:bookmarkStart w:id="144" w:name="_Toc108632491"/>
      <w:bookmarkStart w:id="145" w:name="_Toc123734720"/>
      <w:r w:rsidRPr="00FE73DE">
        <w:t xml:space="preserve">Industry and </w:t>
      </w:r>
      <w:r w:rsidR="00E048B4" w:rsidRPr="00FE73DE">
        <w:t>s</w:t>
      </w:r>
      <w:r w:rsidRPr="00FE73DE">
        <w:t xml:space="preserve">takeholder </w:t>
      </w:r>
      <w:r w:rsidR="00E048B4" w:rsidRPr="00FE73DE">
        <w:t>f</w:t>
      </w:r>
      <w:r w:rsidRPr="00FE73DE">
        <w:t>eedback</w:t>
      </w:r>
      <w:bookmarkEnd w:id="143"/>
      <w:bookmarkEnd w:id="144"/>
      <w:bookmarkEnd w:id="145"/>
    </w:p>
    <w:p w14:paraId="78B08A26" w14:textId="2C48FD88" w:rsidR="00051AAA" w:rsidRPr="00FE73DE" w:rsidRDefault="00051AAA" w:rsidP="00051AAA">
      <w:pPr>
        <w:rPr>
          <w:szCs w:val="24"/>
        </w:rPr>
      </w:pPr>
      <w:r w:rsidRPr="00FE73DE">
        <w:rPr>
          <w:szCs w:val="24"/>
        </w:rPr>
        <w:t xml:space="preserve">A number of core themes/initiatives are outlined </w:t>
      </w:r>
      <w:r w:rsidR="00D91F03">
        <w:rPr>
          <w:szCs w:val="24"/>
        </w:rPr>
        <w:t xml:space="preserve">below, </w:t>
      </w:r>
      <w:r w:rsidRPr="00FE73DE">
        <w:rPr>
          <w:szCs w:val="24"/>
        </w:rPr>
        <w:t xml:space="preserve">based on strategic directions emerging from a broader policy development </w:t>
      </w:r>
      <w:r w:rsidR="00736FE4">
        <w:rPr>
          <w:szCs w:val="24"/>
        </w:rPr>
        <w:t xml:space="preserve">stakeholder consultation process </w:t>
      </w:r>
      <w:r w:rsidRPr="00FE73DE">
        <w:rPr>
          <w:szCs w:val="24"/>
        </w:rPr>
        <w:t>and also from key Supply Nation strategic documents</w:t>
      </w:r>
      <w:r w:rsidR="00736FE4" w:rsidRPr="00FE73DE">
        <w:rPr>
          <w:rStyle w:val="FootnoteReference"/>
          <w:szCs w:val="24"/>
        </w:rPr>
        <w:footnoteReference w:id="58"/>
      </w:r>
      <w:r w:rsidR="00A1402E" w:rsidRPr="00FE73DE">
        <w:rPr>
          <w:szCs w:val="24"/>
        </w:rPr>
        <w:t>.</w:t>
      </w:r>
    </w:p>
    <w:p w14:paraId="27B0C2C6" w14:textId="3B44970E" w:rsidR="00051AAA" w:rsidRPr="00505C18" w:rsidRDefault="00051AAA" w:rsidP="00051AAA">
      <w:pPr>
        <w:rPr>
          <w:spacing w:val="-2"/>
          <w:szCs w:val="24"/>
        </w:rPr>
      </w:pPr>
      <w:r w:rsidRPr="00505C18">
        <w:rPr>
          <w:spacing w:val="-2"/>
          <w:szCs w:val="24"/>
        </w:rPr>
        <w:t>In 2021, as part of a broader policy development process, some strategic directions were set through a process of industry consultation involving 12 industry roundtable</w:t>
      </w:r>
      <w:r w:rsidR="00505C18" w:rsidRPr="00505C18">
        <w:rPr>
          <w:spacing w:val="-2"/>
          <w:szCs w:val="24"/>
        </w:rPr>
        <w:t>s</w:t>
      </w:r>
      <w:r w:rsidRPr="00505C18">
        <w:rPr>
          <w:spacing w:val="-2"/>
          <w:szCs w:val="24"/>
        </w:rPr>
        <w:t xml:space="preserve"> and 200 industry representatives from diverse organisations including Indigenous organisations</w:t>
      </w:r>
      <w:r w:rsidR="00505C18" w:rsidRPr="00505C18">
        <w:rPr>
          <w:spacing w:val="-2"/>
          <w:szCs w:val="24"/>
        </w:rPr>
        <w:t>.</w:t>
      </w:r>
      <w:r w:rsidRPr="00505C18">
        <w:rPr>
          <w:rStyle w:val="FootnoteReference"/>
          <w:spacing w:val="-2"/>
          <w:szCs w:val="24"/>
        </w:rPr>
        <w:footnoteReference w:id="59"/>
      </w:r>
      <w:r w:rsidRPr="00505C18">
        <w:rPr>
          <w:spacing w:val="-2"/>
          <w:szCs w:val="24"/>
        </w:rPr>
        <w:t xml:space="preserve"> More than 40% of participants in this group identified as being of Aboriginal and Torres Strait Islander de</w:t>
      </w:r>
      <w:r w:rsidR="001B5493">
        <w:rPr>
          <w:spacing w:val="-2"/>
          <w:szCs w:val="24"/>
        </w:rPr>
        <w:t>s</w:t>
      </w:r>
      <w:r w:rsidRPr="00505C18">
        <w:rPr>
          <w:spacing w:val="-2"/>
          <w:szCs w:val="24"/>
        </w:rPr>
        <w:t xml:space="preserve">cent. </w:t>
      </w:r>
    </w:p>
    <w:p w14:paraId="306E3977" w14:textId="19AED48B" w:rsidR="00051AAA" w:rsidRPr="00FE73DE" w:rsidRDefault="00051AAA" w:rsidP="00051AAA">
      <w:pPr>
        <w:rPr>
          <w:szCs w:val="24"/>
        </w:rPr>
      </w:pPr>
      <w:r w:rsidRPr="00FE73DE">
        <w:rPr>
          <w:szCs w:val="24"/>
        </w:rPr>
        <w:t xml:space="preserve">The </w:t>
      </w:r>
      <w:r w:rsidRPr="00E368F8">
        <w:rPr>
          <w:b/>
          <w:bCs/>
          <w:szCs w:val="24"/>
        </w:rPr>
        <w:t>provision and access of finance and capital</w:t>
      </w:r>
      <w:r w:rsidRPr="00E368F8">
        <w:rPr>
          <w:szCs w:val="24"/>
        </w:rPr>
        <w:t xml:space="preserve"> for</w:t>
      </w:r>
      <w:r w:rsidRPr="00FE73DE">
        <w:rPr>
          <w:szCs w:val="24"/>
        </w:rPr>
        <w:t xml:space="preserve"> Indigenous business </w:t>
      </w:r>
      <w:r w:rsidR="00471D87" w:rsidRPr="00FE73DE">
        <w:rPr>
          <w:szCs w:val="24"/>
        </w:rPr>
        <w:t>i</w:t>
      </w:r>
      <w:r w:rsidRPr="00FE73DE">
        <w:rPr>
          <w:szCs w:val="24"/>
        </w:rPr>
        <w:t>s seen as a key strategic priority, this includes:</w:t>
      </w:r>
    </w:p>
    <w:p w14:paraId="0F9F4AE6" w14:textId="3B299C53" w:rsidR="00051AAA" w:rsidRPr="00407069" w:rsidRDefault="00407069">
      <w:pPr>
        <w:pStyle w:val="ListBullet"/>
      </w:pPr>
      <w:r>
        <w:t>i</w:t>
      </w:r>
      <w:r w:rsidR="00051AAA" w:rsidRPr="00407069">
        <w:t>mproved access to capital and finance opportunities</w:t>
      </w:r>
    </w:p>
    <w:p w14:paraId="6D0903A9" w14:textId="7E22F4DD" w:rsidR="00051AAA" w:rsidRPr="00407069" w:rsidRDefault="00407069">
      <w:pPr>
        <w:pStyle w:val="ListBullet"/>
      </w:pPr>
      <w:r>
        <w:t>a</w:t>
      </w:r>
      <w:r w:rsidR="00051AAA" w:rsidRPr="00407069">
        <w:t>ccess to capital for Indigenous businesses, especially early stage capital</w:t>
      </w:r>
    </w:p>
    <w:p w14:paraId="0DDE6DBF" w14:textId="3E7EBFE3" w:rsidR="00051AAA" w:rsidRPr="00FE73DE" w:rsidRDefault="00407069">
      <w:pPr>
        <w:pStyle w:val="ListBullet"/>
      </w:pPr>
      <w:r>
        <w:t>e</w:t>
      </w:r>
      <w:r w:rsidR="00051AAA" w:rsidRPr="00407069">
        <w:t>xplor</w:t>
      </w:r>
      <w:r>
        <w:t>ing</w:t>
      </w:r>
      <w:r w:rsidR="00051AAA" w:rsidRPr="00407069">
        <w:t xml:space="preserve"> alternative and innovative</w:t>
      </w:r>
      <w:r w:rsidR="00051AAA" w:rsidRPr="00FE73DE">
        <w:t xml:space="preserve"> finance and investment options, </w:t>
      </w:r>
      <w:r>
        <w:t>such as</w:t>
      </w:r>
      <w:r w:rsidR="00051AAA" w:rsidRPr="00FE73DE">
        <w:t xml:space="preserve"> options to connect Indigenous businesses and entrepreneurs to partners and capital providers.</w:t>
      </w:r>
    </w:p>
    <w:p w14:paraId="507FB4AE" w14:textId="3ACD0A24" w:rsidR="00E27D89" w:rsidRDefault="00051AAA" w:rsidP="008807AE">
      <w:r w:rsidRPr="00FE73DE">
        <w:rPr>
          <w:szCs w:val="24"/>
        </w:rPr>
        <w:t>This theme emphasi</w:t>
      </w:r>
      <w:r w:rsidR="00C227CC" w:rsidRPr="00FE73DE">
        <w:rPr>
          <w:szCs w:val="24"/>
        </w:rPr>
        <w:t>s</w:t>
      </w:r>
      <w:r w:rsidRPr="00FE73DE">
        <w:rPr>
          <w:szCs w:val="24"/>
        </w:rPr>
        <w:t>es facilitating new and emerging approaches for finance and asset capital provision, including formation of new partnerships</w:t>
      </w:r>
      <w:r w:rsidR="005264D9">
        <w:rPr>
          <w:szCs w:val="24"/>
        </w:rPr>
        <w:t xml:space="preserve"> with a variety of service providers</w:t>
      </w:r>
      <w:r w:rsidRPr="00FE73DE">
        <w:rPr>
          <w:szCs w:val="24"/>
        </w:rPr>
        <w:t>.</w:t>
      </w:r>
      <w:r w:rsidR="007A1FEB">
        <w:t xml:space="preserve"> </w:t>
      </w:r>
      <w:r w:rsidR="008807AE" w:rsidRPr="00FE73DE">
        <w:t xml:space="preserve">This </w:t>
      </w:r>
      <w:r w:rsidR="007A1FEB">
        <w:t xml:space="preserve">is </w:t>
      </w:r>
      <w:r w:rsidR="008807AE" w:rsidRPr="00FE73DE">
        <w:t xml:space="preserve">consistent with international practice where examples from overseas highlights alternatives for gaining access to finance. </w:t>
      </w:r>
      <w:r w:rsidR="00E27D89">
        <w:t>For example, i</w:t>
      </w:r>
      <w:r w:rsidR="008807AE" w:rsidRPr="00FE73DE">
        <w:t xml:space="preserve">n Canada and the United States of America government support is provided to Indigenous businesses through Indigenous-owned financial institutions. These are typically autonomous organisations capitalised by government that provide services including loans, financial and management </w:t>
      </w:r>
      <w:r w:rsidR="00407069" w:rsidRPr="00FE73DE">
        <w:t>consulting,</w:t>
      </w:r>
      <w:r w:rsidR="008807AE" w:rsidRPr="00FE73DE">
        <w:t xml:space="preserve"> and business start-up support.</w:t>
      </w:r>
      <w:r w:rsidR="00E27D89">
        <w:rPr>
          <w:rStyle w:val="FootnoteReference"/>
        </w:rPr>
        <w:footnoteReference w:id="60"/>
      </w:r>
      <w:r w:rsidR="005264D9">
        <w:t xml:space="preserve"> While t</w:t>
      </w:r>
      <w:r w:rsidR="008807AE" w:rsidRPr="00FE73DE">
        <w:t xml:space="preserve">here are very few equivalent institutions in Australia (such as First Australians Capital), </w:t>
      </w:r>
      <w:r w:rsidR="005264D9">
        <w:t xml:space="preserve">at the time of evaluation </w:t>
      </w:r>
      <w:r w:rsidR="008807AE" w:rsidRPr="00FE73DE">
        <w:t>they do not receive government support.</w:t>
      </w:r>
      <w:r w:rsidR="00E27D89">
        <w:t xml:space="preserve"> </w:t>
      </w:r>
    </w:p>
    <w:p w14:paraId="71EF6317" w14:textId="6DA68887" w:rsidR="008807AE" w:rsidRPr="00FE73DE" w:rsidRDefault="00E27D89" w:rsidP="008807AE">
      <w:r>
        <w:t xml:space="preserve">The approach for providing financial support to Indigenous businesses taken overseas is very different to what is currently done in Australia, and there is an opportunity to trial such an approach in the Australian context to determine whether it is something that should be supported more broadly. </w:t>
      </w:r>
    </w:p>
    <w:p w14:paraId="5FB36AFE" w14:textId="77777777" w:rsidR="00051AAA" w:rsidRPr="00FE73DE" w:rsidRDefault="00051AAA" w:rsidP="00051AAA">
      <w:pPr>
        <w:rPr>
          <w:szCs w:val="24"/>
        </w:rPr>
      </w:pPr>
      <w:r w:rsidRPr="00FE73DE">
        <w:rPr>
          <w:szCs w:val="24"/>
        </w:rPr>
        <w:t xml:space="preserve">The second key theme addresses investing in </w:t>
      </w:r>
      <w:r w:rsidRPr="00FE73DE">
        <w:rPr>
          <w:b/>
          <w:szCs w:val="24"/>
        </w:rPr>
        <w:t>human capital</w:t>
      </w:r>
      <w:r w:rsidRPr="00FE73DE">
        <w:rPr>
          <w:szCs w:val="24"/>
        </w:rPr>
        <w:t xml:space="preserve"> to support business growth:</w:t>
      </w:r>
    </w:p>
    <w:p w14:paraId="011C8A50" w14:textId="28B6F538" w:rsidR="00051AAA" w:rsidRPr="00FE73DE" w:rsidRDefault="00051AAA">
      <w:pPr>
        <w:pStyle w:val="ListBullet"/>
      </w:pPr>
      <w:r w:rsidRPr="00FE73DE">
        <w:t>Investment in the provision of service and expert advice (governance, leadership, financial and business skills) to build the capacity and capability of emerging Indigenous businesses.</w:t>
      </w:r>
    </w:p>
    <w:p w14:paraId="04728A96" w14:textId="01B17151" w:rsidR="00051AAA" w:rsidRPr="00FE73DE" w:rsidRDefault="00051AAA">
      <w:pPr>
        <w:pStyle w:val="ListBullet"/>
      </w:pPr>
      <w:r w:rsidRPr="00FE73DE">
        <w:t>Better connect Indigenous businesses into international trade and investment opportunities.</w:t>
      </w:r>
    </w:p>
    <w:p w14:paraId="4C3CBA24" w14:textId="4660D40D" w:rsidR="00C227CC" w:rsidRPr="00FE73DE" w:rsidRDefault="00C227CC" w:rsidP="00C227CC">
      <w:r w:rsidRPr="00FE73DE">
        <w:t>The business support services currently offered through the BSP continue to invest in human capital to support business growth. The ability to build on this support through increased mentoring and coaching is important, as is helping businesses develop networks and collaborations with others</w:t>
      </w:r>
      <w:r w:rsidR="00A04456" w:rsidRPr="00FE73DE">
        <w:t>.</w:t>
      </w:r>
    </w:p>
    <w:p w14:paraId="7F2E6126" w14:textId="2C73BB41" w:rsidR="00051AAA" w:rsidRPr="00FE73DE" w:rsidRDefault="00051AAA" w:rsidP="00051AAA">
      <w:pPr>
        <w:rPr>
          <w:szCs w:val="24"/>
        </w:rPr>
      </w:pPr>
      <w:r w:rsidRPr="00FE73DE">
        <w:rPr>
          <w:szCs w:val="24"/>
        </w:rPr>
        <w:t xml:space="preserve">The third theme is to have a focus on </w:t>
      </w:r>
      <w:r w:rsidRPr="00FE73DE">
        <w:rPr>
          <w:b/>
          <w:szCs w:val="24"/>
        </w:rPr>
        <w:t>local, place-based opportunities</w:t>
      </w:r>
      <w:r w:rsidRPr="00FE73DE">
        <w:rPr>
          <w:szCs w:val="24"/>
        </w:rPr>
        <w:t xml:space="preserve"> which tap into regional level opportunities including relat</w:t>
      </w:r>
      <w:r w:rsidR="00407069">
        <w:rPr>
          <w:szCs w:val="24"/>
        </w:rPr>
        <w:t>ed</w:t>
      </w:r>
      <w:r w:rsidRPr="00FE73DE">
        <w:rPr>
          <w:szCs w:val="24"/>
        </w:rPr>
        <w:t xml:space="preserve"> to sea and land assets</w:t>
      </w:r>
      <w:r w:rsidR="00407069">
        <w:rPr>
          <w:szCs w:val="24"/>
        </w:rPr>
        <w:t>:</w:t>
      </w:r>
    </w:p>
    <w:p w14:paraId="3151F65A" w14:textId="77777777" w:rsidR="00051AAA" w:rsidRPr="00FE73DE" w:rsidRDefault="00051AAA">
      <w:pPr>
        <w:pStyle w:val="ListBullet"/>
      </w:pPr>
      <w:r w:rsidRPr="00FE73DE">
        <w:t>Greater support to enable local and regional opportunities, in particular the decarbonisation, sustainable land-use and bush-fire fire prevention opportunities.</w:t>
      </w:r>
    </w:p>
    <w:p w14:paraId="3064A4CD" w14:textId="77777777" w:rsidR="00051AAA" w:rsidRPr="00FE73DE" w:rsidRDefault="00051AAA">
      <w:pPr>
        <w:pStyle w:val="ListBullet"/>
      </w:pPr>
      <w:r w:rsidRPr="00FE73DE">
        <w:t>Enable traditional owners to activate the commercial potential of land and sea assets and grow business and jobs.</w:t>
      </w:r>
    </w:p>
    <w:p w14:paraId="2013189A" w14:textId="77777777" w:rsidR="00051AAA" w:rsidRPr="00FE73DE" w:rsidRDefault="00051AAA">
      <w:pPr>
        <w:pStyle w:val="ListBullet"/>
      </w:pPr>
      <w:r w:rsidRPr="00FE73DE">
        <w:t>Creating a better enabling environment for traditional owners to grow businesses in sectors such as energy and agriculture, and to leverage the unique skills, connections to country and knowledge of Indigenous Australians.</w:t>
      </w:r>
    </w:p>
    <w:p w14:paraId="17A39467" w14:textId="4A88B7C9" w:rsidR="00051AAA" w:rsidRPr="00FE73DE" w:rsidRDefault="00051AAA">
      <w:pPr>
        <w:pStyle w:val="ListBullet"/>
      </w:pPr>
      <w:r w:rsidRPr="00FE73DE">
        <w:t>Invest in building the capabilities of communities to strategically access the potential of available resources</w:t>
      </w:r>
      <w:r w:rsidR="00407069">
        <w:t>.</w:t>
      </w:r>
    </w:p>
    <w:p w14:paraId="7980FFB1" w14:textId="2B77E07E" w:rsidR="00051AAA" w:rsidRPr="00FE73DE" w:rsidRDefault="00051AAA" w:rsidP="00051AAA">
      <w:pPr>
        <w:rPr>
          <w:szCs w:val="24"/>
        </w:rPr>
      </w:pPr>
      <w:r w:rsidRPr="00FE73DE">
        <w:rPr>
          <w:szCs w:val="24"/>
        </w:rPr>
        <w:t>The</w:t>
      </w:r>
      <w:r w:rsidR="00C7761F" w:rsidRPr="00FE73DE">
        <w:rPr>
          <w:szCs w:val="24"/>
        </w:rPr>
        <w:t xml:space="preserve">se </w:t>
      </w:r>
      <w:r w:rsidR="00E368F8">
        <w:rPr>
          <w:szCs w:val="24"/>
        </w:rPr>
        <w:t>three</w:t>
      </w:r>
      <w:r w:rsidR="00C7761F" w:rsidRPr="00FE73DE">
        <w:rPr>
          <w:szCs w:val="24"/>
        </w:rPr>
        <w:t xml:space="preserve"> themes</w:t>
      </w:r>
      <w:r w:rsidRPr="00FE73DE">
        <w:rPr>
          <w:szCs w:val="24"/>
        </w:rPr>
        <w:t xml:space="preserve"> align with and build on</w:t>
      </w:r>
      <w:r w:rsidR="00A04456" w:rsidRPr="00FE73DE">
        <w:rPr>
          <w:szCs w:val="24"/>
        </w:rPr>
        <w:t xml:space="preserve"> the various </w:t>
      </w:r>
      <w:r w:rsidR="00C7761F" w:rsidRPr="00FE73DE">
        <w:rPr>
          <w:szCs w:val="24"/>
        </w:rPr>
        <w:t xml:space="preserve">findings </w:t>
      </w:r>
      <w:r w:rsidR="00A04456" w:rsidRPr="00FE73DE">
        <w:rPr>
          <w:szCs w:val="24"/>
        </w:rPr>
        <w:t xml:space="preserve">throughout this report, including </w:t>
      </w:r>
      <w:r w:rsidR="00C7761F" w:rsidRPr="00FE73DE">
        <w:rPr>
          <w:szCs w:val="24"/>
        </w:rPr>
        <w:t xml:space="preserve">the </w:t>
      </w:r>
      <w:r w:rsidR="00BE551E" w:rsidRPr="00FE73DE">
        <w:rPr>
          <w:szCs w:val="24"/>
        </w:rPr>
        <w:t xml:space="preserve">opportunity to introduce innovative alternatives for accessing business </w:t>
      </w:r>
      <w:r w:rsidR="00C7761F" w:rsidRPr="00FE73DE">
        <w:rPr>
          <w:szCs w:val="24"/>
        </w:rPr>
        <w:t>capital, how to build on the investments to date in human capital to strengthen the skill base within the Indigenous business sector</w:t>
      </w:r>
      <w:r w:rsidR="00BE551E" w:rsidRPr="00FE73DE">
        <w:rPr>
          <w:szCs w:val="24"/>
        </w:rPr>
        <w:t xml:space="preserve"> to build </w:t>
      </w:r>
      <w:r w:rsidR="00BE551E" w:rsidRPr="00FE73DE">
        <w:rPr>
          <w:i/>
          <w:iCs/>
          <w:szCs w:val="24"/>
        </w:rPr>
        <w:t>on</w:t>
      </w:r>
      <w:r w:rsidR="00BE551E" w:rsidRPr="00FE73DE">
        <w:rPr>
          <w:szCs w:val="24"/>
        </w:rPr>
        <w:t xml:space="preserve"> the business,</w:t>
      </w:r>
      <w:r w:rsidR="00C7761F" w:rsidRPr="00FE73DE">
        <w:rPr>
          <w:szCs w:val="24"/>
        </w:rPr>
        <w:t xml:space="preserve"> and how to increase the level of local, placed-based opportunities to better meet the needs of Indigenous business</w:t>
      </w:r>
      <w:r w:rsidR="00A04456" w:rsidRPr="00FE73DE">
        <w:rPr>
          <w:szCs w:val="24"/>
        </w:rPr>
        <w:t>.</w:t>
      </w:r>
    </w:p>
    <w:p w14:paraId="4D5E7CFE" w14:textId="58256B9E" w:rsidR="006E3FD1" w:rsidRPr="00FE73DE" w:rsidRDefault="006E3FD1" w:rsidP="00757C55">
      <w:pPr>
        <w:pStyle w:val="Heading2"/>
        <w:ind w:hanging="792"/>
      </w:pPr>
      <w:bookmarkStart w:id="146" w:name="_Toc123734721"/>
      <w:r w:rsidRPr="00FE73DE">
        <w:t>BSP in</w:t>
      </w:r>
      <w:r w:rsidR="008807AE" w:rsidRPr="00FE73DE">
        <w:t xml:space="preserve"> a broader business context</w:t>
      </w:r>
      <w:bookmarkEnd w:id="146"/>
    </w:p>
    <w:p w14:paraId="09DEC047" w14:textId="67D9EABD" w:rsidR="009E23A2" w:rsidRPr="00FE73DE" w:rsidRDefault="00676FB7" w:rsidP="001C5EEB">
      <w:pPr>
        <w:rPr>
          <w:szCs w:val="24"/>
        </w:rPr>
      </w:pPr>
      <w:r>
        <w:rPr>
          <w:szCs w:val="24"/>
        </w:rPr>
        <w:t>T</w:t>
      </w:r>
      <w:r w:rsidR="009E23A2" w:rsidRPr="00FE73DE">
        <w:rPr>
          <w:szCs w:val="24"/>
        </w:rPr>
        <w:t xml:space="preserve">he Indigenous business sector has grown </w:t>
      </w:r>
      <w:r>
        <w:rPr>
          <w:szCs w:val="24"/>
        </w:rPr>
        <w:t xml:space="preserve">significantly </w:t>
      </w:r>
      <w:r w:rsidRPr="00FE73DE">
        <w:rPr>
          <w:szCs w:val="24"/>
        </w:rPr>
        <w:t>between 2006 and 2018</w:t>
      </w:r>
      <w:r w:rsidR="009E23A2" w:rsidRPr="00FE73DE">
        <w:rPr>
          <w:szCs w:val="24"/>
        </w:rPr>
        <w:t>.</w:t>
      </w:r>
      <w:r w:rsidR="001C5EEB">
        <w:rPr>
          <w:szCs w:val="24"/>
        </w:rPr>
        <w:t xml:space="preserve"> </w:t>
      </w:r>
      <w:r>
        <w:rPr>
          <w:szCs w:val="24"/>
        </w:rPr>
        <w:t xml:space="preserve">As noted under section 6.3.2, there are a variety of estimates, with the extent of growth ranging between almost double to as high as 74% over the period. </w:t>
      </w:r>
    </w:p>
    <w:p w14:paraId="41831492" w14:textId="204F9A2A" w:rsidR="009E23A2" w:rsidRPr="00FE73DE" w:rsidRDefault="009E23A2" w:rsidP="009E23A2">
      <w:pPr>
        <w:rPr>
          <w:szCs w:val="24"/>
        </w:rPr>
      </w:pPr>
      <w:r w:rsidRPr="00FE73DE">
        <w:rPr>
          <w:szCs w:val="24"/>
        </w:rPr>
        <w:t xml:space="preserve">As shown in </w:t>
      </w:r>
      <w:r w:rsidRPr="00FE73DE">
        <w:fldChar w:fldCharType="begin"/>
      </w:r>
      <w:r w:rsidRPr="00FE73DE">
        <w:instrText xml:space="preserve"> REF _Ref105004362 \h </w:instrText>
      </w:r>
      <w:r w:rsidRPr="00FE73DE">
        <w:fldChar w:fldCharType="separate"/>
      </w:r>
      <w:r w:rsidR="004718C9" w:rsidRPr="00FE73DE">
        <w:rPr>
          <w:szCs w:val="20"/>
        </w:rPr>
        <w:t xml:space="preserve">Table </w:t>
      </w:r>
      <w:r w:rsidR="004718C9">
        <w:rPr>
          <w:noProof/>
          <w:szCs w:val="20"/>
        </w:rPr>
        <w:t>8</w:t>
      </w:r>
      <w:r w:rsidRPr="00FE73DE">
        <w:fldChar w:fldCharType="end"/>
      </w:r>
      <w:r w:rsidRPr="00FE73DE">
        <w:t>, e</w:t>
      </w:r>
      <w:r w:rsidRPr="00FE73DE">
        <w:rPr>
          <w:szCs w:val="24"/>
        </w:rPr>
        <w:t>nabling and servicing this growth has been a range of government and private industry programs/initiatives broader than the BSP</w:t>
      </w:r>
      <w:r w:rsidR="00DD3B85">
        <w:rPr>
          <w:rStyle w:val="FootnoteReference"/>
        </w:rPr>
        <w:footnoteReference w:id="61"/>
      </w:r>
      <w:r w:rsidR="00407069">
        <w:rPr>
          <w:szCs w:val="24"/>
        </w:rPr>
        <w:t>,</w:t>
      </w:r>
      <w:r w:rsidRPr="00FE73DE">
        <w:rPr>
          <w:szCs w:val="24"/>
        </w:rPr>
        <w:t xml:space="preserve"> including:</w:t>
      </w:r>
    </w:p>
    <w:p w14:paraId="5CB90864" w14:textId="202BFA7F" w:rsidR="009E23A2" w:rsidRPr="00FE73DE" w:rsidRDefault="00407069">
      <w:pPr>
        <w:pStyle w:val="ListBullet"/>
      </w:pPr>
      <w:r>
        <w:t>g</w:t>
      </w:r>
      <w:r w:rsidR="009E23A2" w:rsidRPr="00FE73DE">
        <w:t>overnment fund</w:t>
      </w:r>
      <w:r>
        <w:t>ed</w:t>
      </w:r>
      <w:r w:rsidR="009E23A2" w:rsidRPr="00FE73DE">
        <w:t xml:space="preserve"> policies such as the IPP, other federal government funding</w:t>
      </w:r>
      <w:r>
        <w:t>,</w:t>
      </w:r>
      <w:r w:rsidR="009E23A2" w:rsidRPr="00FE73DE">
        <w:t xml:space="preserve"> and state-based policies</w:t>
      </w:r>
    </w:p>
    <w:p w14:paraId="4183DEFC" w14:textId="38305507" w:rsidR="009E23A2" w:rsidRPr="00FE73DE" w:rsidRDefault="00407069">
      <w:pPr>
        <w:pStyle w:val="ListBullet"/>
      </w:pPr>
      <w:r>
        <w:t>b</w:t>
      </w:r>
      <w:r w:rsidR="009E23A2" w:rsidRPr="00FE73DE">
        <w:t xml:space="preserve">usiness chambers including Indigenous chambers of commerce and business hubs which provide a range of business support services and networking opportunities </w:t>
      </w:r>
    </w:p>
    <w:p w14:paraId="7B0E50A5" w14:textId="4E7B273E" w:rsidR="009E23A2" w:rsidRPr="00FE73DE" w:rsidRDefault="009E23A2">
      <w:pPr>
        <w:pStyle w:val="ListBullet"/>
      </w:pPr>
      <w:r w:rsidRPr="00FE73DE">
        <w:t>Indigenous support organisations</w:t>
      </w:r>
    </w:p>
    <w:p w14:paraId="6F38C7BE" w14:textId="1C8DD96C" w:rsidR="009E23A2" w:rsidRPr="00FE73DE" w:rsidRDefault="00407069">
      <w:pPr>
        <w:pStyle w:val="ListBullet"/>
      </w:pPr>
      <w:r>
        <w:t>c</w:t>
      </w:r>
      <w:r w:rsidR="009E23A2" w:rsidRPr="00FE73DE">
        <w:t>orporations developing corporate social responsibility programs.</w:t>
      </w:r>
    </w:p>
    <w:p w14:paraId="25B2D8C7" w14:textId="263A9EE9" w:rsidR="009C06BD" w:rsidRDefault="00FE11D0" w:rsidP="006414A4">
      <w:r w:rsidRPr="00FE73DE">
        <w:rPr>
          <w:szCs w:val="24"/>
        </w:rPr>
        <w:t>This creates a pluralistic environment of opportunity, with similar complementary but sometimes overlapping services</w:t>
      </w:r>
      <w:r w:rsidR="00F72D59">
        <w:rPr>
          <w:szCs w:val="24"/>
        </w:rPr>
        <w:t xml:space="preserve"> as</w:t>
      </w:r>
      <w:r w:rsidRPr="00FE73DE">
        <w:rPr>
          <w:szCs w:val="24"/>
        </w:rPr>
        <w:t xml:space="preserve"> they have </w:t>
      </w:r>
      <w:r w:rsidR="00F72D59">
        <w:rPr>
          <w:szCs w:val="24"/>
        </w:rPr>
        <w:t xml:space="preserve">been </w:t>
      </w:r>
      <w:r w:rsidRPr="00FE73DE">
        <w:rPr>
          <w:szCs w:val="24"/>
        </w:rPr>
        <w:t>developed in different contexts, localities</w:t>
      </w:r>
      <w:r w:rsidR="00407069">
        <w:rPr>
          <w:szCs w:val="24"/>
        </w:rPr>
        <w:t>,</w:t>
      </w:r>
      <w:r w:rsidRPr="00FE73DE">
        <w:rPr>
          <w:szCs w:val="24"/>
        </w:rPr>
        <w:t xml:space="preserve"> and with different resources</w:t>
      </w:r>
      <w:r w:rsidR="00407069">
        <w:rPr>
          <w:szCs w:val="24"/>
        </w:rPr>
        <w:t>.</w:t>
      </w:r>
      <w:r w:rsidRPr="00FE73DE">
        <w:rPr>
          <w:rStyle w:val="FootnoteReference"/>
          <w:szCs w:val="24"/>
        </w:rPr>
        <w:footnoteReference w:id="62"/>
      </w:r>
      <w:r w:rsidRPr="00FE73DE">
        <w:rPr>
          <w:szCs w:val="24"/>
        </w:rPr>
        <w:t xml:space="preserve"> This includes businesses participating in Indigenous business chambers of commerce and connecting to opportunities through membership such as Supply Nation.</w:t>
      </w:r>
      <w:r w:rsidR="004801F9" w:rsidRPr="00FE73DE">
        <w:rPr>
          <w:szCs w:val="24"/>
        </w:rPr>
        <w:t xml:space="preserve"> T</w:t>
      </w:r>
      <w:r w:rsidR="004801F9" w:rsidRPr="00FE73DE">
        <w:t>here also appears to be no clear coordinating point across organisations</w:t>
      </w:r>
      <w:r w:rsidR="008F13E6" w:rsidRPr="00FE73DE">
        <w:t xml:space="preserve">. </w:t>
      </w:r>
    </w:p>
    <w:p w14:paraId="07355D76" w14:textId="77777777" w:rsidR="009C06BD" w:rsidRDefault="008F13E6" w:rsidP="006414A4">
      <w:r w:rsidRPr="00FE73DE">
        <w:t>In addition, and as noted under section 3, the definitions of sector cohorts used in reporting even within the BSP is not clearly defined, no</w:t>
      </w:r>
      <w:r w:rsidR="00BE551E" w:rsidRPr="00FE73DE">
        <w:t>r</w:t>
      </w:r>
      <w:r w:rsidRPr="00FE73DE">
        <w:t xml:space="preserve"> do the terms cut across the different BSP service offerings. This makes comparisons across the different support initiatives difficult. </w:t>
      </w:r>
    </w:p>
    <w:p w14:paraId="2E905EA3" w14:textId="779AC2F0" w:rsidR="00FE11D0" w:rsidRPr="00FE73DE" w:rsidRDefault="00FE11D0" w:rsidP="006414A4">
      <w:r w:rsidRPr="00FE73DE">
        <w:t>T</w:t>
      </w:r>
      <w:r w:rsidR="00BC3284" w:rsidRPr="00FE73DE">
        <w:t xml:space="preserve">he business hubs as well as many of the more established Indigenous business chambers of commerce provide a facilitation service to help a member to obtain access to finance. This facilitation service often links to negotiations with Industry partners to adjust (decompartmentalise) their delivery contracts to enable smaller business entities to build up a proven profile of delivery, thus becoming a lower risk organisation and gaining access to commercial finance. </w:t>
      </w:r>
      <w:r w:rsidRPr="00FE73DE">
        <w:t>This was particularly noted in discussions with Yarpa Hub.</w:t>
      </w:r>
    </w:p>
    <w:p w14:paraId="0EFA8C52" w14:textId="38EE3E31" w:rsidR="008F13E6" w:rsidRPr="00FE73DE" w:rsidRDefault="008F13E6" w:rsidP="006414A4"/>
    <w:p w14:paraId="584D3267" w14:textId="77777777" w:rsidR="00EB0AA2" w:rsidRPr="00FE73DE" w:rsidRDefault="00EB0AA2" w:rsidP="006414A4">
      <w:pPr>
        <w:sectPr w:rsidR="00EB0AA2" w:rsidRPr="00FE73DE" w:rsidSect="00D30CC4">
          <w:pgSz w:w="11906" w:h="16838" w:code="9"/>
          <w:pgMar w:top="1701" w:right="1503" w:bottom="1135" w:left="1503" w:header="680" w:footer="567" w:gutter="0"/>
          <w:cols w:space="708"/>
          <w:docGrid w:linePitch="360"/>
        </w:sectPr>
      </w:pPr>
    </w:p>
    <w:p w14:paraId="57BEC158" w14:textId="51283E37" w:rsidR="00EB0AA2" w:rsidRPr="00FE73DE" w:rsidRDefault="00EB0AA2" w:rsidP="0000670E">
      <w:pPr>
        <w:pStyle w:val="Caption"/>
        <w:keepNext/>
        <w:spacing w:before="0" w:after="0"/>
        <w:rPr>
          <w:szCs w:val="20"/>
        </w:rPr>
      </w:pPr>
      <w:bookmarkStart w:id="147" w:name="_Ref105004362"/>
      <w:bookmarkStart w:id="148" w:name="_Ref123649546"/>
      <w:r w:rsidRPr="00FE73DE">
        <w:rPr>
          <w:szCs w:val="20"/>
        </w:rPr>
        <w:t xml:space="preserve">Table </w:t>
      </w:r>
      <w:r w:rsidRPr="00FE73DE">
        <w:rPr>
          <w:szCs w:val="20"/>
        </w:rPr>
        <w:fldChar w:fldCharType="begin"/>
      </w:r>
      <w:r w:rsidRPr="00FE73DE">
        <w:rPr>
          <w:szCs w:val="20"/>
        </w:rPr>
        <w:instrText xml:space="preserve"> SEQ Table \* ARABIC </w:instrText>
      </w:r>
      <w:r w:rsidRPr="00FE73DE">
        <w:rPr>
          <w:szCs w:val="20"/>
        </w:rPr>
        <w:fldChar w:fldCharType="separate"/>
      </w:r>
      <w:r w:rsidR="004718C9">
        <w:rPr>
          <w:noProof/>
          <w:szCs w:val="20"/>
        </w:rPr>
        <w:t>8</w:t>
      </w:r>
      <w:r w:rsidRPr="00FE73DE">
        <w:rPr>
          <w:szCs w:val="20"/>
        </w:rPr>
        <w:fldChar w:fldCharType="end"/>
      </w:r>
      <w:bookmarkEnd w:id="147"/>
      <w:r w:rsidRPr="00FE73DE">
        <w:rPr>
          <w:szCs w:val="20"/>
        </w:rPr>
        <w:t xml:space="preserve">: </w:t>
      </w:r>
      <w:r w:rsidRPr="00FE73DE">
        <w:t>Indigenous specific business support and access to capital entities</w:t>
      </w:r>
      <w:bookmarkEnd w:id="148"/>
    </w:p>
    <w:p w14:paraId="0AAF5410" w14:textId="5CED2095" w:rsidR="00EB0AA2" w:rsidRPr="00FE73DE" w:rsidRDefault="00EB0AA2" w:rsidP="006414A4">
      <w:r w:rsidRPr="00FE73DE">
        <w:rPr>
          <w:noProof/>
          <w:lang w:eastAsia="en-AU"/>
        </w:rPr>
        <w:drawing>
          <wp:inline distT="0" distB="0" distL="0" distR="0" wp14:anchorId="104D97A8" wp14:editId="583E8E01">
            <wp:extent cx="8453824" cy="5613721"/>
            <wp:effectExtent l="0" t="0" r="0" b="0"/>
            <wp:docPr id="40" name="Picture 4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able&#10;&#10;Description automatically generated"/>
                    <pic:cNvPicPr/>
                  </pic:nvPicPr>
                  <pic:blipFill>
                    <a:blip r:embed="rId43" cstate="print">
                      <a:extLst>
                        <a:ext uri="{28A0092B-C50C-407E-A947-70E740481C1C}">
                          <a14:useLocalDpi xmlns:a14="http://schemas.microsoft.com/office/drawing/2010/main"/>
                        </a:ext>
                      </a:extLst>
                    </a:blip>
                    <a:stretch>
                      <a:fillRect/>
                    </a:stretch>
                  </pic:blipFill>
                  <pic:spPr>
                    <a:xfrm>
                      <a:off x="0" y="0"/>
                      <a:ext cx="8541090" cy="5671669"/>
                    </a:xfrm>
                    <a:prstGeom prst="rect">
                      <a:avLst/>
                    </a:prstGeom>
                  </pic:spPr>
                </pic:pic>
              </a:graphicData>
            </a:graphic>
          </wp:inline>
        </w:drawing>
      </w:r>
    </w:p>
    <w:p w14:paraId="2493853E" w14:textId="4C0C308C" w:rsidR="00EB0AA2" w:rsidRPr="00FE73DE" w:rsidRDefault="00EB0AA2" w:rsidP="006414A4">
      <w:pPr>
        <w:sectPr w:rsidR="00EB0AA2" w:rsidRPr="00FE73DE" w:rsidSect="0069077D">
          <w:footerReference w:type="default" r:id="rId44"/>
          <w:pgSz w:w="16838" w:h="11906" w:orient="landscape" w:code="9"/>
          <w:pgMar w:top="1418" w:right="1134" w:bottom="1418" w:left="1134" w:header="680" w:footer="567" w:gutter="0"/>
          <w:cols w:space="708"/>
          <w:docGrid w:linePitch="360"/>
        </w:sectPr>
      </w:pPr>
    </w:p>
    <w:p w14:paraId="7A88A113" w14:textId="20FDB2B3" w:rsidR="006E3FD1" w:rsidRPr="00FE73DE" w:rsidRDefault="004F14FC" w:rsidP="006414A4">
      <w:r>
        <w:t xml:space="preserve">As highlighted by the extent of </w:t>
      </w:r>
      <w:r w:rsidR="00EB0AA2" w:rsidRPr="00FE73DE">
        <w:t>available support</w:t>
      </w:r>
      <w:r>
        <w:t xml:space="preserve"> summarised above in </w:t>
      </w:r>
      <w:r>
        <w:fldChar w:fldCharType="begin"/>
      </w:r>
      <w:r>
        <w:instrText xml:space="preserve"> REF _Ref105004362 \h </w:instrText>
      </w:r>
      <w:r>
        <w:fldChar w:fldCharType="separate"/>
      </w:r>
      <w:r w:rsidR="004718C9" w:rsidRPr="00FE73DE">
        <w:rPr>
          <w:szCs w:val="20"/>
        </w:rPr>
        <w:t xml:space="preserve">Table </w:t>
      </w:r>
      <w:r w:rsidR="004718C9">
        <w:rPr>
          <w:noProof/>
          <w:szCs w:val="20"/>
        </w:rPr>
        <w:t>8</w:t>
      </w:r>
      <w:r>
        <w:fldChar w:fldCharType="end"/>
      </w:r>
      <w:r w:rsidR="00EB0AA2" w:rsidRPr="00FE73DE">
        <w:t xml:space="preserve">, </w:t>
      </w:r>
      <w:r>
        <w:t xml:space="preserve">there is a wide </w:t>
      </w:r>
      <w:r w:rsidR="00BC3284" w:rsidRPr="00FE73DE">
        <w:t>variety of different support mechanisms, procurement policies</w:t>
      </w:r>
      <w:r w:rsidR="00407069">
        <w:t>,</w:t>
      </w:r>
      <w:r w:rsidR="00BC3284" w:rsidRPr="00FE73DE">
        <w:t xml:space="preserve"> and eligibility criteria across the support offerings to help Indigenous businesses</w:t>
      </w:r>
      <w:r>
        <w:t xml:space="preserve">. Stakeholder consultations reinforced the </w:t>
      </w:r>
      <w:r w:rsidR="00BC3284" w:rsidRPr="00FE73DE">
        <w:t>challenge of navigating through the</w:t>
      </w:r>
      <w:r w:rsidR="009228C4">
        <w:t>se support offerings</w:t>
      </w:r>
      <w:r w:rsidR="00BC3284" w:rsidRPr="00FE73DE">
        <w:t>.</w:t>
      </w:r>
      <w:r w:rsidR="008F13E6" w:rsidRPr="00FE73DE">
        <w:t xml:space="preserve"> </w:t>
      </w:r>
      <w:r w:rsidR="009228C4">
        <w:t>For example, t</w:t>
      </w:r>
      <w:r w:rsidR="008F13E6" w:rsidRPr="00FE73DE">
        <w:t>here is a lack of transparency when it comes to eligibility requirements other than the need to provide evidence of descent.</w:t>
      </w:r>
      <w:r w:rsidR="009228C4">
        <w:t xml:space="preserve"> </w:t>
      </w:r>
      <w:r w:rsidR="008A5DB3">
        <w:t>In some instances, a</w:t>
      </w:r>
      <w:r w:rsidR="009228C4">
        <w:t xml:space="preserve">n Indigenous business may be defined as </w:t>
      </w:r>
      <w:r w:rsidR="009228C4" w:rsidRPr="00A04A78">
        <w:t>any business that is 50</w:t>
      </w:r>
      <w:r w:rsidR="009228C4">
        <w:t>%</w:t>
      </w:r>
      <w:r w:rsidR="009228C4" w:rsidRPr="00A04A78">
        <w:t xml:space="preserve"> or more Indigenous owned</w:t>
      </w:r>
      <w:r w:rsidR="009228C4">
        <w:t>.</w:t>
      </w:r>
      <w:r w:rsidR="008A5DB3">
        <w:t xml:space="preserve"> For support from IBA, a </w:t>
      </w:r>
      <w:r w:rsidR="009228C4">
        <w:t xml:space="preserve">business needs to be at least 50% Indigenous owned and Indigenous led. To be a ‘registered’ Supply Nation supplier the business needs to be at least 50% owned, but to be considered a ‘certified’ supplier the business requires 51% ownership, management and control by Indigenous people. This variability of basic concepts </w:t>
      </w:r>
      <w:r w:rsidR="00A04A78">
        <w:t>reinforces</w:t>
      </w:r>
      <w:r w:rsidR="008A5DB3">
        <w:t xml:space="preserve"> </w:t>
      </w:r>
      <w:r w:rsidR="008F13E6" w:rsidRPr="00FE73DE">
        <w:t xml:space="preserve">the need for some consistent definitions and use of terminology to describe the type and level of support available.   </w:t>
      </w:r>
    </w:p>
    <w:p w14:paraId="33B65677" w14:textId="76297F2F" w:rsidR="004801F9" w:rsidRPr="00FE73DE" w:rsidRDefault="004801F9" w:rsidP="004801F9">
      <w:r w:rsidRPr="00FE73DE">
        <w:t xml:space="preserve">Identifying the organisations </w:t>
      </w:r>
      <w:r w:rsidR="00407069">
        <w:t>that</w:t>
      </w:r>
      <w:r w:rsidRPr="00FE73DE">
        <w:t xml:space="preserve"> service different regions is complicated</w:t>
      </w:r>
      <w:r w:rsidR="00407069">
        <w:t>,</w:t>
      </w:r>
      <w:r w:rsidRPr="00FE73DE">
        <w:t xml:space="preserve"> as some organisations offer services nation- or state-wide, while others are provided at a local or regional scale. Organisations and policies which previously provided Indigenous business support, and which are now dormant, lack information to redirect enquiries. The inconsistencies between definitions of an Indigenous owned business mean some businesses are ineligible to receive services from state or territory organisations but eligible to receive services from federal-level organisations. The current Indigenous ecosystem is shown </w:t>
      </w:r>
      <w:r w:rsidR="006449E9" w:rsidRPr="00FE73DE">
        <w:t>below.</w:t>
      </w:r>
    </w:p>
    <w:p w14:paraId="569993DD" w14:textId="77777777" w:rsidR="004801F9" w:rsidRPr="00FE73DE" w:rsidRDefault="004801F9" w:rsidP="004801F9"/>
    <w:p w14:paraId="7902E0E8" w14:textId="397381F1" w:rsidR="004801F9" w:rsidRPr="00FE73DE" w:rsidRDefault="004801F9" w:rsidP="004801F9">
      <w:r w:rsidRPr="00FE73DE">
        <w:rPr>
          <w:noProof/>
          <w:lang w:eastAsia="en-AU"/>
        </w:rPr>
        <w:drawing>
          <wp:inline distT="0" distB="0" distL="0" distR="0" wp14:anchorId="1F4CBEAA" wp14:editId="5C0C9418">
            <wp:extent cx="5704451" cy="359380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a:stretch>
                      <a:fillRect/>
                    </a:stretch>
                  </pic:blipFill>
                  <pic:spPr>
                    <a:xfrm>
                      <a:off x="0" y="0"/>
                      <a:ext cx="5712780" cy="3599052"/>
                    </a:xfrm>
                    <a:prstGeom prst="rect">
                      <a:avLst/>
                    </a:prstGeom>
                  </pic:spPr>
                </pic:pic>
              </a:graphicData>
            </a:graphic>
          </wp:inline>
        </w:drawing>
      </w:r>
    </w:p>
    <w:p w14:paraId="2F7B8D0B" w14:textId="66DFDD11" w:rsidR="004801F9" w:rsidRPr="00FE73DE" w:rsidRDefault="004801F9" w:rsidP="004801F9">
      <w:pPr>
        <w:pStyle w:val="Caption"/>
        <w:keepNext/>
        <w:spacing w:after="0"/>
      </w:pPr>
      <w:r w:rsidRPr="00FE73DE">
        <w:t xml:space="preserve">Figure </w:t>
      </w:r>
      <w:fldSimple w:instr=" SEQ Figure \* ARABIC ">
        <w:r w:rsidR="004718C9">
          <w:rPr>
            <w:noProof/>
          </w:rPr>
          <w:t>28</w:t>
        </w:r>
      </w:fldSimple>
      <w:r w:rsidRPr="00FE73DE">
        <w:t>: Indigenous business support ecosystem</w:t>
      </w:r>
    </w:p>
    <w:p w14:paraId="31DEB889" w14:textId="77777777" w:rsidR="004801F9" w:rsidRPr="00FE73DE" w:rsidRDefault="004801F9" w:rsidP="004801F9">
      <w:pPr>
        <w:pStyle w:val="TableNote"/>
      </w:pPr>
      <w:r w:rsidRPr="00FE73DE">
        <w:t>Source: Sustineo</w:t>
      </w:r>
    </w:p>
    <w:p w14:paraId="63045194" w14:textId="76D5AA5C" w:rsidR="004801F9" w:rsidRPr="00FE73DE" w:rsidRDefault="004801F9" w:rsidP="004801F9">
      <w:pPr>
        <w:rPr>
          <w:szCs w:val="24"/>
        </w:rPr>
      </w:pPr>
      <w:r w:rsidRPr="00FE73DE">
        <w:rPr>
          <w:szCs w:val="24"/>
        </w:rPr>
        <w:t xml:space="preserve">In the future delivery of support for Indigenous entrepreneurs and businesses, consideration should be given to a coordinating ‘hub’ of sorts that could provide an overarching information conduit </w:t>
      </w:r>
      <w:r w:rsidR="00407069">
        <w:rPr>
          <w:szCs w:val="24"/>
        </w:rPr>
        <w:t>to</w:t>
      </w:r>
      <w:r w:rsidRPr="00FE73DE">
        <w:rPr>
          <w:szCs w:val="24"/>
        </w:rPr>
        <w:t xml:space="preserve"> talk with a business (emerging or established) to understand what their goal is.</w:t>
      </w:r>
    </w:p>
    <w:p w14:paraId="1F4FC9D2" w14:textId="36ED02C3" w:rsidR="00615718" w:rsidRPr="00FE73DE" w:rsidRDefault="004801F9" w:rsidP="004801F9">
      <w:pPr>
        <w:spacing w:after="200" w:line="276" w:lineRule="auto"/>
        <w:rPr>
          <w:szCs w:val="24"/>
        </w:rPr>
      </w:pPr>
      <w:r w:rsidRPr="00FE73DE">
        <w:rPr>
          <w:szCs w:val="24"/>
        </w:rPr>
        <w:t>There is currently a missing link in the Indigenous business support ecosystem for how a business interacts across the various support offerings. In addition to the various support entities, the maturation of national and state government Indigenous procurement policies, linked at times to registration requirements with bodies like Supply Nation, NSWICC and Kinaway add an additional layer of business opportunity but can be complex to navigate.</w:t>
      </w:r>
      <w:r w:rsidR="00D4107B" w:rsidRPr="00FE73DE">
        <w:rPr>
          <w:szCs w:val="24"/>
        </w:rPr>
        <w:t xml:space="preserve"> Requirements for registration or membership varies state by state, with no national consistency. </w:t>
      </w:r>
      <w:r w:rsidR="00BE551E" w:rsidRPr="00FE73DE">
        <w:rPr>
          <w:szCs w:val="24"/>
        </w:rPr>
        <w:t>Research from the University of Melbourne</w:t>
      </w:r>
      <w:r w:rsidR="00BE551E" w:rsidRPr="00FE73DE">
        <w:rPr>
          <w:rStyle w:val="FootnoteReference"/>
          <w:szCs w:val="24"/>
        </w:rPr>
        <w:footnoteReference w:id="63"/>
      </w:r>
      <w:r w:rsidR="00BE551E" w:rsidRPr="00FE73DE">
        <w:rPr>
          <w:szCs w:val="24"/>
        </w:rPr>
        <w:t xml:space="preserve"> highlights the challenges of identifying and analysing Indigenous businesses given the absence of a </w:t>
      </w:r>
      <w:r w:rsidR="007600E7" w:rsidRPr="00FE73DE">
        <w:rPr>
          <w:szCs w:val="24"/>
        </w:rPr>
        <w:t xml:space="preserve">common, nationally consistent ‘single-point’ of registration. </w:t>
      </w:r>
    </w:p>
    <w:p w14:paraId="37BA9619" w14:textId="7006D595" w:rsidR="004801F9" w:rsidRPr="00FE73DE" w:rsidRDefault="004801F9" w:rsidP="004801F9">
      <w:pPr>
        <w:spacing w:after="200" w:line="276" w:lineRule="auto"/>
        <w:rPr>
          <w:szCs w:val="24"/>
        </w:rPr>
      </w:pPr>
      <w:r w:rsidRPr="00FE73DE">
        <w:rPr>
          <w:szCs w:val="24"/>
        </w:rPr>
        <w:t>There would be considerable value in identifying and supporting an entity to be responsible as a ‘bridge’ helping to identify, advoca</w:t>
      </w:r>
      <w:r w:rsidR="00C14A09">
        <w:rPr>
          <w:szCs w:val="24"/>
        </w:rPr>
        <w:t>te for,</w:t>
      </w:r>
      <w:r w:rsidRPr="00FE73DE">
        <w:rPr>
          <w:szCs w:val="24"/>
        </w:rPr>
        <w:t xml:space="preserve"> and support individuals on a needs-basis to navigate the support ecosystem. This role has not been satisfied by the current </w:t>
      </w:r>
      <w:r w:rsidR="00A04A78">
        <w:rPr>
          <w:szCs w:val="24"/>
        </w:rPr>
        <w:t xml:space="preserve">BSP </w:t>
      </w:r>
      <w:r w:rsidRPr="00FE73DE">
        <w:rPr>
          <w:szCs w:val="24"/>
        </w:rPr>
        <w:t>arrangement with IBA.</w:t>
      </w:r>
      <w:r w:rsidR="00A04456" w:rsidRPr="00FE73DE">
        <w:rPr>
          <w:szCs w:val="24"/>
        </w:rPr>
        <w:t xml:space="preserve"> In many ways this role could be likened to a combined role of a business advocate and a business broker. </w:t>
      </w:r>
    </w:p>
    <w:p w14:paraId="5E285587" w14:textId="0606606B" w:rsidR="006449E9" w:rsidRPr="00FE73DE" w:rsidRDefault="006449E9" w:rsidP="006449E9">
      <w:pPr>
        <w:spacing w:after="200" w:line="276" w:lineRule="auto"/>
        <w:rPr>
          <w:szCs w:val="24"/>
        </w:rPr>
      </w:pPr>
      <w:r w:rsidRPr="00FE73DE">
        <w:rPr>
          <w:szCs w:val="24"/>
        </w:rPr>
        <w:t xml:space="preserve">This is also supported by Supply Nation </w:t>
      </w:r>
      <w:r w:rsidR="002F2F8E" w:rsidRPr="00FE73DE">
        <w:rPr>
          <w:szCs w:val="24"/>
        </w:rPr>
        <w:t xml:space="preserve">and First Australians Capital </w:t>
      </w:r>
      <w:r w:rsidRPr="00FE73DE">
        <w:rPr>
          <w:szCs w:val="24"/>
        </w:rPr>
        <w:t xml:space="preserve">who </w:t>
      </w:r>
      <w:r w:rsidR="002F2F8E" w:rsidRPr="00FE73DE">
        <w:rPr>
          <w:szCs w:val="24"/>
        </w:rPr>
        <w:t>have identified how financial institutions and government can better meet Indigenous business funding needs</w:t>
      </w:r>
      <w:r w:rsidRPr="00FE73DE">
        <w:rPr>
          <w:szCs w:val="24"/>
        </w:rPr>
        <w:t>:</w:t>
      </w:r>
    </w:p>
    <w:p w14:paraId="4C660671" w14:textId="46F16133" w:rsidR="006449E9" w:rsidRPr="00FE73DE" w:rsidRDefault="002F2F8E">
      <w:pPr>
        <w:pStyle w:val="Boxbullett"/>
        <w:numPr>
          <w:ilvl w:val="0"/>
          <w:numId w:val="25"/>
        </w:numPr>
        <w:rPr>
          <w:iCs/>
          <w:szCs w:val="24"/>
        </w:rPr>
      </w:pPr>
      <w:r w:rsidRPr="00FE73DE">
        <w:rPr>
          <w:iCs/>
          <w:szCs w:val="24"/>
        </w:rPr>
        <w:t>Create</w:t>
      </w:r>
      <w:r w:rsidR="006449E9" w:rsidRPr="00FE73DE">
        <w:rPr>
          <w:iCs/>
          <w:szCs w:val="24"/>
        </w:rPr>
        <w:t xml:space="preserve"> greater visibility of available funding sources across sectors and regions. For example financial institutions </w:t>
      </w:r>
      <w:r w:rsidRPr="00FE73DE">
        <w:rPr>
          <w:iCs/>
          <w:szCs w:val="24"/>
        </w:rPr>
        <w:t xml:space="preserve">and government </w:t>
      </w:r>
      <w:r w:rsidR="006449E9" w:rsidRPr="00FE73DE">
        <w:rPr>
          <w:iCs/>
          <w:szCs w:val="24"/>
        </w:rPr>
        <w:t>can more widely promote grant and loan options that already exist and provide the realistic support to make a successful application.</w:t>
      </w:r>
    </w:p>
    <w:p w14:paraId="0111F432" w14:textId="7CE98151" w:rsidR="006449E9" w:rsidRPr="00FE73DE" w:rsidRDefault="006449E9">
      <w:pPr>
        <w:pStyle w:val="Boxbullett"/>
        <w:numPr>
          <w:ilvl w:val="0"/>
          <w:numId w:val="25"/>
        </w:numPr>
        <w:rPr>
          <w:iCs/>
          <w:szCs w:val="24"/>
        </w:rPr>
      </w:pPr>
      <w:r w:rsidRPr="00FE73DE">
        <w:rPr>
          <w:iCs/>
          <w:szCs w:val="24"/>
        </w:rPr>
        <w:t>Review the design of current funding sources and adopt a more diverse risk profile to ensure they create opportunities for every segment of the Indigenous business market. Funding products with the appropriate risk profile and support service, for businesses at a similar stage of maturity.</w:t>
      </w:r>
      <w:r w:rsidR="002F2F8E" w:rsidRPr="00FE73DE">
        <w:rPr>
          <w:rStyle w:val="FootnoteReference"/>
          <w:iCs/>
          <w:szCs w:val="24"/>
        </w:rPr>
        <w:footnoteReference w:id="64"/>
      </w:r>
    </w:p>
    <w:p w14:paraId="74B7B99D" w14:textId="16C09993" w:rsidR="007E5E8F" w:rsidRDefault="007E5E8F" w:rsidP="007E5E8F">
      <w:pPr>
        <w:pStyle w:val="Heading4"/>
      </w:pPr>
      <w:r>
        <w:t xml:space="preserve">Recommendation </w:t>
      </w:r>
      <w:r w:rsidR="00063D5E">
        <w:t>3</w:t>
      </w:r>
    </w:p>
    <w:p w14:paraId="1C6391EF" w14:textId="0285C1B2" w:rsidR="0026223A" w:rsidRDefault="0012252C" w:rsidP="007E5E8F">
      <w:pPr>
        <w:spacing w:after="200" w:line="276" w:lineRule="auto"/>
      </w:pPr>
      <w:r>
        <w:t>NIAA should undertake a critical review of the suite of Indigenous business support mechanisms with the aim of understanding trends in the business sector, its characteristics</w:t>
      </w:r>
      <w:r w:rsidR="00635C8D">
        <w:t>,</w:t>
      </w:r>
      <w:r>
        <w:t xml:space="preserve"> and associated definitions. This will enable better overall understanding of the Indigenous business sector,</w:t>
      </w:r>
      <w:r w:rsidR="00635C8D">
        <w:t xml:space="preserve"> provide insights into the role of BSP activities compared to other business support initiatives, and enable the identification of</w:t>
      </w:r>
      <w:r>
        <w:t xml:space="preserve"> gaps in support. </w:t>
      </w:r>
      <w:r w:rsidR="00D546FB">
        <w:t>The review should inform the establishment of a formalised registration system, and consistent terminology and definitions for key business lifecycle characteristics (such as ideation, start-up, preparation, early stage, and pre-bank) across the range of business support mechanisms.</w:t>
      </w:r>
    </w:p>
    <w:p w14:paraId="24C2C63A" w14:textId="4FE68A92" w:rsidR="00346D5F" w:rsidRDefault="0028665E" w:rsidP="007620F7">
      <w:pPr>
        <w:spacing w:after="200" w:line="276" w:lineRule="auto"/>
      </w:pPr>
      <w:r w:rsidRPr="00FE73DE">
        <w:t xml:space="preserve">It is expected that having a consistent set of definitions </w:t>
      </w:r>
      <w:r w:rsidR="000C4BF3" w:rsidRPr="00FE73DE">
        <w:t xml:space="preserve">and a formalised registration system </w:t>
      </w:r>
      <w:r w:rsidRPr="00FE73DE">
        <w:t>across the sector would</w:t>
      </w:r>
      <w:r w:rsidR="00346D5F">
        <w:t xml:space="preserve"> generate a range of benefits. For example, it is likely to:</w:t>
      </w:r>
    </w:p>
    <w:p w14:paraId="4B1C2B5E" w14:textId="21B78A88" w:rsidR="00346D5F" w:rsidRDefault="00346D5F" w:rsidP="00346D5F">
      <w:pPr>
        <w:pStyle w:val="ListBullet"/>
      </w:pPr>
      <w:r>
        <w:t>H</w:t>
      </w:r>
      <w:r w:rsidR="0028665E" w:rsidRPr="00FE73DE">
        <w:t>elp Indigenous businesses and entrepreneurs</w:t>
      </w:r>
      <w:r>
        <w:t xml:space="preserve"> to</w:t>
      </w:r>
      <w:r w:rsidR="0028665E" w:rsidRPr="00FE73DE">
        <w:t xml:space="preserve"> better understand the types of service and support available</w:t>
      </w:r>
      <w:r>
        <w:t>.</w:t>
      </w:r>
    </w:p>
    <w:p w14:paraId="5599886C" w14:textId="1C92ED33" w:rsidR="00346D5F" w:rsidRDefault="00346D5F" w:rsidP="00346D5F">
      <w:pPr>
        <w:pStyle w:val="ListBullet"/>
      </w:pPr>
      <w:r>
        <w:t>A</w:t>
      </w:r>
      <w:r w:rsidR="0028665E" w:rsidRPr="00FE73DE">
        <w:t xml:space="preserve">ssist policy makers at all levels of government to understand </w:t>
      </w:r>
      <w:r w:rsidR="000C4BF3" w:rsidRPr="00FE73DE">
        <w:t>the emerging shape of the sector</w:t>
      </w:r>
      <w:r>
        <w:t xml:space="preserve"> and the</w:t>
      </w:r>
      <w:r w:rsidR="0028665E" w:rsidRPr="00FE73DE">
        <w:t xml:space="preserve"> support</w:t>
      </w:r>
      <w:r>
        <w:t xml:space="preserve"> that</w:t>
      </w:r>
      <w:r w:rsidR="0028665E" w:rsidRPr="00FE73DE">
        <w:t xml:space="preserve"> is already available</w:t>
      </w:r>
      <w:r>
        <w:t>. This will ensure that new mechanisms complement existing initiatives and do not create unnecessary duplication</w:t>
      </w:r>
      <w:r w:rsidR="0028665E" w:rsidRPr="00FE73DE">
        <w:t xml:space="preserve">. </w:t>
      </w:r>
    </w:p>
    <w:p w14:paraId="15EA14F0" w14:textId="1B4857B5" w:rsidR="00346D5F" w:rsidRDefault="00346D5F" w:rsidP="00346D5F">
      <w:pPr>
        <w:pStyle w:val="ListBullet"/>
      </w:pPr>
      <w:r>
        <w:t>Support</w:t>
      </w:r>
      <w:r w:rsidRPr="00FE73DE">
        <w:t xml:space="preserve"> </w:t>
      </w:r>
      <w:r>
        <w:t xml:space="preserve">improved reporting on </w:t>
      </w:r>
      <w:r w:rsidRPr="00FE73DE">
        <w:t>the impact</w:t>
      </w:r>
      <w:r>
        <w:t>s of</w:t>
      </w:r>
      <w:r w:rsidRPr="00FE73DE">
        <w:t xml:space="preserve"> </w:t>
      </w:r>
      <w:r>
        <w:t>the various</w:t>
      </w:r>
      <w:r w:rsidRPr="00FE73DE">
        <w:t xml:space="preserve"> support</w:t>
      </w:r>
      <w:r>
        <w:t xml:space="preserve"> mechanisms, and consequent changes in the sector over time</w:t>
      </w:r>
      <w:r w:rsidR="0028665E" w:rsidRPr="00FE73DE">
        <w:t xml:space="preserve">. </w:t>
      </w:r>
    </w:p>
    <w:p w14:paraId="2E553C64" w14:textId="7E0F2747" w:rsidR="0028665E" w:rsidRPr="00FE73DE" w:rsidRDefault="00346D5F" w:rsidP="0034447A">
      <w:pPr>
        <w:pStyle w:val="ListBullet"/>
      </w:pPr>
      <w:r>
        <w:t>A</w:t>
      </w:r>
      <w:r w:rsidR="0028665E" w:rsidRPr="00FE73DE">
        <w:t>ssist researchers in th</w:t>
      </w:r>
      <w:r>
        <w:t>e</w:t>
      </w:r>
      <w:r w:rsidR="0028665E" w:rsidRPr="00FE73DE">
        <w:t xml:space="preserve"> field </w:t>
      </w:r>
      <w:r>
        <w:t>b</w:t>
      </w:r>
      <w:r w:rsidR="009278D1">
        <w:t>y</w:t>
      </w:r>
      <w:r>
        <w:t xml:space="preserve"> supporting</w:t>
      </w:r>
      <w:r w:rsidRPr="00FE73DE">
        <w:t xml:space="preserve"> </w:t>
      </w:r>
      <w:r w:rsidR="007620F7" w:rsidRPr="00FE73DE">
        <w:t>greater comparability across data sources.</w:t>
      </w:r>
      <w:r w:rsidR="007600E7" w:rsidRPr="00FE73DE">
        <w:t xml:space="preserve"> The development of consistent data available for sharing between parties would go some way to addressing the Closing the Gap Priority Reform 4</w:t>
      </w:r>
      <w:r>
        <w:t>,</w:t>
      </w:r>
      <w:r w:rsidR="007600E7" w:rsidRPr="00FE73DE">
        <w:t xml:space="preserve"> discussed above in section </w:t>
      </w:r>
      <w:r w:rsidR="003257FB">
        <w:t>8</w:t>
      </w:r>
      <w:r w:rsidR="007600E7" w:rsidRPr="00FE73DE">
        <w:t>.1.</w:t>
      </w:r>
    </w:p>
    <w:p w14:paraId="7CE31C59" w14:textId="0D706FA4" w:rsidR="007E5E8F" w:rsidRDefault="007E5E8F" w:rsidP="007E5E8F">
      <w:pPr>
        <w:pStyle w:val="Heading4"/>
      </w:pPr>
      <w:r>
        <w:t xml:space="preserve">Recommendation </w:t>
      </w:r>
      <w:r w:rsidR="00063D5E">
        <w:t>4</w:t>
      </w:r>
    </w:p>
    <w:p w14:paraId="57C41884" w14:textId="75A33A00" w:rsidR="0026223A" w:rsidRDefault="00070256" w:rsidP="00FF6BC2">
      <w:r>
        <w:t xml:space="preserve">NIAA must address </w:t>
      </w:r>
      <w:r w:rsidR="00586EF3">
        <w:t>the</w:t>
      </w:r>
      <w:r w:rsidR="00D528AB">
        <w:t xml:space="preserve"> emergent coordination gap across the suite of </w:t>
      </w:r>
      <w:r>
        <w:t xml:space="preserve">Indigenous business sector support </w:t>
      </w:r>
      <w:r w:rsidR="00D528AB">
        <w:t>activities.</w:t>
      </w:r>
      <w:r w:rsidR="0026223A">
        <w:t xml:space="preserve"> As part of this, NIAA should identify and support an entity </w:t>
      </w:r>
      <w:r w:rsidR="003400BA">
        <w:t xml:space="preserve">to be responsible for assisting new and established Indigenous businesses to better understand the variety of business support initiatives </w:t>
      </w:r>
      <w:r w:rsidR="0052081E">
        <w:t xml:space="preserve">and networking opportunities </w:t>
      </w:r>
      <w:r w:rsidR="003400BA">
        <w:t>available</w:t>
      </w:r>
      <w:r w:rsidR="0052081E">
        <w:t>,</w:t>
      </w:r>
      <w:r w:rsidR="003400BA">
        <w:t xml:space="preserve"> and to help businesses identify pathways aligned to their needs. </w:t>
      </w:r>
    </w:p>
    <w:p w14:paraId="79B48AF3" w14:textId="05CE3851" w:rsidR="003400BA" w:rsidRDefault="003400BA" w:rsidP="003400BA">
      <w:r>
        <w:t>The key role for this entity would be to act as a facilitator, helping businesses to identify possible pathways and providing advocacy and support to individuals on a needs-basis across the ecosystem.</w:t>
      </w:r>
      <w:r w:rsidR="00802F09">
        <w:t xml:space="preserve"> To enable this entity to operate effectively, the Commonwealth and other parties operating in the sector will need to improve the</w:t>
      </w:r>
      <w:r>
        <w:t xml:space="preserve"> transparency of eligibility and broad-level selection criteria</w:t>
      </w:r>
      <w:r w:rsidR="006D5E12">
        <w:t xml:space="preserve"> that businesses need to meet to access support</w:t>
      </w:r>
      <w:r>
        <w:t xml:space="preserve">. </w:t>
      </w:r>
    </w:p>
    <w:p w14:paraId="41D7FC5F" w14:textId="266A3815" w:rsidR="005D0DA3" w:rsidRPr="00FE73DE" w:rsidRDefault="006449E9" w:rsidP="00757C55">
      <w:pPr>
        <w:pStyle w:val="Heading2"/>
        <w:ind w:hanging="792"/>
      </w:pPr>
      <w:bookmarkStart w:id="149" w:name="_Toc123734722"/>
      <w:r w:rsidRPr="00FE73DE">
        <w:t xml:space="preserve">Better integration of the BSP with other IBA business support </w:t>
      </w:r>
      <w:r w:rsidR="00DE0A18" w:rsidRPr="00FE73DE">
        <w:t>offerings</w:t>
      </w:r>
      <w:bookmarkEnd w:id="149"/>
    </w:p>
    <w:p w14:paraId="79EDA723" w14:textId="4BA93CB5" w:rsidR="00192BE3" w:rsidRDefault="000871C8" w:rsidP="00DE0A18">
      <w:r>
        <w:t>In addition to the BSP, IBA delivers other business</w:t>
      </w:r>
      <w:r w:rsidR="00192BE3">
        <w:t>-</w:t>
      </w:r>
      <w:r>
        <w:t>related initiatives from its own revenue</w:t>
      </w:r>
      <w:r w:rsidR="00192BE3">
        <w:t>, or under other grant arrangements with NIAA</w:t>
      </w:r>
      <w:r>
        <w:t>.</w:t>
      </w:r>
      <w:r w:rsidR="00192BE3">
        <w:t xml:space="preserve"> As a result, the BSP quarterly reporting and annual financial reconciliation process is only on a sub-set of the support IBA provides to Indigenous businesses.</w:t>
      </w:r>
      <w:r w:rsidR="00991188" w:rsidRPr="00991188">
        <w:t xml:space="preserve"> </w:t>
      </w:r>
      <w:r w:rsidR="00991188">
        <w:t xml:space="preserve">Adding to the complexity of reporting, there were instances where earlier </w:t>
      </w:r>
      <w:r w:rsidR="00991188" w:rsidRPr="00FE73DE">
        <w:rPr>
          <w:szCs w:val="24"/>
        </w:rPr>
        <w:t xml:space="preserve">BSP </w:t>
      </w:r>
      <w:r w:rsidR="00991188">
        <w:rPr>
          <w:szCs w:val="24"/>
        </w:rPr>
        <w:t>reports</w:t>
      </w:r>
      <w:r w:rsidR="00991188" w:rsidRPr="00FE73DE">
        <w:rPr>
          <w:szCs w:val="24"/>
        </w:rPr>
        <w:t xml:space="preserve"> included additional information on business products and services not specifically funded by the BSP grant arrangement.</w:t>
      </w:r>
      <w:r w:rsidR="00991188">
        <w:rPr>
          <w:rStyle w:val="FootnoteReference"/>
        </w:rPr>
        <w:footnoteReference w:id="65"/>
      </w:r>
      <w:r w:rsidR="00192BE3">
        <w:t xml:space="preserve"> </w:t>
      </w:r>
    </w:p>
    <w:p w14:paraId="2E926C62" w14:textId="12259F93" w:rsidR="00DE0A18" w:rsidRPr="00FE73DE" w:rsidRDefault="00991188" w:rsidP="00DE0A18">
      <w:pPr>
        <w:rPr>
          <w:sz w:val="22"/>
        </w:rPr>
      </w:pPr>
      <w:r>
        <w:t>T</w:t>
      </w:r>
      <w:r w:rsidR="000871C8">
        <w:t xml:space="preserve">he </w:t>
      </w:r>
      <w:r w:rsidR="00192BE3">
        <w:t xml:space="preserve">full picture of </w:t>
      </w:r>
      <w:r w:rsidR="00C361B7" w:rsidRPr="00C361B7">
        <w:t>support provided to Indigenous businesses is reported through IBA’s corporate reporting requirements under the PGPA Act, is delivered through IBA’s Business Solutions division, and is governed by the Business Solutions Policy and Procedure Framework and associated IBA policies, procedures, delegations</w:t>
      </w:r>
      <w:r w:rsidR="00C14A09">
        <w:t>,</w:t>
      </w:r>
      <w:r w:rsidR="00C361B7" w:rsidRPr="00C361B7">
        <w:t xml:space="preserve"> and handbooks.</w:t>
      </w:r>
    </w:p>
    <w:p w14:paraId="4254ADEA" w14:textId="4B2DD12F" w:rsidR="00DE0A18" w:rsidRPr="00FE73DE" w:rsidRDefault="00DE0A18" w:rsidP="0085585D">
      <w:pPr>
        <w:keepNext/>
      </w:pPr>
      <w:r w:rsidRPr="00FE73DE">
        <w:t>For example, IBA’s 202</w:t>
      </w:r>
      <w:r w:rsidR="008557E8">
        <w:t>0–</w:t>
      </w:r>
      <w:r w:rsidRPr="00FE73DE">
        <w:t>21 Annual Report stated:</w:t>
      </w:r>
    </w:p>
    <w:p w14:paraId="45A0BA55" w14:textId="16CC6819" w:rsidR="00DE0A18" w:rsidRPr="00FE73DE" w:rsidRDefault="00DE0A18" w:rsidP="00DE0A18">
      <w:pPr>
        <w:pStyle w:val="Boxbullett"/>
        <w:ind w:left="567"/>
      </w:pPr>
      <w:r w:rsidRPr="00FE73DE">
        <w:t>Throughout 2020–21 we offered business relief packages, providing $13.1 million in support to assist 159 customers identify pandemic impacts and identify new opportunities and business models. This included assisting 112 Indigenous businesses we had not worked with before. As part of our ‘business as usual’, we delivered 355 finance products valued at $52.4 million, and 465 different forms of business support and skills development.</w:t>
      </w:r>
      <w:r w:rsidRPr="00FE73DE">
        <w:rPr>
          <w:rStyle w:val="FootnoteReference"/>
        </w:rPr>
        <w:footnoteReference w:id="66"/>
      </w:r>
    </w:p>
    <w:p w14:paraId="42191DEE" w14:textId="5589F2BC" w:rsidR="00DE0A18" w:rsidRDefault="00DE0A18" w:rsidP="00DE0A18">
      <w:pPr>
        <w:rPr>
          <w:szCs w:val="24"/>
        </w:rPr>
      </w:pPr>
      <w:r w:rsidRPr="00FE73DE">
        <w:rPr>
          <w:szCs w:val="24"/>
        </w:rPr>
        <w:t>‘Business as usual’ refers to the standard suite of business services and products provided by IBA</w:t>
      </w:r>
      <w:r w:rsidR="00DC462E">
        <w:rPr>
          <w:szCs w:val="24"/>
        </w:rPr>
        <w:t xml:space="preserve"> under the Business Solutions banner</w:t>
      </w:r>
      <w:r w:rsidRPr="00FE73DE">
        <w:rPr>
          <w:szCs w:val="24"/>
        </w:rPr>
        <w:t>. This includes an annual allocation of $10 million of new BSP funds and additional recycled BSP funds, with the remainder coming from own</w:t>
      </w:r>
      <w:r w:rsidR="00C14A09">
        <w:rPr>
          <w:szCs w:val="24"/>
        </w:rPr>
        <w:t>-</w:t>
      </w:r>
      <w:r w:rsidRPr="00FE73DE">
        <w:rPr>
          <w:szCs w:val="24"/>
        </w:rPr>
        <w:t xml:space="preserve">source income or other IAS funding arrangements. </w:t>
      </w:r>
    </w:p>
    <w:p w14:paraId="5EACFD92" w14:textId="0E065470" w:rsidR="00F32EBA" w:rsidRPr="00FE73DE" w:rsidRDefault="00F33154" w:rsidP="00F32EBA">
      <w:r>
        <w:rPr>
          <w:szCs w:val="24"/>
        </w:rPr>
        <w:t xml:space="preserve">Further, </w:t>
      </w:r>
      <w:r w:rsidR="00F32EBA">
        <w:rPr>
          <w:szCs w:val="24"/>
        </w:rPr>
        <w:t>t</w:t>
      </w:r>
      <w:r w:rsidR="00F32EBA" w:rsidRPr="00FE73DE">
        <w:t>he emphasis and reporting o</w:t>
      </w:r>
      <w:r w:rsidR="00F32EBA">
        <w:t>n</w:t>
      </w:r>
      <w:r w:rsidR="00F32EBA" w:rsidRPr="00FE73DE">
        <w:t xml:space="preserve"> the number of businesses attending business capability workshops was reintroduced in 2020</w:t>
      </w:r>
      <w:r w:rsidR="00F32EBA">
        <w:rPr>
          <w:rFonts w:ascii="Franklin Gothic Book" w:hAnsi="Franklin Gothic Book"/>
        </w:rPr>
        <w:t>–</w:t>
      </w:r>
      <w:r w:rsidR="00F32EBA" w:rsidRPr="00FE73DE">
        <w:t>21 as an IBA corporate performance measure (as outlined in IBA’s Corporate Plan 2020</w:t>
      </w:r>
      <w:r w:rsidR="00F32EBA">
        <w:rPr>
          <w:rFonts w:ascii="Franklin Gothic Book" w:hAnsi="Franklin Gothic Book"/>
        </w:rPr>
        <w:t>–</w:t>
      </w:r>
      <w:r w:rsidR="00F32EBA" w:rsidRPr="00FE73DE">
        <w:t>21 and its PBS). In 2020</w:t>
      </w:r>
      <w:r w:rsidR="00F32EBA">
        <w:rPr>
          <w:rFonts w:ascii="Franklin Gothic Book" w:hAnsi="Franklin Gothic Book"/>
        </w:rPr>
        <w:t>–</w:t>
      </w:r>
      <w:r w:rsidR="00F32EBA" w:rsidRPr="00FE73DE">
        <w:t>21, IBA’s annual target was 500, with a reported result of 502.</w:t>
      </w:r>
      <w:r w:rsidR="00A04A78">
        <w:rPr>
          <w:rStyle w:val="FootnoteReference"/>
        </w:rPr>
        <w:footnoteReference w:id="67"/>
      </w:r>
      <w:r w:rsidR="00F32EBA" w:rsidRPr="00FE73DE">
        <w:t xml:space="preserve"> As the number of customers attending workshops has not been a specific measure for the BSP since 2016</w:t>
      </w:r>
      <w:r w:rsidR="00F32EBA">
        <w:rPr>
          <w:rFonts w:ascii="Franklin Gothic Book" w:hAnsi="Franklin Gothic Book"/>
        </w:rPr>
        <w:t>–</w:t>
      </w:r>
      <w:r w:rsidR="00F32EBA" w:rsidRPr="00FE73DE">
        <w:t xml:space="preserve">17, it is not possible to determine </w:t>
      </w:r>
      <w:r w:rsidR="00F32EBA">
        <w:t>how many</w:t>
      </w:r>
      <w:r w:rsidR="00F32EBA" w:rsidRPr="00FE73DE">
        <w:t xml:space="preserve"> were currently funded through the BSP</w:t>
      </w:r>
      <w:r>
        <w:t xml:space="preserve"> under business support</w:t>
      </w:r>
      <w:r w:rsidR="00F32EBA" w:rsidRPr="00FE73DE">
        <w:t>.</w:t>
      </w:r>
    </w:p>
    <w:p w14:paraId="2B7F3899" w14:textId="73C892CD" w:rsidR="00787E78" w:rsidRDefault="00787E78" w:rsidP="00C361B7">
      <w:pPr>
        <w:rPr>
          <w:szCs w:val="24"/>
        </w:rPr>
      </w:pPr>
      <w:r>
        <w:rPr>
          <w:szCs w:val="24"/>
        </w:rPr>
        <w:t xml:space="preserve">It is recognised that under the structure of a grant agreement, specific purposeful accountability measures need to be applied. These are in addition to the standard PGPA Act reporting requirements expected of all Commonwealth entities. With the increase in the use of other grant arrangements, and own-source funding, the current BSP quarterly reporting arrangements are </w:t>
      </w:r>
      <w:r w:rsidRPr="00C361B7">
        <w:rPr>
          <w:szCs w:val="24"/>
        </w:rPr>
        <w:t>administratively resource intensive</w:t>
      </w:r>
      <w:r w:rsidR="00CC6D21">
        <w:rPr>
          <w:rStyle w:val="FootnoteReference"/>
          <w:szCs w:val="24"/>
        </w:rPr>
        <w:footnoteReference w:id="68"/>
      </w:r>
      <w:r>
        <w:rPr>
          <w:szCs w:val="24"/>
        </w:rPr>
        <w:t xml:space="preserve"> and provide an incomplete picture on the extent of </w:t>
      </w:r>
      <w:r w:rsidR="00CC6D21">
        <w:rPr>
          <w:szCs w:val="24"/>
        </w:rPr>
        <w:t xml:space="preserve">IBA’s </w:t>
      </w:r>
      <w:r>
        <w:rPr>
          <w:szCs w:val="24"/>
        </w:rPr>
        <w:t xml:space="preserve">support being provided to Indigenous businesses and emergent entrepreneurs. </w:t>
      </w:r>
    </w:p>
    <w:p w14:paraId="62250A38" w14:textId="164F941C" w:rsidR="000871C8" w:rsidRDefault="00C361B7" w:rsidP="00C361B7">
      <w:pPr>
        <w:rPr>
          <w:szCs w:val="24"/>
        </w:rPr>
      </w:pPr>
      <w:r w:rsidRPr="00C361B7">
        <w:rPr>
          <w:szCs w:val="24"/>
        </w:rPr>
        <w:t xml:space="preserve">While the annual </w:t>
      </w:r>
      <w:r w:rsidR="00DC462E">
        <w:rPr>
          <w:szCs w:val="24"/>
        </w:rPr>
        <w:t xml:space="preserve">BSP </w:t>
      </w:r>
      <w:r w:rsidRPr="00C361B7">
        <w:rPr>
          <w:szCs w:val="24"/>
        </w:rPr>
        <w:t xml:space="preserve">grant funding makes it necessary to acquit recycled funds through the annual grant reconciliation, these funds are not taken into consideration in the </w:t>
      </w:r>
      <w:r w:rsidR="00641A7C">
        <w:rPr>
          <w:szCs w:val="24"/>
        </w:rPr>
        <w:t xml:space="preserve">revision of </w:t>
      </w:r>
      <w:r w:rsidRPr="00C361B7">
        <w:rPr>
          <w:szCs w:val="24"/>
        </w:rPr>
        <w:t xml:space="preserve">overarching BSP KPIs and the subsequent reporting on use is unclear in the performance reports. </w:t>
      </w:r>
    </w:p>
    <w:p w14:paraId="03847B86" w14:textId="77777777" w:rsidR="00E865A6" w:rsidRDefault="00C361B7" w:rsidP="00C361B7">
      <w:pPr>
        <w:rPr>
          <w:szCs w:val="24"/>
        </w:rPr>
      </w:pPr>
      <w:r w:rsidRPr="00C361B7">
        <w:rPr>
          <w:szCs w:val="24"/>
        </w:rPr>
        <w:t xml:space="preserve">The grant funding modality can also create uncertainties with future funding and staff resources due to expiring grant agreement arrangements, and has a direct impact on IBA’s overarching agency Average Staffing Level cap. Even where funding is allocated into future years in IBA’s PBS, actual funding is only available as agreed in a grant agreement. </w:t>
      </w:r>
    </w:p>
    <w:p w14:paraId="43AD6E86" w14:textId="0F4BABC7" w:rsidR="00C361B7" w:rsidRDefault="00C361B7" w:rsidP="00C361B7">
      <w:pPr>
        <w:rPr>
          <w:szCs w:val="24"/>
        </w:rPr>
      </w:pPr>
      <w:r w:rsidRPr="00C361B7">
        <w:rPr>
          <w:szCs w:val="24"/>
        </w:rPr>
        <w:t xml:space="preserve">As noted in section 5.1, </w:t>
      </w:r>
      <w:r w:rsidR="00546EB0">
        <w:rPr>
          <w:szCs w:val="24"/>
        </w:rPr>
        <w:t>there is no longer a policy-driven need for the grant arrangement and funding could be returned as a direct appropriation</w:t>
      </w:r>
      <w:r w:rsidR="006056F5">
        <w:rPr>
          <w:szCs w:val="24"/>
        </w:rPr>
        <w:t xml:space="preserve"> to IBA. The</w:t>
      </w:r>
      <w:r w:rsidRPr="00C361B7">
        <w:rPr>
          <w:szCs w:val="24"/>
        </w:rPr>
        <w:t xml:space="preserve"> credit policy risk tolerances previously restricting the level of support to BSP target cohorts of early stage and high risk customers are no longer</w:t>
      </w:r>
      <w:r w:rsidR="006056F5">
        <w:rPr>
          <w:szCs w:val="24"/>
        </w:rPr>
        <w:t xml:space="preserve"> specified</w:t>
      </w:r>
      <w:r w:rsidRPr="00C361B7">
        <w:rPr>
          <w:szCs w:val="24"/>
        </w:rPr>
        <w:t xml:space="preserve">. This means that as long as these applicants can satisfy IBA’s leading principles and criteria, these businesses can be supported. </w:t>
      </w:r>
    </w:p>
    <w:p w14:paraId="0DC282B6" w14:textId="2A747F5B" w:rsidR="0026223A" w:rsidRDefault="0026223A" w:rsidP="0026223A">
      <w:pPr>
        <w:rPr>
          <w:szCs w:val="24"/>
        </w:rPr>
      </w:pPr>
      <w:r w:rsidRPr="00EB7918">
        <w:rPr>
          <w:szCs w:val="24"/>
        </w:rPr>
        <w:t xml:space="preserve">The customer demand for BSP services has annually exceeded the KPI targets. Despite the absence of data on </w:t>
      </w:r>
      <w:r w:rsidR="00DC462E">
        <w:rPr>
          <w:szCs w:val="24"/>
        </w:rPr>
        <w:t xml:space="preserve">key </w:t>
      </w:r>
      <w:r w:rsidRPr="00EB7918">
        <w:rPr>
          <w:szCs w:val="24"/>
        </w:rPr>
        <w:t xml:space="preserve">customer demographics, there is clearly ongoing demand from businesses for opportunities to gain business skills, access ongoing mentoring, and take part in other specific loan aftercare initiatives. </w:t>
      </w:r>
      <w:r w:rsidR="00DC462E" w:rsidRPr="00A04A78">
        <w:rPr>
          <w:szCs w:val="24"/>
        </w:rPr>
        <w:t xml:space="preserve">Noting the limited options available for certain support, </w:t>
      </w:r>
      <w:r w:rsidR="00DC462E">
        <w:rPr>
          <w:szCs w:val="24"/>
        </w:rPr>
        <w:t xml:space="preserve">and to </w:t>
      </w:r>
      <w:r w:rsidRPr="00EB7918">
        <w:rPr>
          <w:szCs w:val="24"/>
        </w:rPr>
        <w:t xml:space="preserve">help </w:t>
      </w:r>
      <w:r w:rsidR="00DC462E">
        <w:rPr>
          <w:szCs w:val="24"/>
        </w:rPr>
        <w:t xml:space="preserve">Indigenous </w:t>
      </w:r>
      <w:r w:rsidRPr="00EB7918">
        <w:rPr>
          <w:szCs w:val="24"/>
        </w:rPr>
        <w:t>businesses ultimately participate in the mainstream economy, the BSP should continue to provide targeted support and access to finance to early stage, pre-bank and high</w:t>
      </w:r>
      <w:r w:rsidR="004B2C32">
        <w:rPr>
          <w:szCs w:val="24"/>
        </w:rPr>
        <w:t>er-</w:t>
      </w:r>
      <w:r w:rsidRPr="00EB7918">
        <w:rPr>
          <w:szCs w:val="24"/>
        </w:rPr>
        <w:t>risk businesses. This could continue to be provided under the BSP’s grant arrangement, or as a specific performance measure under IBA’s broader Business Solutions</w:t>
      </w:r>
      <w:r w:rsidR="004B2C32">
        <w:rPr>
          <w:szCs w:val="24"/>
        </w:rPr>
        <w:t xml:space="preserve"> division</w:t>
      </w:r>
      <w:r w:rsidRPr="00EB7918">
        <w:rPr>
          <w:szCs w:val="24"/>
        </w:rPr>
        <w:t>.</w:t>
      </w:r>
    </w:p>
    <w:p w14:paraId="1CA75761" w14:textId="1D5951FE" w:rsidR="0026223A" w:rsidRDefault="0026223A" w:rsidP="00C361B7">
      <w:pPr>
        <w:rPr>
          <w:szCs w:val="24"/>
        </w:rPr>
      </w:pPr>
      <w:r>
        <w:rPr>
          <w:szCs w:val="24"/>
        </w:rPr>
        <w:t>As noted above, s</w:t>
      </w:r>
      <w:r w:rsidRPr="00303F2F">
        <w:rPr>
          <w:szCs w:val="24"/>
        </w:rPr>
        <w:t xml:space="preserve">upport for the very early phases of a business journey is offered by multiple parties. </w:t>
      </w:r>
      <w:r>
        <w:rPr>
          <w:szCs w:val="24"/>
        </w:rPr>
        <w:t xml:space="preserve">Assuming that funding support continues for the various business hubs and state-based </w:t>
      </w:r>
      <w:r w:rsidR="00FF6BC2">
        <w:rPr>
          <w:szCs w:val="24"/>
        </w:rPr>
        <w:t>I</w:t>
      </w:r>
      <w:r>
        <w:rPr>
          <w:szCs w:val="24"/>
        </w:rPr>
        <w:t xml:space="preserve">ndigenous business chambers of commerce and that a future iteration of funding </w:t>
      </w:r>
      <w:r w:rsidR="00CC6D21">
        <w:rPr>
          <w:szCs w:val="24"/>
        </w:rPr>
        <w:t xml:space="preserve">is to </w:t>
      </w:r>
      <w:r>
        <w:rPr>
          <w:szCs w:val="24"/>
        </w:rPr>
        <w:t xml:space="preserve">be provided </w:t>
      </w:r>
      <w:r w:rsidR="00CC6D21">
        <w:rPr>
          <w:szCs w:val="24"/>
        </w:rPr>
        <w:t xml:space="preserve">for </w:t>
      </w:r>
      <w:r>
        <w:rPr>
          <w:szCs w:val="24"/>
        </w:rPr>
        <w:t>BSP</w:t>
      </w:r>
      <w:r w:rsidR="00CC6D21">
        <w:rPr>
          <w:szCs w:val="24"/>
        </w:rPr>
        <w:t>-related activities</w:t>
      </w:r>
      <w:r>
        <w:rPr>
          <w:szCs w:val="24"/>
        </w:rPr>
        <w:t>,</w:t>
      </w:r>
      <w:r w:rsidR="00E55DF1">
        <w:rPr>
          <w:szCs w:val="24"/>
        </w:rPr>
        <w:t xml:space="preserve"> </w:t>
      </w:r>
      <w:r w:rsidR="00E55DF1" w:rsidRPr="00A04A78">
        <w:rPr>
          <w:szCs w:val="24"/>
        </w:rPr>
        <w:t xml:space="preserve">there is an opportunity for </w:t>
      </w:r>
      <w:r w:rsidR="00CC6D21">
        <w:rPr>
          <w:szCs w:val="24"/>
        </w:rPr>
        <w:t xml:space="preserve">IBA </w:t>
      </w:r>
      <w:r w:rsidR="00DC462E" w:rsidRPr="00A04A78">
        <w:rPr>
          <w:szCs w:val="24"/>
        </w:rPr>
        <w:t xml:space="preserve">to better communicate </w:t>
      </w:r>
      <w:r w:rsidR="00CC6D21">
        <w:rPr>
          <w:szCs w:val="24"/>
        </w:rPr>
        <w:t xml:space="preserve">the unique </w:t>
      </w:r>
      <w:r w:rsidR="004B2C32">
        <w:rPr>
          <w:szCs w:val="24"/>
        </w:rPr>
        <w:t xml:space="preserve">aspects of </w:t>
      </w:r>
      <w:r w:rsidR="00CC6D21">
        <w:rPr>
          <w:szCs w:val="24"/>
        </w:rPr>
        <w:t xml:space="preserve">support it provides </w:t>
      </w:r>
      <w:r w:rsidRPr="00FF6BC2">
        <w:rPr>
          <w:szCs w:val="24"/>
        </w:rPr>
        <w:t xml:space="preserve">to those businesses seeking access to finance, particularly those who would not be able to readily obtain suitable finance from alternate sources. </w:t>
      </w:r>
    </w:p>
    <w:p w14:paraId="4FC4B95E" w14:textId="72559999" w:rsidR="00BA474B" w:rsidRDefault="00BA474B" w:rsidP="00BA474B">
      <w:pPr>
        <w:pStyle w:val="Heading1"/>
        <w:numPr>
          <w:ilvl w:val="0"/>
          <w:numId w:val="0"/>
        </w:numPr>
      </w:pPr>
      <w:bookmarkStart w:id="150" w:name="_Toc123734723"/>
      <w:r w:rsidRPr="00FE73DE">
        <w:t xml:space="preserve">Appendix A: </w:t>
      </w:r>
      <w:r>
        <w:t xml:space="preserve">IBA </w:t>
      </w:r>
      <w:r w:rsidR="004F2771">
        <w:t>g</w:t>
      </w:r>
      <w:r>
        <w:t xml:space="preserve">overnance </w:t>
      </w:r>
      <w:r w:rsidR="004F2771">
        <w:t>f</w:t>
      </w:r>
      <w:r>
        <w:t>ramework</w:t>
      </w:r>
      <w:bookmarkEnd w:id="150"/>
    </w:p>
    <w:p w14:paraId="1F0E7E0C" w14:textId="54D61D2A" w:rsidR="00BA474B" w:rsidRDefault="00BA474B" w:rsidP="00BA474B">
      <w:r>
        <w:t xml:space="preserve">The Australian Government has a long history of seeking to support economic and social development for </w:t>
      </w:r>
      <w:r w:rsidRPr="00E76303">
        <w:t>Aboriginal and Torres Strait Islander people</w:t>
      </w:r>
      <w:r>
        <w:t xml:space="preserve"> across Australia. Indigenous Business Australia (IBA), a</w:t>
      </w:r>
      <w:r w:rsidRPr="00282D6F">
        <w:t xml:space="preserve"> statutory authority of the Australian Governmen</w:t>
      </w:r>
      <w:r>
        <w:t xml:space="preserve">t, is an entity that is focused on promoting economic development opportunities for </w:t>
      </w:r>
      <w:r w:rsidRPr="007617A4">
        <w:t>Aboriginal and Torres Strait Islander people</w:t>
      </w:r>
      <w:r>
        <w:t xml:space="preserve">. </w:t>
      </w:r>
    </w:p>
    <w:p w14:paraId="5D46BE50" w14:textId="1AB4B27F" w:rsidR="00BA474B" w:rsidRDefault="00BA474B" w:rsidP="00BA474B">
      <w:r>
        <w:t xml:space="preserve">IBA’s purpose is set out in the </w:t>
      </w:r>
      <w:r w:rsidRPr="007A088D">
        <w:rPr>
          <w:i/>
          <w:iCs/>
        </w:rPr>
        <w:t xml:space="preserve">Aboriginal and Torres Strait Islander Act 2005 </w:t>
      </w:r>
      <w:r>
        <w:t xml:space="preserve">(the ATSI Act). The ATSI Act also gives IBA a range of powers to engage in commercial activities that help serve </w:t>
      </w:r>
      <w:r w:rsidR="00281560">
        <w:t xml:space="preserve">its </w:t>
      </w:r>
      <w:r>
        <w:t xml:space="preserve">purpose. </w:t>
      </w:r>
      <w:r w:rsidR="00414EAD">
        <w:t>IBA is</w:t>
      </w:r>
      <w:r w:rsidR="00414EAD" w:rsidRPr="00282D6F">
        <w:t xml:space="preserve"> accountable to the Parliament and the Minister</w:t>
      </w:r>
      <w:r w:rsidR="00414EAD">
        <w:t xml:space="preserve"> </w:t>
      </w:r>
      <w:r w:rsidR="00414EAD" w:rsidRPr="00282D6F">
        <w:t>for Indigenous Affairs</w:t>
      </w:r>
      <w:r w:rsidR="00414EAD">
        <w:t>, with t</w:t>
      </w:r>
      <w:r>
        <w:t xml:space="preserve">he IBA Board the accountable authority under the </w:t>
      </w:r>
      <w:r w:rsidRPr="00DA4B2F">
        <w:rPr>
          <w:i/>
          <w:iCs/>
        </w:rPr>
        <w:t>Public Governance, Performance and Accountability Act 2013</w:t>
      </w:r>
      <w:r>
        <w:t xml:space="preserve"> (PGPA Act). IBA’s governance framework is shown in </w:t>
      </w:r>
      <w:r>
        <w:fldChar w:fldCharType="begin"/>
      </w:r>
      <w:r>
        <w:instrText xml:space="preserve"> REF _Ref106990363 \h </w:instrText>
      </w:r>
      <w:r>
        <w:fldChar w:fldCharType="separate"/>
      </w:r>
      <w:r w:rsidR="004718C9">
        <w:t xml:space="preserve">Figure </w:t>
      </w:r>
      <w:r w:rsidR="004718C9">
        <w:rPr>
          <w:noProof/>
        </w:rPr>
        <w:t>29</w:t>
      </w:r>
      <w:r>
        <w:fldChar w:fldCharType="end"/>
      </w:r>
      <w:r>
        <w:t>.</w:t>
      </w:r>
    </w:p>
    <w:p w14:paraId="7DFFF506" w14:textId="77777777" w:rsidR="00BA474B" w:rsidRDefault="00BA474B" w:rsidP="00BA474B">
      <w:pPr>
        <w:spacing w:after="0" w:line="240" w:lineRule="auto"/>
      </w:pPr>
      <w:r>
        <w:rPr>
          <w:noProof/>
        </w:rPr>
        <w:drawing>
          <wp:inline distT="0" distB="0" distL="0" distR="0" wp14:anchorId="02022A1A" wp14:editId="2815E9FC">
            <wp:extent cx="4494477" cy="3864334"/>
            <wp:effectExtent l="0" t="0" r="1905" b="3175"/>
            <wp:docPr id="21" name="Picture 2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a:blip r:embed="rId46"/>
                    <a:stretch>
                      <a:fillRect/>
                    </a:stretch>
                  </pic:blipFill>
                  <pic:spPr>
                    <a:xfrm>
                      <a:off x="0" y="0"/>
                      <a:ext cx="4542496" cy="3905621"/>
                    </a:xfrm>
                    <a:prstGeom prst="rect">
                      <a:avLst/>
                    </a:prstGeom>
                  </pic:spPr>
                </pic:pic>
              </a:graphicData>
            </a:graphic>
          </wp:inline>
        </w:drawing>
      </w:r>
    </w:p>
    <w:p w14:paraId="5F67F1F2" w14:textId="58D1555A" w:rsidR="00BA474B" w:rsidRDefault="00BA474B" w:rsidP="00BA474B">
      <w:pPr>
        <w:pStyle w:val="Caption"/>
        <w:keepNext/>
        <w:spacing w:after="0"/>
      </w:pPr>
      <w:bookmarkStart w:id="151" w:name="_Ref106990363"/>
      <w:r>
        <w:t xml:space="preserve">Figure </w:t>
      </w:r>
      <w:fldSimple w:instr=" SEQ Figure \* ARABIC ">
        <w:r w:rsidR="004718C9">
          <w:rPr>
            <w:noProof/>
          </w:rPr>
          <w:t>29</w:t>
        </w:r>
      </w:fldSimple>
      <w:bookmarkEnd w:id="151"/>
      <w:r>
        <w:t>: IBA governance framework</w:t>
      </w:r>
    </w:p>
    <w:p w14:paraId="31B9BA0A" w14:textId="77777777" w:rsidR="00BA474B" w:rsidRPr="003779AA" w:rsidRDefault="00BA474B" w:rsidP="00BA474B">
      <w:pPr>
        <w:pStyle w:val="TableNote"/>
        <w:rPr>
          <w:szCs w:val="20"/>
        </w:rPr>
      </w:pPr>
      <w:r w:rsidRPr="003779AA">
        <w:rPr>
          <w:szCs w:val="20"/>
        </w:rPr>
        <w:t xml:space="preserve">Source: </w:t>
      </w:r>
      <w:r>
        <w:rPr>
          <w:szCs w:val="20"/>
        </w:rPr>
        <w:t xml:space="preserve">Extracted from material provided by </w:t>
      </w:r>
      <w:r w:rsidRPr="003779AA">
        <w:rPr>
          <w:szCs w:val="20"/>
        </w:rPr>
        <w:t xml:space="preserve">IBA </w:t>
      </w:r>
    </w:p>
    <w:p w14:paraId="3D22E567" w14:textId="77777777" w:rsidR="00BA474B" w:rsidRPr="00A860B4" w:rsidRDefault="00BA474B" w:rsidP="00BA474B">
      <w:r>
        <w:t xml:space="preserve">To meet its purpose, </w:t>
      </w:r>
      <w:r w:rsidRPr="00A860B4">
        <w:t xml:space="preserve">products and services </w:t>
      </w:r>
      <w:r>
        <w:t xml:space="preserve">are delivered </w:t>
      </w:r>
      <w:r w:rsidRPr="00A860B4">
        <w:t>through three divisions</w:t>
      </w:r>
      <w:r>
        <w:t xml:space="preserve"> of IBA</w:t>
      </w:r>
      <w:r w:rsidRPr="00A860B4">
        <w:t>:</w:t>
      </w:r>
    </w:p>
    <w:p w14:paraId="7EC77D1A" w14:textId="77777777" w:rsidR="00BA474B" w:rsidRPr="00A860B4" w:rsidRDefault="00BA474B">
      <w:pPr>
        <w:pStyle w:val="ListBullet"/>
        <w:numPr>
          <w:ilvl w:val="0"/>
          <w:numId w:val="23"/>
        </w:numPr>
      </w:pPr>
      <w:r w:rsidRPr="00047FD9">
        <w:rPr>
          <w:b/>
          <w:bCs/>
        </w:rPr>
        <w:t>Housing Solutions</w:t>
      </w:r>
      <w:r w:rsidRPr="00A860B4">
        <w:t xml:space="preserve"> – delivering finance products</w:t>
      </w:r>
      <w:r>
        <w:t xml:space="preserve"> </w:t>
      </w:r>
      <w:r w:rsidRPr="00A860B4">
        <w:t>and support to assist Indigenous customers to</w:t>
      </w:r>
      <w:r>
        <w:t xml:space="preserve"> </w:t>
      </w:r>
      <w:r w:rsidRPr="00A860B4">
        <w:t>access home ownership.</w:t>
      </w:r>
    </w:p>
    <w:p w14:paraId="461742BC" w14:textId="77777777" w:rsidR="00BA474B" w:rsidRPr="00A860B4" w:rsidRDefault="00BA474B">
      <w:pPr>
        <w:pStyle w:val="ListBullet"/>
        <w:numPr>
          <w:ilvl w:val="0"/>
          <w:numId w:val="23"/>
        </w:numPr>
      </w:pPr>
      <w:r w:rsidRPr="00047FD9">
        <w:rPr>
          <w:b/>
          <w:bCs/>
        </w:rPr>
        <w:t>Business Solutions</w:t>
      </w:r>
      <w:r w:rsidRPr="00A860B4">
        <w:t xml:space="preserve"> – providing finance products</w:t>
      </w:r>
      <w:r>
        <w:t xml:space="preserve"> </w:t>
      </w:r>
      <w:r w:rsidRPr="00A860B4">
        <w:t>and support to help Indigenous customers start</w:t>
      </w:r>
      <w:r>
        <w:t>-</w:t>
      </w:r>
      <w:r w:rsidRPr="00A860B4">
        <w:t>up,</w:t>
      </w:r>
      <w:r>
        <w:t xml:space="preserve"> </w:t>
      </w:r>
      <w:r w:rsidRPr="00A860B4">
        <w:t>acquire or grow their own businesses.</w:t>
      </w:r>
    </w:p>
    <w:p w14:paraId="0567FC8B" w14:textId="77777777" w:rsidR="00BA474B" w:rsidRPr="00A860B4" w:rsidRDefault="00BA474B">
      <w:pPr>
        <w:pStyle w:val="ListBullet"/>
        <w:numPr>
          <w:ilvl w:val="0"/>
          <w:numId w:val="23"/>
        </w:numPr>
      </w:pPr>
      <w:r w:rsidRPr="00047FD9">
        <w:rPr>
          <w:b/>
          <w:bCs/>
        </w:rPr>
        <w:t>Investment and Asset Management</w:t>
      </w:r>
      <w:r w:rsidRPr="00A860B4">
        <w:t xml:space="preserve"> – building</w:t>
      </w:r>
      <w:r>
        <w:t xml:space="preserve"> </w:t>
      </w:r>
      <w:r w:rsidRPr="00A860B4">
        <w:t>commercial capability and creating wealth</w:t>
      </w:r>
      <w:r>
        <w:t xml:space="preserve"> </w:t>
      </w:r>
      <w:r w:rsidRPr="00A860B4">
        <w:t>through investment in, and direct management</w:t>
      </w:r>
      <w:r>
        <w:t xml:space="preserve"> </w:t>
      </w:r>
      <w:r w:rsidRPr="00A860B4">
        <w:t>of, businesses and assets.</w:t>
      </w:r>
    </w:p>
    <w:p w14:paraId="01501699" w14:textId="3476BE23" w:rsidR="00BA474B" w:rsidRDefault="00BA474B" w:rsidP="00BA474B">
      <w:r w:rsidRPr="00A860B4">
        <w:t>Each division is measured by a set of performance</w:t>
      </w:r>
      <w:r>
        <w:t xml:space="preserve"> </w:t>
      </w:r>
      <w:r w:rsidRPr="00A860B4">
        <w:t>targets that demonstrate how IBA is delivering</w:t>
      </w:r>
      <w:r>
        <w:t xml:space="preserve"> </w:t>
      </w:r>
      <w:r w:rsidRPr="00A860B4">
        <w:t xml:space="preserve">outcomes against its purpose. </w:t>
      </w:r>
      <w:r>
        <w:t xml:space="preserve">IBA’s </w:t>
      </w:r>
      <w:r w:rsidRPr="00A860B4">
        <w:t>approach to performance measurement is</w:t>
      </w:r>
      <w:r>
        <w:t xml:space="preserve"> </w:t>
      </w:r>
      <w:r w:rsidRPr="00A860B4">
        <w:t xml:space="preserve">guided by targets </w:t>
      </w:r>
      <w:r w:rsidR="0071621F">
        <w:t>as specified</w:t>
      </w:r>
      <w:r w:rsidR="0071621F" w:rsidRPr="00A860B4">
        <w:t xml:space="preserve"> </w:t>
      </w:r>
      <w:r w:rsidRPr="00A860B4">
        <w:t xml:space="preserve">in </w:t>
      </w:r>
      <w:r>
        <w:t xml:space="preserve">its Corporate Plan and </w:t>
      </w:r>
      <w:r w:rsidRPr="00A860B4">
        <w:t>Portfolio Budget</w:t>
      </w:r>
      <w:r>
        <w:t xml:space="preserve"> </w:t>
      </w:r>
      <w:r w:rsidRPr="00A860B4">
        <w:t>Statements</w:t>
      </w:r>
      <w:r>
        <w:t xml:space="preserve"> (PBS)</w:t>
      </w:r>
      <w:r w:rsidR="00294757">
        <w:t xml:space="preserve"> and reported through annual reporting requirements of the PGPA Act. </w:t>
      </w:r>
      <w:r>
        <w:t xml:space="preserve">In addition, </w:t>
      </w:r>
      <w:r w:rsidRPr="00E40306">
        <w:t xml:space="preserve">policies and procedures underpinning the delivery of </w:t>
      </w:r>
      <w:r>
        <w:t xml:space="preserve">all products and services </w:t>
      </w:r>
      <w:r w:rsidRPr="00E40306">
        <w:t>form part of IBA’s overarching governance framework.</w:t>
      </w:r>
    </w:p>
    <w:p w14:paraId="1332F90F" w14:textId="241EFA4C" w:rsidR="00EC2C3D" w:rsidRDefault="00414EAD" w:rsidP="00BA474B">
      <w:r>
        <w:t>Up until 2015-16</w:t>
      </w:r>
      <w:r w:rsidR="00E63D2C">
        <w:t>, when</w:t>
      </w:r>
      <w:r>
        <w:t xml:space="preserve"> </w:t>
      </w:r>
      <w:r w:rsidR="00E63D2C" w:rsidRPr="00FE73DE">
        <w:t>IBA introduced an adjustment to its risk appetite in business lending</w:t>
      </w:r>
      <w:r w:rsidR="00E63D2C">
        <w:t>,</w:t>
      </w:r>
      <w:r w:rsidR="00E63D2C" w:rsidRPr="00FE73DE">
        <w:t xml:space="preserve"> </w:t>
      </w:r>
      <w:r>
        <w:t>the Australia Government supported IBA in its delivery of business support services and the provision of business finance products through annual appropriations</w:t>
      </w:r>
      <w:r w:rsidR="0071621F">
        <w:t xml:space="preserve"> as detailed in the PBS</w:t>
      </w:r>
      <w:r>
        <w:t>.</w:t>
      </w:r>
      <w:r w:rsidR="00BA474B">
        <w:rPr>
          <w:rStyle w:val="FootnoteReference"/>
        </w:rPr>
        <w:footnoteReference w:id="69"/>
      </w:r>
      <w:r w:rsidR="00BA474B">
        <w:t xml:space="preserve"> </w:t>
      </w:r>
      <w:r w:rsidR="00E63D2C" w:rsidRPr="00FE73DE">
        <w:t>In response to IBA’s change in risk</w:t>
      </w:r>
      <w:r w:rsidR="00E63D2C">
        <w:t>,</w:t>
      </w:r>
      <w:r w:rsidR="00E63D2C" w:rsidRPr="00FE73DE">
        <w:t xml:space="preserve"> and expected reduction in support for early stage and pre-bank Indigenous business customers, </w:t>
      </w:r>
      <w:r w:rsidR="00A05864">
        <w:t xml:space="preserve">in 2016-17 </w:t>
      </w:r>
      <w:r w:rsidR="00E63D2C" w:rsidRPr="00FE73DE">
        <w:t>the Australian Government amended funding arrangements for the program from a</w:t>
      </w:r>
      <w:r w:rsidR="00E63D2C">
        <w:t xml:space="preserve"> direct</w:t>
      </w:r>
      <w:r w:rsidR="00E63D2C" w:rsidRPr="00FE73DE">
        <w:t xml:space="preserve"> appropriatio</w:t>
      </w:r>
      <w:r w:rsidR="00E63D2C">
        <w:t>n</w:t>
      </w:r>
      <w:r w:rsidR="00E63D2C" w:rsidRPr="00FE73DE">
        <w:t xml:space="preserve"> </w:t>
      </w:r>
      <w:r w:rsidR="00E63D2C">
        <w:t xml:space="preserve">to </w:t>
      </w:r>
      <w:r w:rsidR="00E63D2C" w:rsidRPr="00FE73DE">
        <w:t>an interim grant arrangement with the Department of Prime Minister and Cabinet (and subsequently with NIAA</w:t>
      </w:r>
      <w:r w:rsidR="00E63D2C">
        <w:t>)</w:t>
      </w:r>
      <w:r w:rsidR="00E63D2C" w:rsidRPr="00FE73DE">
        <w:t xml:space="preserve">. </w:t>
      </w:r>
      <w:r w:rsidR="00BA474B">
        <w:t>In 2017-18, the BDAP was renamed the BSP alongside the move to a more extensive funding agreement</w:t>
      </w:r>
      <w:r w:rsidR="00EC2C3D">
        <w:t xml:space="preserve"> (providing </w:t>
      </w:r>
      <w:r w:rsidR="00EC2C3D" w:rsidRPr="00FE73DE">
        <w:t>annual funds of $17.3 million for business support services and a $10.2 million capital component</w:t>
      </w:r>
      <w:r w:rsidR="00EC2C3D">
        <w:t>).</w:t>
      </w:r>
    </w:p>
    <w:p w14:paraId="787FA499" w14:textId="39D91EE0" w:rsidR="00BA474B" w:rsidRDefault="00EC2C3D" w:rsidP="00BA474B">
      <w:r>
        <w:t xml:space="preserve">Notwithstanding the overarching performance targets as set out in IBA’s corporate governance documentation, the grant agreements defined specific KPIs (as contractual targets) that were expected to be satisfied, with a sub-set linked to payment of 40.5% of the annual business support allocation. </w:t>
      </w:r>
    </w:p>
    <w:p w14:paraId="427E4335" w14:textId="74473276" w:rsidR="00EC2C3D" w:rsidRPr="00A04A78" w:rsidRDefault="00EC2C3D" w:rsidP="00EC2C3D">
      <w:pPr>
        <w:spacing w:after="200" w:line="276" w:lineRule="auto"/>
      </w:pPr>
      <w:r w:rsidRPr="00A04A78">
        <w:t>The initial 2016</w:t>
      </w:r>
      <w:r w:rsidRPr="00A04A78">
        <w:rPr>
          <w:rFonts w:ascii="Franklin Gothic Book" w:hAnsi="Franklin Gothic Book"/>
        </w:rPr>
        <w:t>–</w:t>
      </w:r>
      <w:r w:rsidRPr="00A04A78">
        <w:t xml:space="preserve">17 grant agreement set out 13 KPIs which underpinned quarterly performance assessments. These KPIs had a specific focus on IBA continuing to deliver and report on the uptake of its suite of seminars/workshops for business previously delivered under BDAP, with </w:t>
      </w:r>
      <w:r w:rsidR="0071621F">
        <w:t>four</w:t>
      </w:r>
      <w:r w:rsidRPr="00A04A78">
        <w:t xml:space="preserve"> of the 13 KPIs setting targets to different target audiences. A specific KPI for customer satisfaction was included, as was the requirement for an increase in the number of customers receiving business support and/or loan services in regional and remote Australia from the previous year. An efficiency KPI was also included, requiring overheads (allocated corporate costs attributed to the program) be reduced.</w:t>
      </w:r>
    </w:p>
    <w:p w14:paraId="6C364C24" w14:textId="4955FBBD" w:rsidR="00EC2C3D" w:rsidRPr="00EC2C3D" w:rsidRDefault="00EC2C3D" w:rsidP="00EC2C3D">
      <w:r w:rsidRPr="00A04A78">
        <w:t xml:space="preserve">The number of KPIs were adjusted to </w:t>
      </w:r>
      <w:r w:rsidR="00295C5C">
        <w:t>nine</w:t>
      </w:r>
      <w:r w:rsidRPr="00A04A78">
        <w:t xml:space="preserve"> KPIs in the two-year 2017</w:t>
      </w:r>
      <w:r w:rsidRPr="00A04A78">
        <w:rPr>
          <w:rFonts w:ascii="Franklin Gothic Book" w:hAnsi="Franklin Gothic Book"/>
        </w:rPr>
        <w:t>–</w:t>
      </w:r>
      <w:r w:rsidRPr="00A04A78">
        <w:t>18 agreement. A subsequent variation to this agreement provided new (both in wording and reference numbering) KPIs for the period 1 July 2019 to 30 June 2021. The current agreement has been extended out to 30 June 2023.</w:t>
      </w:r>
    </w:p>
    <w:p w14:paraId="01516B71" w14:textId="7DFBB2BE" w:rsidR="00BA474B" w:rsidRPr="00BA474B" w:rsidRDefault="00EC2C3D" w:rsidP="00BA474B">
      <w:r>
        <w:t>As required by the grant agreements, quarterly reports on BSP performance are provided to NIAA</w:t>
      </w:r>
      <w:r w:rsidR="00A05864">
        <w:t>, and an annual financial reconciliation</w:t>
      </w:r>
      <w:r>
        <w:t xml:space="preserve">. This reporting is in addition to the broader IBA governance reporting as required by the PGPA Act. </w:t>
      </w:r>
    </w:p>
    <w:p w14:paraId="692522B8" w14:textId="5BDE28C8" w:rsidR="00573860" w:rsidRPr="00FE73DE" w:rsidRDefault="00573860" w:rsidP="009C76D8">
      <w:pPr>
        <w:pStyle w:val="Heading1"/>
        <w:numPr>
          <w:ilvl w:val="0"/>
          <w:numId w:val="0"/>
        </w:numPr>
      </w:pPr>
      <w:bookmarkStart w:id="152" w:name="_Toc123734724"/>
      <w:r w:rsidRPr="00FE73DE">
        <w:t xml:space="preserve">Appendix </w:t>
      </w:r>
      <w:r w:rsidR="00BA474B">
        <w:t>B</w:t>
      </w:r>
      <w:r w:rsidRPr="00FE73DE">
        <w:t>: The I</w:t>
      </w:r>
      <w:r w:rsidR="0047384C" w:rsidRPr="00FE73DE">
        <w:t xml:space="preserve">ndigenous </w:t>
      </w:r>
      <w:r w:rsidRPr="00FE73DE">
        <w:t>B</w:t>
      </w:r>
      <w:r w:rsidR="0047384C" w:rsidRPr="00FE73DE">
        <w:t xml:space="preserve">usiness </w:t>
      </w:r>
      <w:r w:rsidRPr="00FE73DE">
        <w:t>S</w:t>
      </w:r>
      <w:r w:rsidR="0047384C" w:rsidRPr="00FE73DE">
        <w:t>ector Strategy</w:t>
      </w:r>
      <w:bookmarkEnd w:id="152"/>
    </w:p>
    <w:p w14:paraId="747AA26B" w14:textId="77777777" w:rsidR="00573860" w:rsidRPr="00FE73DE" w:rsidRDefault="00573860" w:rsidP="00573860">
      <w:r w:rsidRPr="00FE73DE">
        <w:t>The BSP is one component of the IBSS, a 10-year strategy aimed at improving access to business and financial support for Australia’s growing Indigenous business sector.</w:t>
      </w:r>
    </w:p>
    <w:p w14:paraId="1FB5D750" w14:textId="77777777" w:rsidR="00573860" w:rsidRPr="00FE73DE" w:rsidRDefault="00573860" w:rsidP="00573860">
      <w:r w:rsidRPr="00FE73DE">
        <w:t>During the 2016 Federal Election, the Australian Government committed to creating an environment where Indigenous business and innovation could grow and prosper. The subsequent IBSS was designed to assist in expanding the capacity of the Indigenous business sector to meet the increasing demand for Indigenous goods and services, driven in part by the Indigenous Procurement Policy (IPP) and other strategies. More than just meeting demand, the IBSS was designed to help Indigenous people build sustainable businesses that will support themselves, their families and their communities through job creation and financial security and independence. Underpinning these initiatives is the understanding that a stronger Indigenous business sector can contribute to the growth of local economies and the broader Australian economy.</w:t>
      </w:r>
    </w:p>
    <w:p w14:paraId="1E11D608" w14:textId="482ECA1F" w:rsidR="00573860" w:rsidRPr="00FE73DE" w:rsidRDefault="00573860" w:rsidP="00573860">
      <w:r w:rsidRPr="00FE73DE">
        <w:t xml:space="preserve">The IBSS was to be implemented over a 10-year period (2018 to 2028) and sought to increase the number, size and diversity of Indigenous businesses. The IBSS has </w:t>
      </w:r>
      <w:r w:rsidR="00FE0F56">
        <w:t>four</w:t>
      </w:r>
      <w:r w:rsidRPr="00FE73DE">
        <w:t xml:space="preserve"> pillars – better access to business support, improved access to finance, stronger connections and networks, and harnessing knowledge. The focus of the IBSS in the first </w:t>
      </w:r>
      <w:r w:rsidR="00FE0F56">
        <w:t>three</w:t>
      </w:r>
      <w:r w:rsidRPr="00FE73DE">
        <w:t xml:space="preserve"> years was on ‘Laying the Foundations’ followed by ’Learning and Innovating’ in the second </w:t>
      </w:r>
      <w:r w:rsidR="00FE0F56">
        <w:t>three</w:t>
      </w:r>
      <w:r w:rsidRPr="00FE73DE">
        <w:t xml:space="preserve"> years and’ Growing and Thriving’ in the third </w:t>
      </w:r>
      <w:r w:rsidR="00FE0F56">
        <w:t>three</w:t>
      </w:r>
      <w:r w:rsidRPr="00FE73DE">
        <w:t xml:space="preserve"> years. </w:t>
      </w:r>
    </w:p>
    <w:p w14:paraId="2D4CACB3" w14:textId="29145F81" w:rsidR="00573860" w:rsidRPr="00FE73DE" w:rsidRDefault="00573860" w:rsidP="00573860">
      <w:r w:rsidRPr="00FE73DE">
        <w:t xml:space="preserve">Each of the </w:t>
      </w:r>
      <w:r w:rsidR="00FE0F56">
        <w:t>four</w:t>
      </w:r>
      <w:r w:rsidRPr="00FE73DE">
        <w:t xml:space="preserve"> pillars is supported by a range of ‘actions’. The actions identified in the IBSS are summarised in </w:t>
      </w:r>
      <w:r w:rsidRPr="00FE73DE">
        <w:fldChar w:fldCharType="begin"/>
      </w:r>
      <w:r w:rsidRPr="00FE73DE">
        <w:instrText xml:space="preserve"> REF _Ref95144831 \h </w:instrText>
      </w:r>
      <w:r w:rsidRPr="00FE73DE">
        <w:fldChar w:fldCharType="separate"/>
      </w:r>
      <w:r w:rsidR="004718C9" w:rsidRPr="00FE73DE">
        <w:t xml:space="preserve">Table </w:t>
      </w:r>
      <w:r w:rsidR="004718C9">
        <w:rPr>
          <w:noProof/>
        </w:rPr>
        <w:t>9</w:t>
      </w:r>
      <w:r w:rsidRPr="00FE73DE">
        <w:fldChar w:fldCharType="end"/>
      </w:r>
      <w:r w:rsidRPr="00FE73DE">
        <w:t>.</w:t>
      </w:r>
    </w:p>
    <w:p w14:paraId="718A26EA" w14:textId="6DBEB8EE" w:rsidR="00573860" w:rsidRPr="00FE73DE" w:rsidRDefault="00573860" w:rsidP="00573860">
      <w:pPr>
        <w:pStyle w:val="Caption"/>
        <w:keepNext/>
      </w:pPr>
      <w:bookmarkStart w:id="153" w:name="_Ref95144831"/>
      <w:bookmarkStart w:id="154" w:name="_Ref95660625"/>
      <w:r w:rsidRPr="00FE73DE">
        <w:t xml:space="preserve">Table </w:t>
      </w:r>
      <w:fldSimple w:instr=" SEQ Table \* ARABIC ">
        <w:r w:rsidR="004718C9">
          <w:rPr>
            <w:noProof/>
          </w:rPr>
          <w:t>9</w:t>
        </w:r>
      </w:fldSimple>
      <w:bookmarkEnd w:id="153"/>
      <w:r w:rsidRPr="00FE73DE">
        <w:t>: Overview of actions in the IBSS</w:t>
      </w:r>
      <w:r w:rsidRPr="00FE73DE">
        <w:rPr>
          <w:rStyle w:val="FootnoteReference"/>
        </w:rPr>
        <w:footnoteReference w:id="70"/>
      </w:r>
      <w:bookmarkEnd w:id="154"/>
    </w:p>
    <w:tbl>
      <w:tblPr>
        <w:tblStyle w:val="Summaryboxtablestyle"/>
        <w:tblW w:w="0" w:type="auto"/>
        <w:tblLook w:val="06A0" w:firstRow="1" w:lastRow="0" w:firstColumn="1" w:lastColumn="0" w:noHBand="1" w:noVBand="1"/>
      </w:tblPr>
      <w:tblGrid>
        <w:gridCol w:w="1681"/>
        <w:gridCol w:w="5133"/>
        <w:gridCol w:w="2163"/>
      </w:tblGrid>
      <w:tr w:rsidR="00573860" w:rsidRPr="00FE73DE" w14:paraId="16FB1E59" w14:textId="77777777" w:rsidTr="00C145AC">
        <w:trPr>
          <w:cnfStyle w:val="100000000000" w:firstRow="1" w:lastRow="0" w:firstColumn="0" w:lastColumn="0" w:oddVBand="0" w:evenVBand="0" w:oddHBand="0" w:evenHBand="0" w:firstRowFirstColumn="0" w:firstRowLastColumn="0" w:lastRowFirstColumn="0" w:lastRowLastColumn="0"/>
          <w:tblHeader/>
        </w:trPr>
        <w:tc>
          <w:tcPr>
            <w:tcW w:w="0" w:type="auto"/>
          </w:tcPr>
          <w:p w14:paraId="5C03E1AE" w14:textId="77777777" w:rsidR="00573860" w:rsidRPr="00FE73DE" w:rsidRDefault="00573860" w:rsidP="00C145AC">
            <w:pPr>
              <w:spacing w:before="60" w:after="60" w:line="240" w:lineRule="auto"/>
              <w:jc w:val="left"/>
              <w:rPr>
                <w:sz w:val="20"/>
                <w:szCs w:val="18"/>
              </w:rPr>
            </w:pPr>
            <w:r w:rsidRPr="00FE73DE">
              <w:rPr>
                <w:sz w:val="20"/>
                <w:szCs w:val="18"/>
              </w:rPr>
              <w:t>Pillar</w:t>
            </w:r>
          </w:p>
        </w:tc>
        <w:tc>
          <w:tcPr>
            <w:tcW w:w="0" w:type="auto"/>
          </w:tcPr>
          <w:p w14:paraId="1BF5C806" w14:textId="77777777" w:rsidR="00573860" w:rsidRPr="00FE73DE" w:rsidRDefault="00573860" w:rsidP="00C145AC">
            <w:pPr>
              <w:spacing w:before="60" w:after="60" w:line="240" w:lineRule="auto"/>
              <w:jc w:val="left"/>
              <w:rPr>
                <w:sz w:val="20"/>
                <w:szCs w:val="18"/>
              </w:rPr>
            </w:pPr>
            <w:r w:rsidRPr="00FE73DE">
              <w:rPr>
                <w:sz w:val="20"/>
                <w:szCs w:val="18"/>
              </w:rPr>
              <w:t>Action</w:t>
            </w:r>
          </w:p>
        </w:tc>
        <w:tc>
          <w:tcPr>
            <w:tcW w:w="0" w:type="auto"/>
          </w:tcPr>
          <w:p w14:paraId="3F0752AA" w14:textId="77777777" w:rsidR="00573860" w:rsidRPr="00FE73DE" w:rsidRDefault="00573860" w:rsidP="00C145AC">
            <w:pPr>
              <w:spacing w:before="60" w:after="60" w:line="240" w:lineRule="auto"/>
              <w:rPr>
                <w:sz w:val="20"/>
                <w:szCs w:val="18"/>
              </w:rPr>
            </w:pPr>
            <w:r w:rsidRPr="00FE73DE">
              <w:rPr>
                <w:sz w:val="20"/>
                <w:szCs w:val="18"/>
              </w:rPr>
              <w:t>Implementing organisation</w:t>
            </w:r>
          </w:p>
        </w:tc>
      </w:tr>
      <w:tr w:rsidR="00573860" w:rsidRPr="00FE73DE" w14:paraId="0628714D" w14:textId="77777777" w:rsidTr="00C145AC">
        <w:trPr>
          <w:trHeight w:val="74"/>
        </w:trPr>
        <w:tc>
          <w:tcPr>
            <w:tcW w:w="0" w:type="auto"/>
            <w:vMerge w:val="restart"/>
            <w:shd w:val="clear" w:color="auto" w:fill="E1E5E8" w:themeFill="accent5" w:themeFillTint="33"/>
            <w:vAlign w:val="center"/>
          </w:tcPr>
          <w:p w14:paraId="3AC806F6" w14:textId="77777777" w:rsidR="00573860" w:rsidRPr="00FE73DE" w:rsidRDefault="00573860" w:rsidP="00C145AC">
            <w:pPr>
              <w:spacing w:before="60" w:after="60" w:line="240" w:lineRule="auto"/>
              <w:jc w:val="left"/>
              <w:rPr>
                <w:b/>
                <w:bCs/>
                <w:sz w:val="20"/>
                <w:szCs w:val="18"/>
              </w:rPr>
            </w:pPr>
            <w:r w:rsidRPr="00FE73DE">
              <w:rPr>
                <w:b/>
                <w:bCs/>
                <w:sz w:val="20"/>
                <w:szCs w:val="18"/>
              </w:rPr>
              <w:t>Better Business Support</w:t>
            </w:r>
          </w:p>
        </w:tc>
        <w:tc>
          <w:tcPr>
            <w:tcW w:w="0" w:type="auto"/>
            <w:tcBorders>
              <w:bottom w:val="dotted" w:sz="4" w:space="0" w:color="6B818C" w:themeColor="accent5"/>
            </w:tcBorders>
            <w:shd w:val="clear" w:color="auto" w:fill="E1E5E8" w:themeFill="accent5" w:themeFillTint="33"/>
            <w:vAlign w:val="center"/>
          </w:tcPr>
          <w:p w14:paraId="26BFE1E9" w14:textId="77777777" w:rsidR="00573860" w:rsidRPr="00FE73DE" w:rsidRDefault="00573860" w:rsidP="00C145AC">
            <w:pPr>
              <w:spacing w:before="60" w:after="60" w:line="240" w:lineRule="auto"/>
              <w:jc w:val="left"/>
              <w:rPr>
                <w:sz w:val="20"/>
                <w:szCs w:val="18"/>
              </w:rPr>
            </w:pPr>
            <w:r w:rsidRPr="00FE73DE">
              <w:rPr>
                <w:b/>
                <w:bCs/>
                <w:sz w:val="20"/>
                <w:szCs w:val="18"/>
              </w:rPr>
              <w:t>Establishing National Indigenous Business Hubs.</w:t>
            </w:r>
            <w:r w:rsidRPr="00FE73DE">
              <w:rPr>
                <w:sz w:val="20"/>
                <w:szCs w:val="18"/>
              </w:rPr>
              <w:t xml:space="preserve"> These are intended to provide access to business and employment advice, networking opportunities, and access to short-term office space. </w:t>
            </w:r>
          </w:p>
        </w:tc>
        <w:tc>
          <w:tcPr>
            <w:tcW w:w="0" w:type="auto"/>
            <w:tcBorders>
              <w:bottom w:val="dotted" w:sz="4" w:space="0" w:color="6B818C" w:themeColor="accent5"/>
            </w:tcBorders>
            <w:shd w:val="clear" w:color="auto" w:fill="E1E5E8" w:themeFill="accent5" w:themeFillTint="33"/>
            <w:vAlign w:val="center"/>
          </w:tcPr>
          <w:p w14:paraId="2A4A799E" w14:textId="77777777" w:rsidR="00573860" w:rsidRPr="00FE73DE" w:rsidRDefault="00573860" w:rsidP="00C145AC">
            <w:pPr>
              <w:spacing w:before="60" w:after="60" w:line="240" w:lineRule="auto"/>
              <w:jc w:val="left"/>
              <w:rPr>
                <w:sz w:val="20"/>
                <w:szCs w:val="18"/>
              </w:rPr>
            </w:pPr>
            <w:r w:rsidRPr="00FE73DE">
              <w:rPr>
                <w:sz w:val="20"/>
                <w:szCs w:val="18"/>
              </w:rPr>
              <w:t>NIAA with implementation partners</w:t>
            </w:r>
          </w:p>
        </w:tc>
      </w:tr>
      <w:tr w:rsidR="00573860" w:rsidRPr="00FE73DE" w14:paraId="07C373A1" w14:textId="77777777" w:rsidTr="00C145AC">
        <w:tc>
          <w:tcPr>
            <w:tcW w:w="0" w:type="auto"/>
            <w:vMerge/>
            <w:shd w:val="clear" w:color="auto" w:fill="E1E5E8" w:themeFill="accent5" w:themeFillTint="33"/>
          </w:tcPr>
          <w:p w14:paraId="588F54B6" w14:textId="77777777" w:rsidR="00573860" w:rsidRPr="00FE73DE" w:rsidRDefault="00573860" w:rsidP="00C145AC">
            <w:pPr>
              <w:spacing w:before="60" w:after="60" w:line="240" w:lineRule="auto"/>
              <w:jc w:val="left"/>
              <w:rPr>
                <w:b/>
                <w:bCs/>
                <w:sz w:val="20"/>
                <w:szCs w:val="18"/>
              </w:rPr>
            </w:pPr>
          </w:p>
        </w:tc>
        <w:tc>
          <w:tcPr>
            <w:tcW w:w="0" w:type="auto"/>
            <w:tcBorders>
              <w:top w:val="dotted" w:sz="4" w:space="0" w:color="6B818C" w:themeColor="accent5"/>
              <w:bottom w:val="dotted" w:sz="4" w:space="0" w:color="6B818C" w:themeColor="accent5"/>
            </w:tcBorders>
            <w:shd w:val="clear" w:color="auto" w:fill="E1E5E8" w:themeFill="accent5" w:themeFillTint="33"/>
            <w:vAlign w:val="center"/>
          </w:tcPr>
          <w:p w14:paraId="0DB1BDBC" w14:textId="77777777" w:rsidR="00573860" w:rsidRPr="00FE73DE" w:rsidRDefault="00573860" w:rsidP="00C145AC">
            <w:pPr>
              <w:spacing w:before="60" w:after="60" w:line="240" w:lineRule="auto"/>
              <w:jc w:val="left"/>
              <w:rPr>
                <w:sz w:val="20"/>
                <w:szCs w:val="18"/>
              </w:rPr>
            </w:pPr>
            <w:r w:rsidRPr="00FE73DE">
              <w:rPr>
                <w:b/>
                <w:bCs/>
                <w:sz w:val="20"/>
                <w:szCs w:val="18"/>
              </w:rPr>
              <w:t>Project Hubs.</w:t>
            </w:r>
            <w:r w:rsidRPr="00FE73DE">
              <w:rPr>
                <w:sz w:val="20"/>
                <w:szCs w:val="18"/>
              </w:rPr>
              <w:t xml:space="preserve"> These Hubs focus on supporting Indigenous businesses to tender for major infrastructure projects.</w:t>
            </w:r>
          </w:p>
        </w:tc>
        <w:tc>
          <w:tcPr>
            <w:tcW w:w="0" w:type="auto"/>
            <w:tcBorders>
              <w:top w:val="dotted" w:sz="4" w:space="0" w:color="6B818C" w:themeColor="accent5"/>
              <w:bottom w:val="dotted" w:sz="4" w:space="0" w:color="6B818C" w:themeColor="accent5"/>
            </w:tcBorders>
            <w:shd w:val="clear" w:color="auto" w:fill="E1E5E8" w:themeFill="accent5" w:themeFillTint="33"/>
            <w:vAlign w:val="center"/>
          </w:tcPr>
          <w:p w14:paraId="76C8932F" w14:textId="77777777" w:rsidR="00573860" w:rsidRPr="00FE73DE" w:rsidRDefault="00573860" w:rsidP="00C145AC">
            <w:pPr>
              <w:spacing w:before="60" w:after="60" w:line="240" w:lineRule="auto"/>
              <w:jc w:val="left"/>
              <w:rPr>
                <w:sz w:val="20"/>
                <w:szCs w:val="18"/>
              </w:rPr>
            </w:pPr>
            <w:r w:rsidRPr="00FE73DE">
              <w:rPr>
                <w:sz w:val="20"/>
                <w:szCs w:val="18"/>
              </w:rPr>
              <w:t>Not known</w:t>
            </w:r>
          </w:p>
        </w:tc>
      </w:tr>
      <w:tr w:rsidR="00573860" w:rsidRPr="00FE73DE" w14:paraId="28DAA082" w14:textId="77777777" w:rsidTr="00C145AC">
        <w:tc>
          <w:tcPr>
            <w:tcW w:w="0" w:type="auto"/>
            <w:vMerge/>
            <w:shd w:val="clear" w:color="auto" w:fill="E1E5E8" w:themeFill="accent5" w:themeFillTint="33"/>
          </w:tcPr>
          <w:p w14:paraId="70379D36" w14:textId="77777777" w:rsidR="00573860" w:rsidRPr="00FE73DE" w:rsidRDefault="00573860" w:rsidP="00C145AC">
            <w:pPr>
              <w:spacing w:before="60" w:after="60" w:line="240" w:lineRule="auto"/>
              <w:jc w:val="left"/>
              <w:rPr>
                <w:b/>
                <w:bCs/>
                <w:sz w:val="20"/>
                <w:szCs w:val="18"/>
              </w:rPr>
            </w:pPr>
          </w:p>
        </w:tc>
        <w:tc>
          <w:tcPr>
            <w:tcW w:w="0" w:type="auto"/>
            <w:tcBorders>
              <w:top w:val="dotted" w:sz="4" w:space="0" w:color="6B818C" w:themeColor="accent5"/>
              <w:bottom w:val="dotted" w:sz="4" w:space="0" w:color="6B818C" w:themeColor="accent5"/>
            </w:tcBorders>
            <w:shd w:val="clear" w:color="auto" w:fill="E1E5E8" w:themeFill="accent5" w:themeFillTint="33"/>
            <w:vAlign w:val="center"/>
          </w:tcPr>
          <w:p w14:paraId="20970386" w14:textId="77777777" w:rsidR="00573860" w:rsidRPr="00FE73DE" w:rsidRDefault="00573860" w:rsidP="00C145AC">
            <w:pPr>
              <w:spacing w:before="60" w:after="60" w:line="240" w:lineRule="auto"/>
              <w:jc w:val="left"/>
              <w:rPr>
                <w:sz w:val="20"/>
                <w:szCs w:val="18"/>
              </w:rPr>
            </w:pPr>
            <w:r w:rsidRPr="00FE73DE">
              <w:rPr>
                <w:b/>
                <w:bCs/>
                <w:sz w:val="20"/>
                <w:szCs w:val="18"/>
              </w:rPr>
              <w:t>Increasing self-employment through the Community Development Programme (CDP).</w:t>
            </w:r>
            <w:r w:rsidRPr="00FE73DE">
              <w:rPr>
                <w:sz w:val="20"/>
                <w:szCs w:val="18"/>
              </w:rPr>
              <w:t xml:space="preserve"> This action is aimed at increasing self-employment through an ‘incubation model’ pilot that supports some CDP providers to help Indigenous people to start and stabilise small businesses.</w:t>
            </w:r>
          </w:p>
        </w:tc>
        <w:tc>
          <w:tcPr>
            <w:tcW w:w="0" w:type="auto"/>
            <w:tcBorders>
              <w:top w:val="dotted" w:sz="4" w:space="0" w:color="6B818C" w:themeColor="accent5"/>
              <w:bottom w:val="dotted" w:sz="4" w:space="0" w:color="6B818C" w:themeColor="accent5"/>
            </w:tcBorders>
            <w:shd w:val="clear" w:color="auto" w:fill="E1E5E8" w:themeFill="accent5" w:themeFillTint="33"/>
            <w:vAlign w:val="center"/>
          </w:tcPr>
          <w:p w14:paraId="5C6EFC87" w14:textId="77777777" w:rsidR="00573860" w:rsidRPr="00FE73DE" w:rsidRDefault="00573860" w:rsidP="00C145AC">
            <w:pPr>
              <w:spacing w:before="60" w:after="60" w:line="240" w:lineRule="auto"/>
              <w:jc w:val="left"/>
              <w:rPr>
                <w:sz w:val="20"/>
                <w:szCs w:val="18"/>
              </w:rPr>
            </w:pPr>
            <w:r w:rsidRPr="00FE73DE">
              <w:rPr>
                <w:sz w:val="20"/>
                <w:szCs w:val="18"/>
              </w:rPr>
              <w:t>NIAA with implementation partners</w:t>
            </w:r>
          </w:p>
        </w:tc>
      </w:tr>
      <w:tr w:rsidR="00573860" w:rsidRPr="00FE73DE" w14:paraId="0DA8605D" w14:textId="77777777" w:rsidTr="00C145AC">
        <w:tc>
          <w:tcPr>
            <w:tcW w:w="0" w:type="auto"/>
            <w:vMerge/>
            <w:shd w:val="clear" w:color="auto" w:fill="E1E5E8" w:themeFill="accent5" w:themeFillTint="33"/>
          </w:tcPr>
          <w:p w14:paraId="664C706B" w14:textId="77777777" w:rsidR="00573860" w:rsidRPr="00FE73DE" w:rsidRDefault="00573860" w:rsidP="00C145AC">
            <w:pPr>
              <w:spacing w:before="60" w:after="60" w:line="240" w:lineRule="auto"/>
              <w:jc w:val="left"/>
              <w:rPr>
                <w:sz w:val="20"/>
                <w:szCs w:val="18"/>
              </w:rPr>
            </w:pPr>
          </w:p>
        </w:tc>
        <w:tc>
          <w:tcPr>
            <w:tcW w:w="0" w:type="auto"/>
            <w:tcBorders>
              <w:top w:val="dotted" w:sz="4" w:space="0" w:color="6B818C" w:themeColor="accent5"/>
            </w:tcBorders>
            <w:shd w:val="clear" w:color="auto" w:fill="E1E5E8" w:themeFill="accent5" w:themeFillTint="33"/>
            <w:vAlign w:val="center"/>
          </w:tcPr>
          <w:p w14:paraId="1D81A6DE" w14:textId="77777777" w:rsidR="00573860" w:rsidRPr="00FE73DE" w:rsidRDefault="00573860" w:rsidP="00C145AC">
            <w:pPr>
              <w:spacing w:before="60" w:after="60" w:line="240" w:lineRule="auto"/>
              <w:jc w:val="left"/>
              <w:rPr>
                <w:sz w:val="20"/>
                <w:szCs w:val="18"/>
              </w:rPr>
            </w:pPr>
            <w:r w:rsidRPr="00FE73DE">
              <w:rPr>
                <w:b/>
                <w:bCs/>
                <w:sz w:val="20"/>
                <w:szCs w:val="18"/>
              </w:rPr>
              <w:t>Stronger joint ventures.</w:t>
            </w:r>
            <w:r w:rsidRPr="00FE73DE">
              <w:rPr>
                <w:sz w:val="20"/>
                <w:szCs w:val="18"/>
              </w:rPr>
              <w:t xml:space="preserve"> Proposes workshops and subsidised one-on-one support for Indigenous businesses seeking advice on joint ventures.</w:t>
            </w:r>
          </w:p>
        </w:tc>
        <w:tc>
          <w:tcPr>
            <w:tcW w:w="0" w:type="auto"/>
            <w:tcBorders>
              <w:top w:val="dotted" w:sz="4" w:space="0" w:color="6B818C" w:themeColor="accent5"/>
            </w:tcBorders>
            <w:shd w:val="clear" w:color="auto" w:fill="E1E5E8" w:themeFill="accent5" w:themeFillTint="33"/>
            <w:vAlign w:val="center"/>
          </w:tcPr>
          <w:p w14:paraId="11EB5F01" w14:textId="77777777" w:rsidR="00573860" w:rsidRPr="00FE73DE" w:rsidRDefault="00573860" w:rsidP="00C145AC">
            <w:pPr>
              <w:spacing w:before="60" w:after="60" w:line="240" w:lineRule="auto"/>
              <w:jc w:val="left"/>
              <w:rPr>
                <w:sz w:val="20"/>
                <w:szCs w:val="18"/>
              </w:rPr>
            </w:pPr>
            <w:r w:rsidRPr="00FE73DE">
              <w:rPr>
                <w:sz w:val="20"/>
                <w:szCs w:val="18"/>
              </w:rPr>
              <w:t>IBA</w:t>
            </w:r>
          </w:p>
        </w:tc>
      </w:tr>
      <w:tr w:rsidR="00573860" w:rsidRPr="00FE73DE" w14:paraId="6A0A2591" w14:textId="77777777" w:rsidTr="00C145AC">
        <w:tc>
          <w:tcPr>
            <w:tcW w:w="0" w:type="auto"/>
            <w:vMerge w:val="restart"/>
            <w:tcBorders>
              <w:top w:val="single" w:sz="4" w:space="0" w:color="6B818C" w:themeColor="accent5"/>
            </w:tcBorders>
            <w:vAlign w:val="center"/>
          </w:tcPr>
          <w:p w14:paraId="0F858FB4" w14:textId="77777777" w:rsidR="00573860" w:rsidRPr="00FE73DE" w:rsidRDefault="00573860" w:rsidP="00C145AC">
            <w:pPr>
              <w:spacing w:before="60" w:after="60" w:line="240" w:lineRule="auto"/>
              <w:jc w:val="left"/>
              <w:rPr>
                <w:b/>
                <w:bCs/>
                <w:sz w:val="20"/>
                <w:szCs w:val="18"/>
              </w:rPr>
            </w:pPr>
            <w:r w:rsidRPr="00FE73DE">
              <w:rPr>
                <w:b/>
                <w:bCs/>
                <w:sz w:val="20"/>
                <w:szCs w:val="18"/>
              </w:rPr>
              <w:t>Improved Access to Finance</w:t>
            </w:r>
          </w:p>
        </w:tc>
        <w:tc>
          <w:tcPr>
            <w:tcW w:w="0" w:type="auto"/>
            <w:tcBorders>
              <w:top w:val="single" w:sz="4" w:space="0" w:color="6B818C" w:themeColor="accent5"/>
              <w:bottom w:val="dotted" w:sz="4" w:space="0" w:color="6B818C" w:themeColor="accent5"/>
            </w:tcBorders>
          </w:tcPr>
          <w:p w14:paraId="11E69D8C" w14:textId="77777777" w:rsidR="00573860" w:rsidRPr="00FE73DE" w:rsidRDefault="00573860" w:rsidP="00C145AC">
            <w:pPr>
              <w:spacing w:before="60" w:after="60" w:line="240" w:lineRule="auto"/>
              <w:jc w:val="left"/>
              <w:rPr>
                <w:sz w:val="20"/>
                <w:szCs w:val="18"/>
              </w:rPr>
            </w:pPr>
            <w:r w:rsidRPr="00FE73DE">
              <w:rPr>
                <w:b/>
                <w:bCs/>
                <w:sz w:val="20"/>
                <w:szCs w:val="18"/>
              </w:rPr>
              <w:t>Finance and capital support from Indigenous Business Australia.</w:t>
            </w:r>
            <w:r w:rsidRPr="00FE73DE">
              <w:rPr>
                <w:sz w:val="20"/>
                <w:szCs w:val="18"/>
              </w:rPr>
              <w:t xml:space="preserve"> Delivered through the BSP. Covers a ‘start-up finance package’, ‘procurement loans’ and ‘invoice finance’.</w:t>
            </w:r>
          </w:p>
        </w:tc>
        <w:tc>
          <w:tcPr>
            <w:tcW w:w="0" w:type="auto"/>
            <w:tcBorders>
              <w:top w:val="single" w:sz="4" w:space="0" w:color="6B818C" w:themeColor="accent5"/>
              <w:bottom w:val="dotted" w:sz="4" w:space="0" w:color="6B818C" w:themeColor="accent5"/>
            </w:tcBorders>
          </w:tcPr>
          <w:p w14:paraId="5736BD54" w14:textId="77777777" w:rsidR="00573860" w:rsidRPr="00FE73DE" w:rsidRDefault="00573860" w:rsidP="00C145AC">
            <w:pPr>
              <w:spacing w:before="60" w:after="60" w:line="240" w:lineRule="auto"/>
              <w:jc w:val="left"/>
              <w:rPr>
                <w:sz w:val="20"/>
                <w:szCs w:val="18"/>
              </w:rPr>
            </w:pPr>
            <w:r w:rsidRPr="00FE73DE">
              <w:rPr>
                <w:sz w:val="20"/>
                <w:szCs w:val="18"/>
              </w:rPr>
              <w:t>IBA</w:t>
            </w:r>
          </w:p>
        </w:tc>
      </w:tr>
      <w:tr w:rsidR="00573860" w:rsidRPr="00FE73DE" w14:paraId="5C0FC036" w14:textId="77777777" w:rsidTr="00C145AC">
        <w:tc>
          <w:tcPr>
            <w:tcW w:w="0" w:type="auto"/>
            <w:vMerge/>
          </w:tcPr>
          <w:p w14:paraId="225014A7" w14:textId="77777777" w:rsidR="00573860" w:rsidRPr="00FE73DE" w:rsidRDefault="00573860" w:rsidP="00C145AC">
            <w:pPr>
              <w:spacing w:before="60" w:after="60" w:line="240" w:lineRule="auto"/>
              <w:jc w:val="left"/>
              <w:rPr>
                <w:sz w:val="20"/>
                <w:szCs w:val="18"/>
              </w:rPr>
            </w:pPr>
          </w:p>
        </w:tc>
        <w:tc>
          <w:tcPr>
            <w:tcW w:w="0" w:type="auto"/>
            <w:vMerge w:val="restart"/>
            <w:tcBorders>
              <w:top w:val="dotted" w:sz="4" w:space="0" w:color="6B818C" w:themeColor="accent5"/>
            </w:tcBorders>
          </w:tcPr>
          <w:p w14:paraId="75351080" w14:textId="77777777" w:rsidR="00573860" w:rsidRPr="00FE73DE" w:rsidRDefault="00573860" w:rsidP="00C145AC">
            <w:pPr>
              <w:spacing w:before="60" w:after="60" w:line="240" w:lineRule="auto"/>
              <w:jc w:val="left"/>
              <w:rPr>
                <w:sz w:val="20"/>
                <w:szCs w:val="18"/>
              </w:rPr>
            </w:pPr>
            <w:r w:rsidRPr="00FE73DE">
              <w:rPr>
                <w:b/>
                <w:bCs/>
                <w:sz w:val="20"/>
                <w:szCs w:val="18"/>
              </w:rPr>
              <w:t>Expanding microfinance and grants for business assets.</w:t>
            </w:r>
            <w:r w:rsidRPr="00FE73DE">
              <w:rPr>
                <w:sz w:val="20"/>
                <w:szCs w:val="18"/>
              </w:rPr>
              <w:t xml:space="preserve"> Aims to double the size of microfinance programs, concentrating on regional and remote areas. </w:t>
            </w:r>
          </w:p>
        </w:tc>
        <w:tc>
          <w:tcPr>
            <w:tcW w:w="0" w:type="auto"/>
            <w:tcBorders>
              <w:top w:val="dotted" w:sz="4" w:space="0" w:color="6B818C" w:themeColor="accent5"/>
              <w:bottom w:val="dotted" w:sz="4" w:space="0" w:color="6B818C" w:themeColor="accent5"/>
            </w:tcBorders>
          </w:tcPr>
          <w:p w14:paraId="0FC6E36F" w14:textId="77777777" w:rsidR="00573860" w:rsidRPr="00FE73DE" w:rsidRDefault="00573860" w:rsidP="00C145AC">
            <w:pPr>
              <w:spacing w:before="60" w:after="60" w:line="240" w:lineRule="auto"/>
              <w:jc w:val="left"/>
              <w:rPr>
                <w:sz w:val="20"/>
                <w:szCs w:val="18"/>
              </w:rPr>
            </w:pPr>
            <w:r w:rsidRPr="00FE73DE">
              <w:rPr>
                <w:sz w:val="20"/>
                <w:szCs w:val="18"/>
              </w:rPr>
              <w:t>Many Rivers</w:t>
            </w:r>
          </w:p>
        </w:tc>
      </w:tr>
      <w:tr w:rsidR="00573860" w:rsidRPr="00FE73DE" w14:paraId="0333A713" w14:textId="77777777" w:rsidTr="00C145AC">
        <w:tc>
          <w:tcPr>
            <w:tcW w:w="0" w:type="auto"/>
            <w:vMerge/>
          </w:tcPr>
          <w:p w14:paraId="634DBBDF" w14:textId="77777777" w:rsidR="00573860" w:rsidRPr="00FE73DE" w:rsidRDefault="00573860" w:rsidP="00C145AC">
            <w:pPr>
              <w:spacing w:before="60" w:after="60" w:line="240" w:lineRule="auto"/>
              <w:jc w:val="left"/>
              <w:rPr>
                <w:sz w:val="20"/>
                <w:szCs w:val="18"/>
              </w:rPr>
            </w:pPr>
          </w:p>
        </w:tc>
        <w:tc>
          <w:tcPr>
            <w:tcW w:w="0" w:type="auto"/>
            <w:vMerge/>
            <w:tcBorders>
              <w:bottom w:val="dotted" w:sz="4" w:space="0" w:color="6B818C" w:themeColor="accent5"/>
            </w:tcBorders>
          </w:tcPr>
          <w:p w14:paraId="382D3533" w14:textId="77777777" w:rsidR="00573860" w:rsidRPr="00FE73DE" w:rsidRDefault="00573860" w:rsidP="00C145AC">
            <w:pPr>
              <w:spacing w:before="60" w:after="60" w:line="240" w:lineRule="auto"/>
              <w:jc w:val="left"/>
              <w:rPr>
                <w:b/>
                <w:bCs/>
                <w:sz w:val="20"/>
                <w:szCs w:val="18"/>
              </w:rPr>
            </w:pPr>
          </w:p>
        </w:tc>
        <w:tc>
          <w:tcPr>
            <w:tcW w:w="0" w:type="auto"/>
            <w:tcBorders>
              <w:top w:val="dotted" w:sz="4" w:space="0" w:color="6B818C" w:themeColor="accent5"/>
              <w:bottom w:val="dotted" w:sz="4" w:space="0" w:color="6B818C" w:themeColor="accent5"/>
            </w:tcBorders>
          </w:tcPr>
          <w:p w14:paraId="395EC18A" w14:textId="77777777" w:rsidR="00573860" w:rsidRPr="00FE73DE" w:rsidRDefault="00573860" w:rsidP="00C145AC">
            <w:pPr>
              <w:spacing w:before="60" w:after="60" w:line="240" w:lineRule="auto"/>
              <w:jc w:val="left"/>
              <w:rPr>
                <w:sz w:val="20"/>
                <w:szCs w:val="18"/>
              </w:rPr>
            </w:pPr>
            <w:r w:rsidRPr="00FE73DE">
              <w:rPr>
                <w:sz w:val="20"/>
                <w:szCs w:val="18"/>
              </w:rPr>
              <w:t>NIAA grant program: Indigenous Entrepreneurs Fund (IEF)</w:t>
            </w:r>
            <w:r w:rsidRPr="00FE73DE">
              <w:rPr>
                <w:rStyle w:val="FootnoteReference"/>
                <w:sz w:val="20"/>
                <w:szCs w:val="18"/>
              </w:rPr>
              <w:footnoteReference w:id="71"/>
            </w:r>
          </w:p>
        </w:tc>
      </w:tr>
      <w:tr w:rsidR="00573860" w:rsidRPr="00FE73DE" w14:paraId="358833B0" w14:textId="77777777" w:rsidTr="00C145AC">
        <w:tc>
          <w:tcPr>
            <w:tcW w:w="0" w:type="auto"/>
            <w:vMerge/>
            <w:tcBorders>
              <w:bottom w:val="single" w:sz="4" w:space="0" w:color="6B818C" w:themeColor="accent5"/>
            </w:tcBorders>
          </w:tcPr>
          <w:p w14:paraId="6F9D3281" w14:textId="77777777" w:rsidR="00573860" w:rsidRPr="00FE73DE" w:rsidRDefault="00573860" w:rsidP="00C145AC">
            <w:pPr>
              <w:spacing w:before="60" w:after="60" w:line="240" w:lineRule="auto"/>
              <w:jc w:val="left"/>
              <w:rPr>
                <w:sz w:val="20"/>
                <w:szCs w:val="18"/>
              </w:rPr>
            </w:pPr>
          </w:p>
        </w:tc>
        <w:tc>
          <w:tcPr>
            <w:tcW w:w="0" w:type="auto"/>
            <w:tcBorders>
              <w:top w:val="dotted" w:sz="4" w:space="0" w:color="6B818C" w:themeColor="accent5"/>
              <w:bottom w:val="single" w:sz="4" w:space="0" w:color="6B818C" w:themeColor="accent5"/>
            </w:tcBorders>
          </w:tcPr>
          <w:p w14:paraId="7CA77E51" w14:textId="77777777" w:rsidR="00573860" w:rsidRPr="00FE73DE" w:rsidRDefault="00573860" w:rsidP="00C145AC">
            <w:pPr>
              <w:spacing w:before="60" w:after="60" w:line="240" w:lineRule="auto"/>
              <w:jc w:val="left"/>
              <w:rPr>
                <w:sz w:val="20"/>
                <w:szCs w:val="18"/>
              </w:rPr>
            </w:pPr>
            <w:r w:rsidRPr="00FE73DE">
              <w:rPr>
                <w:b/>
                <w:bCs/>
                <w:sz w:val="20"/>
                <w:szCs w:val="18"/>
              </w:rPr>
              <w:t>Indigenous Entrepreneurs Capital Scheme.</w:t>
            </w:r>
            <w:r w:rsidRPr="00FE73DE">
              <w:rPr>
                <w:sz w:val="20"/>
                <w:szCs w:val="18"/>
              </w:rPr>
              <w:t xml:space="preserve"> Will connect Indigenous businesses with commercial finance options.</w:t>
            </w:r>
          </w:p>
        </w:tc>
        <w:tc>
          <w:tcPr>
            <w:tcW w:w="0" w:type="auto"/>
            <w:tcBorders>
              <w:top w:val="dotted" w:sz="4" w:space="0" w:color="6B818C" w:themeColor="accent5"/>
              <w:bottom w:val="single" w:sz="4" w:space="0" w:color="6B818C" w:themeColor="accent5"/>
            </w:tcBorders>
          </w:tcPr>
          <w:p w14:paraId="40A5D925" w14:textId="77777777" w:rsidR="00573860" w:rsidRPr="00FE73DE" w:rsidRDefault="00573860" w:rsidP="00C145AC">
            <w:pPr>
              <w:spacing w:before="60" w:after="60" w:line="240" w:lineRule="auto"/>
              <w:jc w:val="left"/>
              <w:rPr>
                <w:sz w:val="20"/>
                <w:szCs w:val="18"/>
              </w:rPr>
            </w:pPr>
            <w:r w:rsidRPr="00FE73DE">
              <w:rPr>
                <w:sz w:val="20"/>
                <w:szCs w:val="18"/>
              </w:rPr>
              <w:t>Not known</w:t>
            </w:r>
          </w:p>
        </w:tc>
      </w:tr>
      <w:tr w:rsidR="00573860" w:rsidRPr="00FE73DE" w14:paraId="09B4D303" w14:textId="77777777" w:rsidTr="00C145AC">
        <w:tc>
          <w:tcPr>
            <w:tcW w:w="0" w:type="auto"/>
            <w:vMerge w:val="restart"/>
            <w:tcBorders>
              <w:top w:val="single" w:sz="4" w:space="0" w:color="6B818C" w:themeColor="accent5"/>
            </w:tcBorders>
            <w:shd w:val="clear" w:color="auto" w:fill="E1E5E8" w:themeFill="accent5" w:themeFillTint="33"/>
            <w:vAlign w:val="center"/>
          </w:tcPr>
          <w:p w14:paraId="4533B935" w14:textId="77777777" w:rsidR="00573860" w:rsidRPr="00FE73DE" w:rsidRDefault="00573860" w:rsidP="00C145AC">
            <w:pPr>
              <w:spacing w:before="60" w:after="60" w:line="240" w:lineRule="auto"/>
              <w:jc w:val="left"/>
              <w:rPr>
                <w:b/>
                <w:bCs/>
                <w:sz w:val="20"/>
                <w:szCs w:val="18"/>
              </w:rPr>
            </w:pPr>
            <w:r w:rsidRPr="00FE73DE">
              <w:rPr>
                <w:b/>
                <w:bCs/>
                <w:sz w:val="20"/>
                <w:szCs w:val="18"/>
              </w:rPr>
              <w:t>Stronger connections and relationships</w:t>
            </w:r>
          </w:p>
        </w:tc>
        <w:tc>
          <w:tcPr>
            <w:tcW w:w="0" w:type="auto"/>
            <w:tcBorders>
              <w:top w:val="single" w:sz="4" w:space="0" w:color="6B818C" w:themeColor="accent5"/>
              <w:bottom w:val="dotted" w:sz="4" w:space="0" w:color="6B818C" w:themeColor="accent5"/>
            </w:tcBorders>
            <w:shd w:val="clear" w:color="auto" w:fill="E1E5E8" w:themeFill="accent5" w:themeFillTint="33"/>
          </w:tcPr>
          <w:p w14:paraId="6C551106" w14:textId="77777777" w:rsidR="00573860" w:rsidRPr="00FE73DE" w:rsidRDefault="00573860" w:rsidP="00C145AC">
            <w:pPr>
              <w:spacing w:before="60" w:after="60" w:line="240" w:lineRule="auto"/>
              <w:jc w:val="left"/>
              <w:rPr>
                <w:sz w:val="20"/>
                <w:szCs w:val="18"/>
              </w:rPr>
            </w:pPr>
            <w:r w:rsidRPr="00FE73DE">
              <w:rPr>
                <w:b/>
                <w:bCs/>
                <w:sz w:val="20"/>
                <w:szCs w:val="18"/>
              </w:rPr>
              <w:t>Expanding Partnerships.</w:t>
            </w:r>
            <w:r w:rsidRPr="00FE73DE">
              <w:rPr>
                <w:sz w:val="20"/>
                <w:szCs w:val="18"/>
              </w:rPr>
              <w:t xml:space="preserve"> The Government will establish new partnerships with NGOs and chambers of commerce, and encourage national organisations to reach out to Indigenous entrepreneurs.</w:t>
            </w:r>
          </w:p>
        </w:tc>
        <w:tc>
          <w:tcPr>
            <w:tcW w:w="0" w:type="auto"/>
            <w:tcBorders>
              <w:top w:val="single" w:sz="4" w:space="0" w:color="6B818C" w:themeColor="accent5"/>
              <w:bottom w:val="dotted" w:sz="4" w:space="0" w:color="6B818C" w:themeColor="accent5"/>
            </w:tcBorders>
            <w:shd w:val="clear" w:color="auto" w:fill="E1E5E8" w:themeFill="accent5" w:themeFillTint="33"/>
          </w:tcPr>
          <w:p w14:paraId="167B0D2A" w14:textId="77777777" w:rsidR="00573860" w:rsidRPr="00FE73DE" w:rsidRDefault="00573860" w:rsidP="00C145AC">
            <w:pPr>
              <w:spacing w:before="60" w:after="60" w:line="240" w:lineRule="auto"/>
              <w:jc w:val="left"/>
              <w:rPr>
                <w:sz w:val="20"/>
                <w:szCs w:val="18"/>
              </w:rPr>
            </w:pPr>
            <w:r w:rsidRPr="00FE73DE">
              <w:rPr>
                <w:sz w:val="20"/>
                <w:szCs w:val="18"/>
              </w:rPr>
              <w:t>Australian Government</w:t>
            </w:r>
          </w:p>
        </w:tc>
      </w:tr>
      <w:tr w:rsidR="00573860" w:rsidRPr="00FE73DE" w14:paraId="25000D72" w14:textId="77777777" w:rsidTr="00C145AC">
        <w:tc>
          <w:tcPr>
            <w:tcW w:w="0" w:type="auto"/>
            <w:vMerge/>
            <w:shd w:val="clear" w:color="auto" w:fill="E1E5E8" w:themeFill="accent5" w:themeFillTint="33"/>
          </w:tcPr>
          <w:p w14:paraId="790FC9E4" w14:textId="77777777" w:rsidR="00573860" w:rsidRPr="00FE73DE" w:rsidRDefault="00573860" w:rsidP="00C145AC">
            <w:pPr>
              <w:spacing w:before="60" w:after="60" w:line="240" w:lineRule="auto"/>
              <w:jc w:val="left"/>
              <w:rPr>
                <w:b/>
                <w:bCs/>
                <w:sz w:val="20"/>
                <w:szCs w:val="18"/>
              </w:rPr>
            </w:pPr>
          </w:p>
        </w:tc>
        <w:tc>
          <w:tcPr>
            <w:tcW w:w="0" w:type="auto"/>
            <w:tcBorders>
              <w:top w:val="dotted" w:sz="4" w:space="0" w:color="6B818C" w:themeColor="accent5"/>
              <w:bottom w:val="dotted" w:sz="4" w:space="0" w:color="6B818C" w:themeColor="accent5"/>
            </w:tcBorders>
            <w:shd w:val="clear" w:color="auto" w:fill="E1E5E8" w:themeFill="accent5" w:themeFillTint="33"/>
          </w:tcPr>
          <w:p w14:paraId="6DC12BAF" w14:textId="77777777" w:rsidR="00573860" w:rsidRPr="00FE73DE" w:rsidRDefault="00573860" w:rsidP="00C145AC">
            <w:pPr>
              <w:spacing w:before="60" w:after="60" w:line="240" w:lineRule="auto"/>
              <w:jc w:val="left"/>
              <w:rPr>
                <w:sz w:val="20"/>
                <w:szCs w:val="18"/>
              </w:rPr>
            </w:pPr>
            <w:r w:rsidRPr="00FE73DE">
              <w:rPr>
                <w:b/>
                <w:bCs/>
                <w:sz w:val="20"/>
                <w:szCs w:val="18"/>
              </w:rPr>
              <w:t>Accessing Networks.</w:t>
            </w:r>
            <w:r w:rsidRPr="00FE73DE">
              <w:rPr>
                <w:sz w:val="20"/>
                <w:szCs w:val="18"/>
              </w:rPr>
              <w:t xml:space="preserve"> Supported through the Annual Indigenous Business Summit, a national road show of Meet the Buyer events, and the Business Hubs.</w:t>
            </w:r>
          </w:p>
        </w:tc>
        <w:tc>
          <w:tcPr>
            <w:tcW w:w="0" w:type="auto"/>
            <w:tcBorders>
              <w:top w:val="dotted" w:sz="4" w:space="0" w:color="6B818C" w:themeColor="accent5"/>
              <w:bottom w:val="dotted" w:sz="4" w:space="0" w:color="6B818C" w:themeColor="accent5"/>
            </w:tcBorders>
            <w:shd w:val="clear" w:color="auto" w:fill="E1E5E8" w:themeFill="accent5" w:themeFillTint="33"/>
          </w:tcPr>
          <w:p w14:paraId="26B5BC28" w14:textId="77777777" w:rsidR="00573860" w:rsidRPr="00FE73DE" w:rsidRDefault="00573860" w:rsidP="00C145AC">
            <w:pPr>
              <w:spacing w:before="60" w:after="60" w:line="240" w:lineRule="auto"/>
              <w:jc w:val="left"/>
              <w:rPr>
                <w:sz w:val="20"/>
                <w:szCs w:val="18"/>
              </w:rPr>
            </w:pPr>
            <w:r w:rsidRPr="00FE73DE">
              <w:rPr>
                <w:sz w:val="20"/>
                <w:szCs w:val="18"/>
              </w:rPr>
              <w:t>Australian Government</w:t>
            </w:r>
          </w:p>
        </w:tc>
      </w:tr>
      <w:tr w:rsidR="00573860" w:rsidRPr="00FE73DE" w14:paraId="1B32CA59" w14:textId="77777777" w:rsidTr="00C145AC">
        <w:tc>
          <w:tcPr>
            <w:tcW w:w="0" w:type="auto"/>
            <w:vMerge/>
            <w:tcBorders>
              <w:bottom w:val="single" w:sz="4" w:space="0" w:color="6B818C" w:themeColor="accent5"/>
            </w:tcBorders>
            <w:shd w:val="clear" w:color="auto" w:fill="E1E5E8" w:themeFill="accent5" w:themeFillTint="33"/>
          </w:tcPr>
          <w:p w14:paraId="0E1089C3" w14:textId="77777777" w:rsidR="00573860" w:rsidRPr="00FE73DE" w:rsidRDefault="00573860" w:rsidP="00C145AC">
            <w:pPr>
              <w:spacing w:before="60" w:after="60" w:line="240" w:lineRule="auto"/>
              <w:jc w:val="left"/>
              <w:rPr>
                <w:b/>
                <w:bCs/>
                <w:sz w:val="20"/>
                <w:szCs w:val="18"/>
              </w:rPr>
            </w:pPr>
          </w:p>
        </w:tc>
        <w:tc>
          <w:tcPr>
            <w:tcW w:w="0" w:type="auto"/>
            <w:tcBorders>
              <w:top w:val="dotted" w:sz="4" w:space="0" w:color="6B818C" w:themeColor="accent5"/>
              <w:bottom w:val="single" w:sz="4" w:space="0" w:color="6B818C" w:themeColor="accent5"/>
            </w:tcBorders>
            <w:shd w:val="clear" w:color="auto" w:fill="E1E5E8" w:themeFill="accent5" w:themeFillTint="33"/>
          </w:tcPr>
          <w:p w14:paraId="2B81ABEC" w14:textId="77777777" w:rsidR="00573860" w:rsidRPr="00FE73DE" w:rsidRDefault="00573860" w:rsidP="00C145AC">
            <w:pPr>
              <w:spacing w:before="60" w:after="60" w:line="240" w:lineRule="auto"/>
              <w:jc w:val="left"/>
              <w:rPr>
                <w:sz w:val="20"/>
                <w:szCs w:val="18"/>
              </w:rPr>
            </w:pPr>
            <w:r w:rsidRPr="00FE73DE">
              <w:rPr>
                <w:b/>
                <w:bCs/>
                <w:sz w:val="20"/>
                <w:szCs w:val="18"/>
              </w:rPr>
              <w:t>Aboriginal and Torres Strait Islander women in business.</w:t>
            </w:r>
            <w:r w:rsidRPr="00FE73DE">
              <w:rPr>
                <w:sz w:val="20"/>
                <w:szCs w:val="18"/>
              </w:rPr>
              <w:t xml:space="preserve"> This action states that all other actions in the IBSS need to focus on access for Aboriginal and Torres Strait Islander women.</w:t>
            </w:r>
          </w:p>
        </w:tc>
        <w:tc>
          <w:tcPr>
            <w:tcW w:w="0" w:type="auto"/>
            <w:tcBorders>
              <w:top w:val="dotted" w:sz="4" w:space="0" w:color="6B818C" w:themeColor="accent5"/>
              <w:bottom w:val="single" w:sz="4" w:space="0" w:color="6B818C" w:themeColor="accent5"/>
            </w:tcBorders>
            <w:shd w:val="clear" w:color="auto" w:fill="E1E5E8" w:themeFill="accent5" w:themeFillTint="33"/>
          </w:tcPr>
          <w:p w14:paraId="28AD4B69" w14:textId="77777777" w:rsidR="00573860" w:rsidRPr="00FE73DE" w:rsidRDefault="00573860" w:rsidP="00C145AC">
            <w:pPr>
              <w:spacing w:before="60" w:after="60" w:line="240" w:lineRule="auto"/>
              <w:jc w:val="left"/>
              <w:rPr>
                <w:sz w:val="20"/>
                <w:szCs w:val="18"/>
              </w:rPr>
            </w:pPr>
            <w:r w:rsidRPr="00FE73DE">
              <w:rPr>
                <w:sz w:val="20"/>
                <w:szCs w:val="18"/>
              </w:rPr>
              <w:t>Some aspects delivered by IBA</w:t>
            </w:r>
          </w:p>
        </w:tc>
      </w:tr>
      <w:tr w:rsidR="00573860" w:rsidRPr="00FE73DE" w14:paraId="58CE1E09" w14:textId="77777777" w:rsidTr="00C145AC">
        <w:tc>
          <w:tcPr>
            <w:tcW w:w="0" w:type="auto"/>
            <w:vMerge w:val="restart"/>
            <w:tcBorders>
              <w:top w:val="single" w:sz="4" w:space="0" w:color="6B818C" w:themeColor="accent5"/>
            </w:tcBorders>
            <w:vAlign w:val="center"/>
          </w:tcPr>
          <w:p w14:paraId="06896B96" w14:textId="77777777" w:rsidR="00573860" w:rsidRPr="00FE73DE" w:rsidRDefault="00573860" w:rsidP="00C145AC">
            <w:pPr>
              <w:spacing w:before="60" w:after="60" w:line="240" w:lineRule="auto"/>
              <w:jc w:val="left"/>
              <w:rPr>
                <w:b/>
                <w:bCs/>
                <w:sz w:val="20"/>
                <w:szCs w:val="18"/>
              </w:rPr>
            </w:pPr>
            <w:r w:rsidRPr="00FE73DE">
              <w:rPr>
                <w:b/>
                <w:bCs/>
                <w:sz w:val="20"/>
                <w:szCs w:val="18"/>
              </w:rPr>
              <w:t>Harnessing the power of knowledge</w:t>
            </w:r>
          </w:p>
        </w:tc>
        <w:tc>
          <w:tcPr>
            <w:tcW w:w="0" w:type="auto"/>
            <w:tcBorders>
              <w:top w:val="single" w:sz="4" w:space="0" w:color="6B818C" w:themeColor="accent5"/>
              <w:bottom w:val="dotted" w:sz="4" w:space="0" w:color="6B818C" w:themeColor="accent5"/>
            </w:tcBorders>
          </w:tcPr>
          <w:p w14:paraId="60F11642" w14:textId="77777777" w:rsidR="00573860" w:rsidRPr="00FE73DE" w:rsidRDefault="00573860" w:rsidP="00C145AC">
            <w:pPr>
              <w:spacing w:before="60" w:after="60" w:line="240" w:lineRule="auto"/>
              <w:jc w:val="left"/>
              <w:rPr>
                <w:sz w:val="20"/>
                <w:szCs w:val="18"/>
              </w:rPr>
            </w:pPr>
            <w:r w:rsidRPr="00FE73DE">
              <w:rPr>
                <w:b/>
                <w:bCs/>
                <w:sz w:val="20"/>
                <w:szCs w:val="18"/>
              </w:rPr>
              <w:t>Digital Launch Pad.</w:t>
            </w:r>
            <w:r w:rsidRPr="00FE73DE">
              <w:rPr>
                <w:sz w:val="20"/>
                <w:szCs w:val="18"/>
              </w:rPr>
              <w:t xml:space="preserve"> The Government will create a website for Indigenous entrepreneurs to access business support services, capital products, industry information and emerging opportunities.</w:t>
            </w:r>
          </w:p>
        </w:tc>
        <w:tc>
          <w:tcPr>
            <w:tcW w:w="0" w:type="auto"/>
            <w:tcBorders>
              <w:top w:val="single" w:sz="4" w:space="0" w:color="6B818C" w:themeColor="accent5"/>
              <w:bottom w:val="dotted" w:sz="4" w:space="0" w:color="6B818C" w:themeColor="accent5"/>
            </w:tcBorders>
          </w:tcPr>
          <w:p w14:paraId="1BEFC7BB" w14:textId="77777777" w:rsidR="00573860" w:rsidRPr="00FE73DE" w:rsidRDefault="00573860" w:rsidP="00C145AC">
            <w:pPr>
              <w:spacing w:before="60" w:after="60" w:line="240" w:lineRule="auto"/>
              <w:jc w:val="left"/>
              <w:rPr>
                <w:sz w:val="20"/>
                <w:szCs w:val="18"/>
              </w:rPr>
            </w:pPr>
            <w:r w:rsidRPr="00FE73DE">
              <w:rPr>
                <w:sz w:val="20"/>
                <w:szCs w:val="18"/>
              </w:rPr>
              <w:t>Australian Government</w:t>
            </w:r>
          </w:p>
        </w:tc>
      </w:tr>
      <w:tr w:rsidR="00573860" w:rsidRPr="00FE73DE" w14:paraId="78CEBF7C" w14:textId="77777777" w:rsidTr="00C145AC">
        <w:tc>
          <w:tcPr>
            <w:tcW w:w="0" w:type="auto"/>
            <w:vMerge/>
          </w:tcPr>
          <w:p w14:paraId="76631595" w14:textId="77777777" w:rsidR="00573860" w:rsidRPr="00FE73DE" w:rsidRDefault="00573860" w:rsidP="00C145AC">
            <w:pPr>
              <w:spacing w:before="60" w:after="60" w:line="240" w:lineRule="auto"/>
              <w:jc w:val="left"/>
              <w:rPr>
                <w:sz w:val="20"/>
                <w:szCs w:val="18"/>
              </w:rPr>
            </w:pPr>
          </w:p>
        </w:tc>
        <w:tc>
          <w:tcPr>
            <w:tcW w:w="0" w:type="auto"/>
            <w:tcBorders>
              <w:top w:val="dotted" w:sz="4" w:space="0" w:color="6B818C" w:themeColor="accent5"/>
              <w:bottom w:val="single" w:sz="4" w:space="0" w:color="6B818C" w:themeColor="accent5"/>
            </w:tcBorders>
          </w:tcPr>
          <w:p w14:paraId="523FFEEC" w14:textId="77777777" w:rsidR="00573860" w:rsidRPr="00FE73DE" w:rsidRDefault="00573860" w:rsidP="00C145AC">
            <w:pPr>
              <w:spacing w:before="60" w:after="60" w:line="240" w:lineRule="auto"/>
              <w:jc w:val="left"/>
              <w:rPr>
                <w:sz w:val="20"/>
                <w:szCs w:val="18"/>
              </w:rPr>
            </w:pPr>
            <w:r w:rsidRPr="00FE73DE">
              <w:rPr>
                <w:b/>
                <w:bCs/>
                <w:sz w:val="20"/>
                <w:szCs w:val="18"/>
              </w:rPr>
              <w:t>Better data collection.</w:t>
            </w:r>
            <w:r w:rsidRPr="00FE73DE">
              <w:rPr>
                <w:sz w:val="20"/>
                <w:szCs w:val="18"/>
              </w:rPr>
              <w:t xml:space="preserve"> The Government will seek to improve the scope and detail of data on Indigenous businesses.</w:t>
            </w:r>
          </w:p>
        </w:tc>
        <w:tc>
          <w:tcPr>
            <w:tcW w:w="0" w:type="auto"/>
            <w:tcBorders>
              <w:top w:val="dotted" w:sz="4" w:space="0" w:color="6B818C" w:themeColor="accent5"/>
              <w:bottom w:val="single" w:sz="4" w:space="0" w:color="6B818C" w:themeColor="accent5"/>
            </w:tcBorders>
          </w:tcPr>
          <w:p w14:paraId="7C237F12" w14:textId="77777777" w:rsidR="00573860" w:rsidRPr="00FE73DE" w:rsidRDefault="00573860" w:rsidP="00C145AC">
            <w:pPr>
              <w:spacing w:before="60" w:after="60" w:line="240" w:lineRule="auto"/>
              <w:jc w:val="left"/>
              <w:rPr>
                <w:sz w:val="20"/>
                <w:szCs w:val="18"/>
              </w:rPr>
            </w:pPr>
            <w:r w:rsidRPr="00FE73DE">
              <w:rPr>
                <w:sz w:val="20"/>
                <w:szCs w:val="18"/>
              </w:rPr>
              <w:t>Australian Government</w:t>
            </w:r>
          </w:p>
        </w:tc>
      </w:tr>
    </w:tbl>
    <w:p w14:paraId="2E94F242" w14:textId="77777777" w:rsidR="00573860" w:rsidRPr="00FE73DE" w:rsidRDefault="00573860" w:rsidP="00573860"/>
    <w:p w14:paraId="264D81DE" w14:textId="000CE404" w:rsidR="00B00D48" w:rsidRPr="00FE73DE" w:rsidRDefault="00B00D48" w:rsidP="00B00D48">
      <w:r w:rsidRPr="00FE73DE">
        <w:rPr>
          <w:szCs w:val="24"/>
        </w:rPr>
        <w:t xml:space="preserve">In relation to providing access to finance, the IBSS outlined a staged approach to capital support to move Indigenous businesses to a position where they could access capital without government support as quickly as possible. </w:t>
      </w:r>
      <w:r w:rsidRPr="00FE73DE">
        <w:rPr>
          <w:szCs w:val="24"/>
        </w:rPr>
        <w:fldChar w:fldCharType="begin"/>
      </w:r>
      <w:r w:rsidRPr="00FE73DE">
        <w:rPr>
          <w:szCs w:val="24"/>
        </w:rPr>
        <w:instrText xml:space="preserve"> REF _Ref110886098 \h </w:instrText>
      </w:r>
      <w:r w:rsidRPr="00FE73DE">
        <w:rPr>
          <w:szCs w:val="24"/>
        </w:rPr>
      </w:r>
      <w:r w:rsidRPr="00FE73DE">
        <w:rPr>
          <w:szCs w:val="24"/>
        </w:rPr>
        <w:fldChar w:fldCharType="separate"/>
      </w:r>
      <w:r w:rsidR="004718C9" w:rsidRPr="00FE73DE">
        <w:t xml:space="preserve">Figure </w:t>
      </w:r>
      <w:r w:rsidR="004718C9">
        <w:rPr>
          <w:noProof/>
        </w:rPr>
        <w:t>30</w:t>
      </w:r>
      <w:r w:rsidRPr="00FE73DE">
        <w:rPr>
          <w:szCs w:val="24"/>
        </w:rPr>
        <w:fldChar w:fldCharType="end"/>
      </w:r>
      <w:r w:rsidRPr="00FE73DE">
        <w:rPr>
          <w:szCs w:val="24"/>
        </w:rPr>
        <w:t xml:space="preserve"> </w:t>
      </w:r>
      <w:r w:rsidRPr="00FE73DE">
        <w:t>(below) shows how different IBSS actions aim to support Indigenous business across different stages of the business lifecycle.</w:t>
      </w:r>
    </w:p>
    <w:p w14:paraId="067BEC22" w14:textId="77777777" w:rsidR="00B00D48" w:rsidRPr="00FE73DE" w:rsidRDefault="00B00D48" w:rsidP="00B00D48">
      <w:r w:rsidRPr="00FE73DE">
        <w:rPr>
          <w:noProof/>
          <w:lang w:eastAsia="en-AU"/>
        </w:rPr>
        <w:drawing>
          <wp:inline distT="0" distB="0" distL="0" distR="0" wp14:anchorId="650F741A" wp14:editId="1CE5FFE9">
            <wp:extent cx="5581815" cy="3972746"/>
            <wp:effectExtent l="0" t="0" r="0" b="889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618529" cy="3998876"/>
                    </a:xfrm>
                    <a:prstGeom prst="rect">
                      <a:avLst/>
                    </a:prstGeom>
                    <a:noFill/>
                    <a:ln>
                      <a:noFill/>
                    </a:ln>
                    <a:extLst>
                      <a:ext uri="{53640926-AAD7-44D8-BBD7-CCE9431645EC}">
                        <a14:shadowObscured xmlns:a14="http://schemas.microsoft.com/office/drawing/2010/main"/>
                      </a:ext>
                    </a:extLst>
                  </pic:spPr>
                </pic:pic>
              </a:graphicData>
            </a:graphic>
          </wp:inline>
        </w:drawing>
      </w:r>
    </w:p>
    <w:p w14:paraId="5B1E7698" w14:textId="3A5F48FE" w:rsidR="00B00D48" w:rsidRPr="00FE73DE" w:rsidRDefault="00B00D48" w:rsidP="00B00D48">
      <w:pPr>
        <w:pStyle w:val="Caption"/>
        <w:keepNext/>
        <w:jc w:val="both"/>
      </w:pPr>
      <w:bookmarkStart w:id="155" w:name="_Ref110886098"/>
      <w:r w:rsidRPr="00FE73DE">
        <w:t xml:space="preserve">Figure </w:t>
      </w:r>
      <w:fldSimple w:instr=" SEQ Figure \* ARABIC ">
        <w:r w:rsidR="004718C9">
          <w:rPr>
            <w:noProof/>
          </w:rPr>
          <w:t>30</w:t>
        </w:r>
      </w:fldSimple>
      <w:bookmarkEnd w:id="155"/>
      <w:r w:rsidRPr="00FE73DE">
        <w:t>: IBSS support across business development stages</w:t>
      </w:r>
      <w:r w:rsidRPr="00FE73DE">
        <w:rPr>
          <w:rStyle w:val="FootnoteReference"/>
        </w:rPr>
        <w:footnoteReference w:id="72"/>
      </w:r>
    </w:p>
    <w:p w14:paraId="3AB87F6F" w14:textId="403EC479" w:rsidR="00B00D48" w:rsidRPr="00FE73DE" w:rsidRDefault="00B00D48" w:rsidP="00B00D48">
      <w:pPr>
        <w:spacing w:after="200" w:line="276" w:lineRule="auto"/>
      </w:pPr>
      <w:r w:rsidRPr="00FE73DE">
        <w:rPr>
          <w:rFonts w:cs="Arial"/>
          <w:color w:val="000000"/>
        </w:rPr>
        <w:t xml:space="preserve">In reference to the IBSS suite of services across the business cycle, as shown in </w:t>
      </w:r>
      <w:r w:rsidRPr="00FE73DE">
        <w:rPr>
          <w:rFonts w:cs="Arial"/>
          <w:color w:val="000000"/>
        </w:rPr>
        <w:fldChar w:fldCharType="begin"/>
      </w:r>
      <w:r w:rsidRPr="00FE73DE">
        <w:rPr>
          <w:rFonts w:cs="Arial"/>
          <w:color w:val="000000"/>
        </w:rPr>
        <w:instrText xml:space="preserve"> REF _Ref110886098 \h  \* MERGEFORMAT </w:instrText>
      </w:r>
      <w:r w:rsidRPr="00FE73DE">
        <w:rPr>
          <w:rFonts w:cs="Arial"/>
          <w:color w:val="000000"/>
        </w:rPr>
      </w:r>
      <w:r w:rsidRPr="00FE73DE">
        <w:rPr>
          <w:rFonts w:cs="Arial"/>
          <w:color w:val="000000"/>
        </w:rPr>
        <w:fldChar w:fldCharType="separate"/>
      </w:r>
      <w:r w:rsidR="004718C9" w:rsidRPr="00FE73DE">
        <w:t xml:space="preserve">Figure </w:t>
      </w:r>
      <w:r w:rsidR="004718C9">
        <w:t>30</w:t>
      </w:r>
      <w:r w:rsidRPr="00FE73DE">
        <w:rPr>
          <w:rFonts w:cs="Arial"/>
          <w:color w:val="000000"/>
        </w:rPr>
        <w:fldChar w:fldCharType="end"/>
      </w:r>
      <w:r w:rsidRPr="00FE73DE">
        <w:rPr>
          <w:rFonts w:cs="Arial"/>
          <w:color w:val="000000"/>
        </w:rPr>
        <w:t xml:space="preserve"> the BSP is illustrated by the IBA blue box which cuts across Ideas &amp; Planning, Start-up and Stabilising, as well as some of the aspects in the blue box entitled Procurement Support. The BSP </w:t>
      </w:r>
      <w:r w:rsidRPr="00FE73DE">
        <w:t xml:space="preserve">provides business support </w:t>
      </w:r>
      <w:r w:rsidRPr="00FE73DE">
        <w:rPr>
          <w:rFonts w:cs="Arial"/>
          <w:color w:val="000000"/>
        </w:rPr>
        <w:t xml:space="preserve">and capability development services, </w:t>
      </w:r>
      <w:r w:rsidRPr="00FE73DE">
        <w:t>and concessional loan products to those Indigenous businesses that are assessed as viable but are unlikely to obtain private sector finance even with Commonwealth support. The program seeks to assist Indigenous owned and led businesses (both IBA’s loan/ financing customers and non-loan/ non-financed customers) at all stages of the business lifecycle (from ideation, preparation, start-up through to stabilisation, growth, maturity and exit). It is designed to assist Indigenous businesses with low levels of equity or collateral and/ or high support needs, focusing in particular on assisting early stage entrepreneurs and those entrepreneurs that are outside of the banks risk profile but who with one-on-one support and tailored finance can succeed.</w:t>
      </w:r>
    </w:p>
    <w:p w14:paraId="52FD9379" w14:textId="77777777" w:rsidR="00B00D48" w:rsidRPr="00FE73DE" w:rsidRDefault="00B00D48" w:rsidP="00B00D48">
      <w:pPr>
        <w:rPr>
          <w:szCs w:val="24"/>
        </w:rPr>
      </w:pPr>
      <w:r w:rsidRPr="00FE73DE">
        <w:rPr>
          <w:szCs w:val="24"/>
        </w:rPr>
        <w:t>It was considered that businesses that are investment ready continue to seek capital from private sector sources, freeing up capital and resources to assist Indigenous businesses that do require government assistance.</w:t>
      </w:r>
    </w:p>
    <w:p w14:paraId="29B0BD93" w14:textId="77777777" w:rsidR="00ED238A" w:rsidRPr="00FE73DE" w:rsidRDefault="00ED238A" w:rsidP="00ED238A">
      <w:pPr>
        <w:spacing w:after="200" w:line="276" w:lineRule="auto"/>
        <w:jc w:val="left"/>
        <w:sectPr w:rsidR="00ED238A" w:rsidRPr="00FE73DE" w:rsidSect="00F93D38">
          <w:footerReference w:type="default" r:id="rId48"/>
          <w:pgSz w:w="11906" w:h="16838" w:code="9"/>
          <w:pgMar w:top="1843" w:right="1416" w:bottom="1135" w:left="1503" w:header="680" w:footer="567" w:gutter="0"/>
          <w:cols w:space="708"/>
          <w:docGrid w:linePitch="360"/>
        </w:sectPr>
      </w:pPr>
    </w:p>
    <w:p w14:paraId="7C65751C" w14:textId="76AD46ED" w:rsidR="00ED238A" w:rsidRPr="00FE73DE" w:rsidRDefault="00ED238A" w:rsidP="008B62F3">
      <w:pPr>
        <w:pStyle w:val="Heading1"/>
        <w:numPr>
          <w:ilvl w:val="0"/>
          <w:numId w:val="0"/>
        </w:numPr>
        <w:jc w:val="both"/>
      </w:pPr>
      <w:bookmarkStart w:id="156" w:name="_Toc94116396"/>
      <w:bookmarkStart w:id="157" w:name="_Toc123734725"/>
      <w:r w:rsidRPr="00FE73DE">
        <w:t xml:space="preserve">Appendix </w:t>
      </w:r>
      <w:r w:rsidR="001C6781">
        <w:t>C</w:t>
      </w:r>
      <w:r w:rsidRPr="00FE73DE">
        <w:t>: Analytical and Evaluation Framework</w:t>
      </w:r>
      <w:bookmarkEnd w:id="156"/>
      <w:bookmarkEnd w:id="157"/>
    </w:p>
    <w:p w14:paraId="5B4AA2AA" w14:textId="69E9FC14" w:rsidR="00ED238A" w:rsidRPr="00FE73DE" w:rsidRDefault="00ED238A" w:rsidP="00ED238A">
      <w:r w:rsidRPr="00FE73DE">
        <w:t>The Analytical and Evaluation Framework builds on the evaluation questions and sub-questions and sets out the expected analytical task(s), the expected data source(s) and proposed data collection tool(s).</w:t>
      </w:r>
      <w:r w:rsidR="002357D4">
        <w:rPr>
          <w:rStyle w:val="FootnoteReference"/>
        </w:rPr>
        <w:footnoteReference w:id="73"/>
      </w:r>
      <w:r w:rsidRPr="00FE73DE">
        <w:t xml:space="preserve"> It is acknowledged that the actual use of these questions will be informed by a range of factors including relevance to particular respondents, suitability of questions in an interview setting (and the time constraints of the interview) and cultural appropriateness of the question and interview format. </w:t>
      </w:r>
    </w:p>
    <w:p w14:paraId="594F3863" w14:textId="48403364" w:rsidR="00ED238A" w:rsidRPr="00FE73DE" w:rsidRDefault="00ED238A" w:rsidP="00ED238A">
      <w:r w:rsidRPr="00FE73DE">
        <w:t xml:space="preserve">The Analytical and Evaluation Framework shown below is a high-level representation of the broad approach to data collection. </w:t>
      </w:r>
    </w:p>
    <w:tbl>
      <w:tblPr>
        <w:tblStyle w:val="SustineoTableStyle1"/>
        <w:tblW w:w="0" w:type="auto"/>
        <w:tblLook w:val="04A0" w:firstRow="1" w:lastRow="0" w:firstColumn="1" w:lastColumn="0" w:noHBand="0" w:noVBand="1"/>
      </w:tblPr>
      <w:tblGrid>
        <w:gridCol w:w="2115"/>
        <w:gridCol w:w="3649"/>
        <w:gridCol w:w="2953"/>
        <w:gridCol w:w="2949"/>
        <w:gridCol w:w="2326"/>
      </w:tblGrid>
      <w:tr w:rsidR="00ED238A" w:rsidRPr="00FE73DE" w14:paraId="55FA82CD" w14:textId="77777777" w:rsidTr="00084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4C9385D" w14:textId="77777777" w:rsidR="00ED238A" w:rsidRPr="00FE73DE" w:rsidRDefault="00ED238A" w:rsidP="00ED238A">
            <w:pPr>
              <w:pStyle w:val="TableText"/>
              <w:rPr>
                <w:b w:val="0"/>
                <w:iCs/>
              </w:rPr>
            </w:pPr>
            <w:r w:rsidRPr="00FE73DE">
              <w:t>Evaluation Question</w:t>
            </w:r>
          </w:p>
        </w:tc>
        <w:tc>
          <w:tcPr>
            <w:tcW w:w="3685" w:type="dxa"/>
          </w:tcPr>
          <w:p w14:paraId="26840D9F" w14:textId="77777777" w:rsidR="00ED238A" w:rsidRPr="00FE73DE" w:rsidRDefault="00ED238A" w:rsidP="00ED238A">
            <w:pPr>
              <w:pStyle w:val="TableText"/>
              <w:cnfStyle w:val="100000000000" w:firstRow="1" w:lastRow="0" w:firstColumn="0" w:lastColumn="0" w:oddVBand="0" w:evenVBand="0" w:oddHBand="0" w:evenHBand="0" w:firstRowFirstColumn="0" w:firstRowLastColumn="0" w:lastRowFirstColumn="0" w:lastRowLastColumn="0"/>
              <w:rPr>
                <w:b w:val="0"/>
                <w:iCs/>
              </w:rPr>
            </w:pPr>
            <w:r w:rsidRPr="00FE73DE">
              <w:t>Evaluation Sub-questions</w:t>
            </w:r>
          </w:p>
        </w:tc>
        <w:tc>
          <w:tcPr>
            <w:tcW w:w="2977" w:type="dxa"/>
          </w:tcPr>
          <w:p w14:paraId="330B4B54" w14:textId="77777777" w:rsidR="00ED238A" w:rsidRPr="00FE73DE" w:rsidRDefault="00ED238A" w:rsidP="00ED238A">
            <w:pPr>
              <w:pStyle w:val="TableText"/>
              <w:cnfStyle w:val="100000000000" w:firstRow="1" w:lastRow="0" w:firstColumn="0" w:lastColumn="0" w:oddVBand="0" w:evenVBand="0" w:oddHBand="0" w:evenHBand="0" w:firstRowFirstColumn="0" w:firstRowLastColumn="0" w:lastRowFirstColumn="0" w:lastRowLastColumn="0"/>
              <w:rPr>
                <w:b w:val="0"/>
                <w:iCs/>
              </w:rPr>
            </w:pPr>
            <w:r w:rsidRPr="00FE73DE">
              <w:t>Analytical Method</w:t>
            </w:r>
          </w:p>
        </w:tc>
        <w:tc>
          <w:tcPr>
            <w:tcW w:w="2977" w:type="dxa"/>
          </w:tcPr>
          <w:p w14:paraId="5355A2B1" w14:textId="77777777" w:rsidR="00ED238A" w:rsidRPr="00FE73DE" w:rsidRDefault="00ED238A" w:rsidP="00ED238A">
            <w:pPr>
              <w:pStyle w:val="TableText"/>
              <w:cnfStyle w:val="100000000000" w:firstRow="1" w:lastRow="0" w:firstColumn="0" w:lastColumn="0" w:oddVBand="0" w:evenVBand="0" w:oddHBand="0" w:evenHBand="0" w:firstRowFirstColumn="0" w:firstRowLastColumn="0" w:lastRowFirstColumn="0" w:lastRowLastColumn="0"/>
              <w:rPr>
                <w:b w:val="0"/>
                <w:iCs/>
              </w:rPr>
            </w:pPr>
            <w:r w:rsidRPr="00FE73DE">
              <w:t>Data Source</w:t>
            </w:r>
          </w:p>
        </w:tc>
        <w:tc>
          <w:tcPr>
            <w:tcW w:w="2344" w:type="dxa"/>
          </w:tcPr>
          <w:p w14:paraId="174F3D97" w14:textId="77777777" w:rsidR="00ED238A" w:rsidRPr="00FE73DE" w:rsidRDefault="00ED238A" w:rsidP="00ED238A">
            <w:pPr>
              <w:pStyle w:val="TableText"/>
              <w:cnfStyle w:val="100000000000" w:firstRow="1" w:lastRow="0" w:firstColumn="0" w:lastColumn="0" w:oddVBand="0" w:evenVBand="0" w:oddHBand="0" w:evenHBand="0" w:firstRowFirstColumn="0" w:firstRowLastColumn="0" w:lastRowFirstColumn="0" w:lastRowLastColumn="0"/>
              <w:rPr>
                <w:b w:val="0"/>
                <w:iCs/>
              </w:rPr>
            </w:pPr>
            <w:r w:rsidRPr="00FE73DE">
              <w:t>Evaluation Data Collection Tools</w:t>
            </w:r>
          </w:p>
        </w:tc>
      </w:tr>
      <w:tr w:rsidR="00B24AB4" w:rsidRPr="00FE73DE" w14:paraId="093220D3" w14:textId="77777777" w:rsidTr="00B24AB4">
        <w:tc>
          <w:tcPr>
            <w:cnfStyle w:val="001000000000" w:firstRow="0" w:lastRow="0" w:firstColumn="1" w:lastColumn="0" w:oddVBand="0" w:evenVBand="0" w:oddHBand="0" w:evenHBand="0" w:firstRowFirstColumn="0" w:firstRowLastColumn="0" w:lastRowFirstColumn="0" w:lastRowLastColumn="0"/>
            <w:tcW w:w="2127" w:type="dxa"/>
            <w:shd w:val="clear" w:color="auto" w:fill="AAD0CB" w:themeFill="accent3" w:themeFillTint="66"/>
          </w:tcPr>
          <w:p w14:paraId="0678CE1D" w14:textId="08A6D7E7" w:rsidR="00ED238A" w:rsidRPr="00FE73DE" w:rsidRDefault="00ED238A" w:rsidP="00ED238A">
            <w:pPr>
              <w:pStyle w:val="TableText"/>
              <w:rPr>
                <w:color w:val="auto"/>
              </w:rPr>
            </w:pPr>
            <w:r w:rsidRPr="00FE73DE">
              <w:rPr>
                <w:color w:val="auto"/>
              </w:rPr>
              <w:t>Program Design</w:t>
            </w:r>
          </w:p>
        </w:tc>
        <w:tc>
          <w:tcPr>
            <w:tcW w:w="3685" w:type="dxa"/>
            <w:shd w:val="clear" w:color="auto" w:fill="AAD0CB" w:themeFill="accent3" w:themeFillTint="66"/>
          </w:tcPr>
          <w:p w14:paraId="6387E7A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shd w:val="clear" w:color="auto" w:fill="AAD0CB" w:themeFill="accent3" w:themeFillTint="66"/>
          </w:tcPr>
          <w:p w14:paraId="6FCDF50F"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shd w:val="clear" w:color="auto" w:fill="AAD0CB" w:themeFill="accent3" w:themeFillTint="66"/>
          </w:tcPr>
          <w:p w14:paraId="4B3F3E0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344" w:type="dxa"/>
            <w:shd w:val="clear" w:color="auto" w:fill="AAD0CB" w:themeFill="accent3" w:themeFillTint="66"/>
          </w:tcPr>
          <w:p w14:paraId="543B7CD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r>
      <w:tr w:rsidR="00B24AB4" w:rsidRPr="00FE73DE" w14:paraId="13F67505"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21FFC3" w14:textId="7932DE72" w:rsidR="00ED238A" w:rsidRPr="00FE73DE" w:rsidRDefault="00ED238A" w:rsidP="00ED238A">
            <w:pPr>
              <w:pStyle w:val="TableText"/>
              <w:rPr>
                <w:iCs/>
              </w:rPr>
            </w:pPr>
            <w:r w:rsidRPr="00FE73DE">
              <w:t>1. Is the suite of products and services delivered under the BSP aligned with the policy intent?</w:t>
            </w:r>
          </w:p>
        </w:tc>
        <w:tc>
          <w:tcPr>
            <w:tcW w:w="3685" w:type="dxa"/>
          </w:tcPr>
          <w:p w14:paraId="2A5DD620" w14:textId="157D39D5"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1.1 </w:t>
            </w:r>
            <w:r w:rsidR="00ED238A" w:rsidRPr="00FE73DE">
              <w:t>Does the suite of products and services deliver the policy intent to grow the cohort of economically sustainable Aboriginal and Torres Strait Islander owned businesses, including:</w:t>
            </w:r>
          </w:p>
          <w:p w14:paraId="6CEC4DE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providing access to finance for “high-risk” firms</w:t>
            </w:r>
            <w:r w:rsidRPr="00FE73DE">
              <w:br/>
              <w:t>- providing Indigenous owned businesses targeted business advisory support</w:t>
            </w:r>
            <w:r w:rsidRPr="00FE73DE">
              <w:br/>
              <w:t>- ensuring the program delivery is efficient and effective, including cost-effective, and value for money</w:t>
            </w:r>
            <w:r w:rsidRPr="00FE73DE">
              <w:br/>
              <w:t>- sustainability of Indigenous owned businesses</w:t>
            </w:r>
          </w:p>
        </w:tc>
        <w:tc>
          <w:tcPr>
            <w:tcW w:w="2977" w:type="dxa"/>
          </w:tcPr>
          <w:p w14:paraId="4074C326"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based on review of policy and BSP documentation, product and service descriptions and stakeholder feedback</w:t>
            </w:r>
          </w:p>
        </w:tc>
        <w:tc>
          <w:tcPr>
            <w:tcW w:w="2977" w:type="dxa"/>
          </w:tcPr>
          <w:p w14:paraId="5A6F5FF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NIAA policy and contract documents</w:t>
            </w:r>
          </w:p>
          <w:p w14:paraId="7DC0AA44"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program and reporting documents</w:t>
            </w:r>
          </w:p>
          <w:p w14:paraId="6350ED5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NIAA and IBA staff interviews</w:t>
            </w:r>
          </w:p>
        </w:tc>
        <w:tc>
          <w:tcPr>
            <w:tcW w:w="2344" w:type="dxa"/>
          </w:tcPr>
          <w:p w14:paraId="32AEC999"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Document Review</w:t>
            </w:r>
          </w:p>
          <w:p w14:paraId="7678D0F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00685B58"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70F40513" w14:textId="36B1233F" w:rsidR="00ED238A" w:rsidRPr="00FE73DE" w:rsidRDefault="00ED238A" w:rsidP="00ED238A">
            <w:pPr>
              <w:pStyle w:val="TableText"/>
              <w:rPr>
                <w:iCs/>
              </w:rPr>
            </w:pPr>
            <w:r w:rsidRPr="00FE73DE">
              <w:t>2. Is the program design aligned with IBSS suite of services</w:t>
            </w:r>
          </w:p>
        </w:tc>
        <w:tc>
          <w:tcPr>
            <w:tcW w:w="3685" w:type="dxa"/>
          </w:tcPr>
          <w:p w14:paraId="5C7395F3" w14:textId="070838C9"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2.1 </w:t>
            </w:r>
            <w:r w:rsidR="00ED238A" w:rsidRPr="00FE73DE">
              <w:t>Do the suite of services duplicate other services delivered under the IBSS?</w:t>
            </w:r>
          </w:p>
          <w:p w14:paraId="594C626B" w14:textId="489AA237"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rPr>
                <w:iCs/>
              </w:rPr>
            </w:pPr>
            <w:r>
              <w:t xml:space="preserve">2.2 </w:t>
            </w:r>
            <w:r w:rsidR="00ED238A" w:rsidRPr="00FE73DE">
              <w:t>Are there any clear gaps in service offerings for Indigenous owned businesses that could be delivered under the BSP by IBA?</w:t>
            </w:r>
          </w:p>
        </w:tc>
        <w:tc>
          <w:tcPr>
            <w:tcW w:w="2977" w:type="dxa"/>
          </w:tcPr>
          <w:p w14:paraId="6268863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based on review of policy and contract documentation, assessment of service delivery capability and performance and stakeholder feedback</w:t>
            </w:r>
          </w:p>
        </w:tc>
        <w:tc>
          <w:tcPr>
            <w:tcW w:w="2977" w:type="dxa"/>
          </w:tcPr>
          <w:p w14:paraId="5EF2335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NIAA policy and contract documents</w:t>
            </w:r>
          </w:p>
          <w:p w14:paraId="0CA95DE4"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program and reporting documents</w:t>
            </w:r>
          </w:p>
          <w:p w14:paraId="5883A4E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NIAA and IBA staff interviews</w:t>
            </w:r>
          </w:p>
          <w:p w14:paraId="4D5A3125"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Indigenous Business survey</w:t>
            </w:r>
          </w:p>
          <w:p w14:paraId="181C429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Industry Stakeholder survey</w:t>
            </w:r>
          </w:p>
        </w:tc>
        <w:tc>
          <w:tcPr>
            <w:tcW w:w="2344" w:type="dxa"/>
          </w:tcPr>
          <w:p w14:paraId="0F3469A3"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Document Review</w:t>
            </w:r>
          </w:p>
          <w:p w14:paraId="68C55B9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Online surveys</w:t>
            </w:r>
          </w:p>
          <w:p w14:paraId="7656C335"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p w14:paraId="798BB9E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r>
      <w:tr w:rsidR="00B24AB4" w:rsidRPr="00FE73DE" w14:paraId="4799D8EA" w14:textId="77777777" w:rsidTr="00B2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AD0CB" w:themeFill="accent3" w:themeFillTint="66"/>
          </w:tcPr>
          <w:p w14:paraId="3E84F2E5" w14:textId="6460C28D" w:rsidR="00ED238A" w:rsidRPr="00FE73DE" w:rsidRDefault="00ED238A" w:rsidP="00ED238A">
            <w:pPr>
              <w:pStyle w:val="TableText"/>
              <w:rPr>
                <w:color w:val="auto"/>
              </w:rPr>
            </w:pPr>
            <w:r w:rsidRPr="00FE73DE">
              <w:rPr>
                <w:color w:val="auto"/>
              </w:rPr>
              <w:t>Program Delivery</w:t>
            </w:r>
          </w:p>
        </w:tc>
        <w:tc>
          <w:tcPr>
            <w:tcW w:w="3685" w:type="dxa"/>
            <w:shd w:val="clear" w:color="auto" w:fill="AAD0CB" w:themeFill="accent3" w:themeFillTint="66"/>
          </w:tcPr>
          <w:p w14:paraId="0D671051"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AD0CB" w:themeFill="accent3" w:themeFillTint="66"/>
          </w:tcPr>
          <w:p w14:paraId="45E99C1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AD0CB" w:themeFill="accent3" w:themeFillTint="66"/>
          </w:tcPr>
          <w:p w14:paraId="2E16D037"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c>
          <w:tcPr>
            <w:tcW w:w="2344" w:type="dxa"/>
            <w:shd w:val="clear" w:color="auto" w:fill="AAD0CB" w:themeFill="accent3" w:themeFillTint="66"/>
          </w:tcPr>
          <w:p w14:paraId="3C3E92F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r>
      <w:tr w:rsidR="00B24AB4" w:rsidRPr="00FE73DE" w14:paraId="734E2FF7"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74235D26" w14:textId="63A75543" w:rsidR="00ED238A" w:rsidRPr="00FE73DE" w:rsidRDefault="002357D4" w:rsidP="00ED238A">
            <w:pPr>
              <w:pStyle w:val="TableText"/>
              <w:rPr>
                <w:iCs/>
              </w:rPr>
            </w:pPr>
            <w:r>
              <w:t>3</w:t>
            </w:r>
            <w:r w:rsidR="00ED238A" w:rsidRPr="00FE73DE">
              <w:t>. Has the delivery of BSP products and services met the contract targets?</w:t>
            </w:r>
          </w:p>
        </w:tc>
        <w:tc>
          <w:tcPr>
            <w:tcW w:w="3685" w:type="dxa"/>
          </w:tcPr>
          <w:p w14:paraId="0BB97A56" w14:textId="6522EE39"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3.1 </w:t>
            </w:r>
            <w:r w:rsidR="00ED238A" w:rsidRPr="00FE73DE">
              <w:t>What is the utilisation of products and services by location, size and type of business support services and/or loan product, type and size of business, gender, diversity and any other characteristics?</w:t>
            </w:r>
          </w:p>
        </w:tc>
        <w:tc>
          <w:tcPr>
            <w:tcW w:w="2977" w:type="dxa"/>
          </w:tcPr>
          <w:p w14:paraId="6596EEB6"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Collation of data relating to each product / service offering and segmentation / analysis of utilisation of each by relevant characteristics including:</w:t>
            </w:r>
          </w:p>
          <w:p w14:paraId="6A50A22B" w14:textId="4E545D36"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customer – location, age, gender, size and type of business, business sector, stage of business development (start-up, expansion / diversification etc.), risk profile</w:t>
            </w:r>
          </w:p>
          <w:p w14:paraId="326A349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product / service – size of loan</w:t>
            </w:r>
          </w:p>
        </w:tc>
        <w:tc>
          <w:tcPr>
            <w:tcW w:w="2977" w:type="dxa"/>
          </w:tcPr>
          <w:p w14:paraId="2F70976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performance reports</w:t>
            </w:r>
          </w:p>
          <w:p w14:paraId="0D6DA27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program and customer data (including the ‘loan book’)</w:t>
            </w:r>
          </w:p>
          <w:p w14:paraId="41FD6FD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tc>
        <w:tc>
          <w:tcPr>
            <w:tcW w:w="2344" w:type="dxa"/>
          </w:tcPr>
          <w:p w14:paraId="32B94E9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Document / Data Review</w:t>
            </w:r>
          </w:p>
          <w:p w14:paraId="0A08165A"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1A8035B4"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9931C8E" w14:textId="77777777" w:rsidR="00ED238A" w:rsidRPr="00FE73DE" w:rsidRDefault="00ED238A" w:rsidP="00ED238A">
            <w:pPr>
              <w:pStyle w:val="TableText"/>
            </w:pPr>
          </w:p>
        </w:tc>
        <w:tc>
          <w:tcPr>
            <w:tcW w:w="3685" w:type="dxa"/>
          </w:tcPr>
          <w:p w14:paraId="3BBB36F2" w14:textId="663C9858"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3.2 </w:t>
            </w:r>
            <w:r w:rsidR="00ED238A" w:rsidRPr="00FE73DE">
              <w:t>Are customers satisfied with their experience of the BSP throughout the customer journey?</w:t>
            </w:r>
          </w:p>
        </w:tc>
        <w:tc>
          <w:tcPr>
            <w:tcW w:w="2977" w:type="dxa"/>
          </w:tcPr>
          <w:p w14:paraId="1837C71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of customer feedback</w:t>
            </w:r>
          </w:p>
        </w:tc>
        <w:tc>
          <w:tcPr>
            <w:tcW w:w="2977" w:type="dxa"/>
          </w:tcPr>
          <w:p w14:paraId="2EDCB94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Customer Satisfaction Survey Data</w:t>
            </w:r>
          </w:p>
          <w:p w14:paraId="64BBE9E6"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Indigenous Business Survey</w:t>
            </w:r>
          </w:p>
          <w:p w14:paraId="1808FCF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Customer interviews </w:t>
            </w:r>
          </w:p>
          <w:p w14:paraId="2BDE46F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Delivery partners survey</w:t>
            </w:r>
          </w:p>
          <w:p w14:paraId="0955F98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tc>
        <w:tc>
          <w:tcPr>
            <w:tcW w:w="2344" w:type="dxa"/>
          </w:tcPr>
          <w:p w14:paraId="4253856B"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193222A1"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Online surveys</w:t>
            </w:r>
          </w:p>
          <w:p w14:paraId="33673C47"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55B96C14"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4398FFED" w14:textId="28E845F5" w:rsidR="00ED238A" w:rsidRPr="00FE73DE" w:rsidRDefault="002357D4" w:rsidP="00ED238A">
            <w:pPr>
              <w:pStyle w:val="TableText"/>
              <w:rPr>
                <w:iCs/>
              </w:rPr>
            </w:pPr>
            <w:r>
              <w:t>4.</w:t>
            </w:r>
            <w:r w:rsidR="00ED238A" w:rsidRPr="00FE73DE">
              <w:t xml:space="preserve"> Do the products and services delivered under the BSP meet the needs of clients?</w:t>
            </w:r>
          </w:p>
        </w:tc>
        <w:tc>
          <w:tcPr>
            <w:tcW w:w="3685" w:type="dxa"/>
          </w:tcPr>
          <w:p w14:paraId="5F9EF027" w14:textId="59624574"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4.1 </w:t>
            </w:r>
            <w:r w:rsidR="00ED238A" w:rsidRPr="00FE73DE">
              <w:t>Do individual products and services meet customer needs and expectations?</w:t>
            </w:r>
          </w:p>
          <w:p w14:paraId="6F6FE5D3" w14:textId="768EFA2E"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4.2 </w:t>
            </w:r>
            <w:r w:rsidR="00ED238A" w:rsidRPr="00FE73DE">
              <w:t>Are there barriers or challenges for customers in utilising the BSP’s products and services?</w:t>
            </w:r>
          </w:p>
          <w:p w14:paraId="32D0D1CE" w14:textId="232A14DD"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4.3 </w:t>
            </w:r>
            <w:r w:rsidR="00ED238A" w:rsidRPr="00FE73DE">
              <w:t>Are there any gaps in the product and service offering?</w:t>
            </w:r>
          </w:p>
          <w:p w14:paraId="100D92F2" w14:textId="1F42ABB9"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4.4 </w:t>
            </w:r>
            <w:r w:rsidR="00ED238A" w:rsidRPr="00FE73DE">
              <w:t>Does the suite of products need to be changed or enhanced, e.g.</w:t>
            </w:r>
          </w:p>
          <w:p w14:paraId="73CB0FD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modifications to existing products / services</w:t>
            </w:r>
            <w:r w:rsidRPr="00FE73DE">
              <w:br/>
              <w:t>- new products</w:t>
            </w:r>
            <w:r w:rsidRPr="00FE73DE">
              <w:br/>
              <w:t>- new / alternative delivery modes</w:t>
            </w:r>
          </w:p>
        </w:tc>
        <w:tc>
          <w:tcPr>
            <w:tcW w:w="2977" w:type="dxa"/>
          </w:tcPr>
          <w:p w14:paraId="502BF20A"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customer feedback</w:t>
            </w:r>
          </w:p>
          <w:p w14:paraId="40F14D5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customer evaluations, if any, including in relation to workshops, events etc.</w:t>
            </w:r>
          </w:p>
          <w:p w14:paraId="0431B99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Comparison of product and service design and customer feedback with customer needs analysis, if any</w:t>
            </w:r>
          </w:p>
        </w:tc>
        <w:tc>
          <w:tcPr>
            <w:tcW w:w="2977" w:type="dxa"/>
          </w:tcPr>
          <w:p w14:paraId="02A87573"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Customer Satisfaction Survey Data</w:t>
            </w:r>
          </w:p>
          <w:p w14:paraId="13AE6FB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Customer Needs Analysis or similar assessments</w:t>
            </w:r>
          </w:p>
          <w:p w14:paraId="2601203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Indigenous Business Survey</w:t>
            </w:r>
          </w:p>
          <w:p w14:paraId="143CDEA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Customer interviews </w:t>
            </w:r>
          </w:p>
          <w:p w14:paraId="7E377BB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Delivery partners survey</w:t>
            </w:r>
          </w:p>
          <w:p w14:paraId="3193339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tc>
        <w:tc>
          <w:tcPr>
            <w:tcW w:w="2344" w:type="dxa"/>
          </w:tcPr>
          <w:p w14:paraId="772FF72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0629B3A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Online surveys</w:t>
            </w:r>
          </w:p>
          <w:p w14:paraId="08DE5D9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0B265C67"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742FA1" w14:textId="77777777" w:rsidR="00ED238A" w:rsidRPr="00FE73DE" w:rsidRDefault="00ED238A" w:rsidP="00ED238A">
            <w:pPr>
              <w:pStyle w:val="TableText"/>
            </w:pPr>
          </w:p>
        </w:tc>
        <w:tc>
          <w:tcPr>
            <w:tcW w:w="3685" w:type="dxa"/>
          </w:tcPr>
          <w:p w14:paraId="155410B4" w14:textId="74A0F242"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4.5 </w:t>
            </w:r>
            <w:r w:rsidR="00ED238A" w:rsidRPr="00FE73DE">
              <w:t>Have there been innovations in product and service design and delivery?</w:t>
            </w:r>
          </w:p>
        </w:tc>
        <w:tc>
          <w:tcPr>
            <w:tcW w:w="2977" w:type="dxa"/>
          </w:tcPr>
          <w:p w14:paraId="55117B5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Identification of innovation in production and service design and delivery including new or tailored / targeted products and services or alternative / innovative delivery mechanisms </w:t>
            </w:r>
          </w:p>
        </w:tc>
        <w:tc>
          <w:tcPr>
            <w:tcW w:w="2977" w:type="dxa"/>
          </w:tcPr>
          <w:p w14:paraId="1AB6A4E9"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product and service information</w:t>
            </w:r>
          </w:p>
          <w:p w14:paraId="6BE1375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tc>
        <w:tc>
          <w:tcPr>
            <w:tcW w:w="2344" w:type="dxa"/>
          </w:tcPr>
          <w:p w14:paraId="3A15D7E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Review </w:t>
            </w:r>
          </w:p>
          <w:p w14:paraId="7307BE8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57CE77B6"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59B396FC" w14:textId="33BDC0AB" w:rsidR="00ED238A" w:rsidRPr="00FE73DE" w:rsidRDefault="002357D4" w:rsidP="00ED238A">
            <w:pPr>
              <w:pStyle w:val="TableText"/>
              <w:rPr>
                <w:iCs/>
              </w:rPr>
            </w:pPr>
            <w:r>
              <w:t>5</w:t>
            </w:r>
            <w:r w:rsidR="00ED238A" w:rsidRPr="00FE73DE">
              <w:t>. Are IBA’s governance and administration policies, systems and processes efficient and effective in delivering the BSP?</w:t>
            </w:r>
          </w:p>
        </w:tc>
        <w:tc>
          <w:tcPr>
            <w:tcW w:w="3685" w:type="dxa"/>
          </w:tcPr>
          <w:p w14:paraId="59B42AE5" w14:textId="18DDC553"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5.1 </w:t>
            </w:r>
            <w:r w:rsidR="00ED238A" w:rsidRPr="00FE73DE">
              <w:t>Does IBA’s credit policy, risk framework, guidance and oversight align with the policy’s target cohort of clients, i.e. Indigenous owned businesses that commercial lenders consider too high risk?</w:t>
            </w:r>
          </w:p>
        </w:tc>
        <w:tc>
          <w:tcPr>
            <w:tcW w:w="2977" w:type="dxa"/>
          </w:tcPr>
          <w:p w14:paraId="6FDE7BD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IBA’s policies and processes for guidance and oversight of delivery of the BSP, including:</w:t>
            </w:r>
          </w:p>
          <w:p w14:paraId="4542C3F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credit policy</w:t>
            </w:r>
          </w:p>
          <w:p w14:paraId="2D64F68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risk framework</w:t>
            </w:r>
          </w:p>
          <w:p w14:paraId="1551A4E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assessment, prioritisation and decision-making policies and procedures</w:t>
            </w:r>
          </w:p>
        </w:tc>
        <w:tc>
          <w:tcPr>
            <w:tcW w:w="2977" w:type="dxa"/>
          </w:tcPr>
          <w:p w14:paraId="78301D4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policies and guidelines, including risk tracking as provided to the IBA Board</w:t>
            </w:r>
          </w:p>
          <w:p w14:paraId="68E084E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Chair / CEO interviews</w:t>
            </w:r>
          </w:p>
          <w:p w14:paraId="0856CC9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tc>
        <w:tc>
          <w:tcPr>
            <w:tcW w:w="2344" w:type="dxa"/>
          </w:tcPr>
          <w:p w14:paraId="04F455D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Review </w:t>
            </w:r>
          </w:p>
          <w:p w14:paraId="2C8DD26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2B0BE2B6"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6D37256" w14:textId="77777777" w:rsidR="00ED238A" w:rsidRPr="00FE73DE" w:rsidRDefault="00ED238A" w:rsidP="00ED238A">
            <w:pPr>
              <w:pStyle w:val="TableText"/>
            </w:pPr>
          </w:p>
        </w:tc>
        <w:tc>
          <w:tcPr>
            <w:tcW w:w="3685" w:type="dxa"/>
          </w:tcPr>
          <w:p w14:paraId="18D61254" w14:textId="06CD2F89"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5.2 </w:t>
            </w:r>
            <w:r w:rsidR="00ED238A" w:rsidRPr="00FE73DE">
              <w:t>Are IBA’s operating policies, systems and processes effective in delivering against the policy intent of the BSP?</w:t>
            </w:r>
          </w:p>
        </w:tc>
        <w:tc>
          <w:tcPr>
            <w:tcW w:w="2977" w:type="dxa"/>
          </w:tcPr>
          <w:p w14:paraId="6789E61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of IBA’s policies, systems, guidelines and processes for guidance and oversight of delivery of the Program, including:</w:t>
            </w:r>
          </w:p>
          <w:p w14:paraId="304E29A6" w14:textId="15C8AAFD"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product and service identification, development and review</w:t>
            </w:r>
          </w:p>
          <w:p w14:paraId="41A09ED8" w14:textId="0F2418A2"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assessment and referral</w:t>
            </w:r>
          </w:p>
          <w:p w14:paraId="49FAA0A1" w14:textId="76D1BA7E"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loan initiation and management</w:t>
            </w:r>
          </w:p>
          <w:p w14:paraId="2EF12A5D" w14:textId="66EC641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engagement of external providers for delivery of BSP components</w:t>
            </w:r>
          </w:p>
          <w:p w14:paraId="74F2FE8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customer relationship management</w:t>
            </w:r>
          </w:p>
        </w:tc>
        <w:tc>
          <w:tcPr>
            <w:tcW w:w="2977" w:type="dxa"/>
          </w:tcPr>
          <w:p w14:paraId="291AC16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policies, systems, guidelines and processes</w:t>
            </w:r>
          </w:p>
          <w:p w14:paraId="027B6AB6"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tc>
        <w:tc>
          <w:tcPr>
            <w:tcW w:w="2344" w:type="dxa"/>
          </w:tcPr>
          <w:p w14:paraId="53B9821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Review </w:t>
            </w:r>
          </w:p>
          <w:p w14:paraId="0EC15CA5"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6E2645C5"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02051F83" w14:textId="77777777" w:rsidR="00ED238A" w:rsidRPr="00FE73DE" w:rsidRDefault="00ED238A" w:rsidP="00ED238A">
            <w:pPr>
              <w:pStyle w:val="TableText"/>
            </w:pPr>
          </w:p>
        </w:tc>
        <w:tc>
          <w:tcPr>
            <w:tcW w:w="3685" w:type="dxa"/>
          </w:tcPr>
          <w:p w14:paraId="19968B55" w14:textId="0006A78B"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5.3 </w:t>
            </w:r>
            <w:r w:rsidR="00ED238A" w:rsidRPr="00FE73DE">
              <w:t>Are IBA’s performance reporting systems and processes robust and effective?</w:t>
            </w:r>
          </w:p>
        </w:tc>
        <w:tc>
          <w:tcPr>
            <w:tcW w:w="2977" w:type="dxa"/>
          </w:tcPr>
          <w:p w14:paraId="3F6BEBD6"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IBA’s performance reporting systems and processes, including:</w:t>
            </w:r>
          </w:p>
          <w:p w14:paraId="2A4344D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data management including collection, collation and cleansing</w:t>
            </w:r>
            <w:r w:rsidRPr="00FE73DE">
              <w:br/>
              <w:t>- data quality</w:t>
            </w:r>
            <w:r w:rsidRPr="00FE73DE">
              <w:br/>
              <w:t>- data analysis</w:t>
            </w:r>
            <w:r w:rsidRPr="00FE73DE">
              <w:br/>
              <w:t>- monitoring and reporting</w:t>
            </w:r>
          </w:p>
        </w:tc>
        <w:tc>
          <w:tcPr>
            <w:tcW w:w="2977" w:type="dxa"/>
          </w:tcPr>
          <w:p w14:paraId="71B3B1C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data systems</w:t>
            </w:r>
          </w:p>
          <w:p w14:paraId="15B7434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performance reports</w:t>
            </w:r>
          </w:p>
          <w:p w14:paraId="329CF8E6"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p w14:paraId="4B055DE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ANAO performance audit findings</w:t>
            </w:r>
          </w:p>
        </w:tc>
        <w:tc>
          <w:tcPr>
            <w:tcW w:w="2344" w:type="dxa"/>
          </w:tcPr>
          <w:p w14:paraId="27F14D2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Observation / examination of data systems</w:t>
            </w:r>
          </w:p>
          <w:p w14:paraId="6F2994E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2942438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142E3CDA" w14:textId="77777777" w:rsidTr="00084E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4D4F96B1" w14:textId="6997F94B" w:rsidR="00ED238A" w:rsidRPr="00FE73DE" w:rsidRDefault="002357D4" w:rsidP="00ED238A">
            <w:pPr>
              <w:pStyle w:val="TableText"/>
            </w:pPr>
            <w:r>
              <w:t>6.</w:t>
            </w:r>
            <w:r w:rsidR="00ED238A" w:rsidRPr="00FE73DE">
              <w:t xml:space="preserve"> Are there any learnings from the design and delivery of the COVID-19 support package that could be applied to the BSP?</w:t>
            </w:r>
          </w:p>
        </w:tc>
        <w:tc>
          <w:tcPr>
            <w:tcW w:w="3685" w:type="dxa"/>
          </w:tcPr>
          <w:p w14:paraId="0154F586" w14:textId="596E0260"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6.1 </w:t>
            </w:r>
            <w:r w:rsidR="00ED238A" w:rsidRPr="00FE73DE">
              <w:t xml:space="preserve">What learnings can be taken from the design and implementation of the COVID-19 </w:t>
            </w:r>
            <w:r w:rsidR="009B4818">
              <w:t xml:space="preserve">(IBRP) </w:t>
            </w:r>
            <w:r w:rsidR="00ED238A" w:rsidRPr="00FE73DE">
              <w:t>support package:</w:t>
            </w:r>
          </w:p>
          <w:p w14:paraId="60249907" w14:textId="4689C2B2" w:rsidR="00ED238A" w:rsidRPr="00FE73DE" w:rsidRDefault="00ED238A" w:rsidP="00084E08">
            <w:pPr>
              <w:pStyle w:val="TableText"/>
              <w:cnfStyle w:val="000000010000" w:firstRow="0" w:lastRow="0" w:firstColumn="0" w:lastColumn="0" w:oddVBand="0" w:evenVBand="0" w:oddHBand="0" w:evenHBand="1" w:firstRowFirstColumn="0" w:firstRowLastColumn="0" w:lastRowFirstColumn="0" w:lastRowLastColumn="0"/>
            </w:pPr>
            <w:r w:rsidRPr="00FE73DE">
              <w:t>- Streamlined application process</w:t>
            </w:r>
            <w:r w:rsidRPr="00FE73DE">
              <w:br/>
              <w:t>- Streamlined assessment process</w:t>
            </w:r>
            <w:r w:rsidRPr="00FE73DE">
              <w:br/>
              <w:t>- Size of assistance package</w:t>
            </w:r>
            <w:r w:rsidRPr="00FE73DE">
              <w:br/>
              <w:t>- Analysis of loan / grant assistance</w:t>
            </w:r>
            <w:r w:rsidRPr="00FE73DE">
              <w:br/>
              <w:t>- Demographics of uptake of assistance</w:t>
            </w:r>
          </w:p>
        </w:tc>
        <w:tc>
          <w:tcPr>
            <w:tcW w:w="2977" w:type="dxa"/>
          </w:tcPr>
          <w:p w14:paraId="770F7D11"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of IBA’s performance reporting systems and processes, including monitoring and reporting of the additional COVID-19 response support package</w:t>
            </w:r>
          </w:p>
        </w:tc>
        <w:tc>
          <w:tcPr>
            <w:tcW w:w="2977" w:type="dxa"/>
          </w:tcPr>
          <w:p w14:paraId="283DDD54"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performance reports</w:t>
            </w:r>
          </w:p>
          <w:p w14:paraId="6860A59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tc>
        <w:tc>
          <w:tcPr>
            <w:tcW w:w="2344" w:type="dxa"/>
          </w:tcPr>
          <w:p w14:paraId="5EBCCBD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0BE61131"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452B6A7E" w14:textId="77777777" w:rsidTr="00B24AB4">
        <w:tc>
          <w:tcPr>
            <w:cnfStyle w:val="001000000000" w:firstRow="0" w:lastRow="0" w:firstColumn="1" w:lastColumn="0" w:oddVBand="0" w:evenVBand="0" w:oddHBand="0" w:evenHBand="0" w:firstRowFirstColumn="0" w:firstRowLastColumn="0" w:lastRowFirstColumn="0" w:lastRowLastColumn="0"/>
            <w:tcW w:w="2127" w:type="dxa"/>
            <w:shd w:val="clear" w:color="auto" w:fill="AAD0CB" w:themeFill="accent3" w:themeFillTint="66"/>
          </w:tcPr>
          <w:p w14:paraId="4CE12593" w14:textId="498AB9B3" w:rsidR="00ED238A" w:rsidRPr="00FE73DE" w:rsidRDefault="00ED238A" w:rsidP="00ED238A">
            <w:pPr>
              <w:pStyle w:val="TableText"/>
              <w:rPr>
                <w:color w:val="auto"/>
              </w:rPr>
            </w:pPr>
            <w:r w:rsidRPr="00FE73DE">
              <w:rPr>
                <w:color w:val="auto"/>
              </w:rPr>
              <w:t>Core Values</w:t>
            </w:r>
          </w:p>
        </w:tc>
        <w:tc>
          <w:tcPr>
            <w:tcW w:w="3685" w:type="dxa"/>
            <w:shd w:val="clear" w:color="auto" w:fill="AAD0CB" w:themeFill="accent3" w:themeFillTint="66"/>
          </w:tcPr>
          <w:p w14:paraId="746B62F3"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shd w:val="clear" w:color="auto" w:fill="AAD0CB" w:themeFill="accent3" w:themeFillTint="66"/>
          </w:tcPr>
          <w:p w14:paraId="56BFE95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shd w:val="clear" w:color="auto" w:fill="AAD0CB" w:themeFill="accent3" w:themeFillTint="66"/>
          </w:tcPr>
          <w:p w14:paraId="1B68234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344" w:type="dxa"/>
            <w:shd w:val="clear" w:color="auto" w:fill="AAD0CB" w:themeFill="accent3" w:themeFillTint="66"/>
          </w:tcPr>
          <w:p w14:paraId="051D03E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r>
      <w:tr w:rsidR="00B24AB4" w:rsidRPr="00FE73DE" w14:paraId="406A927F"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A138BE" w14:textId="0B74C903" w:rsidR="00ED238A" w:rsidRPr="00FE73DE" w:rsidRDefault="002357D4" w:rsidP="00ED238A">
            <w:pPr>
              <w:pStyle w:val="TableText"/>
              <w:rPr>
                <w:iCs/>
              </w:rPr>
            </w:pPr>
            <w:r>
              <w:t>7</w:t>
            </w:r>
            <w:r w:rsidR="00ED238A" w:rsidRPr="00FE73DE">
              <w:t>. Does the design and delivery of the BSP build on strengths, demonstrate cultural respect and involve collaboration?</w:t>
            </w:r>
          </w:p>
        </w:tc>
        <w:tc>
          <w:tcPr>
            <w:tcW w:w="3685" w:type="dxa"/>
          </w:tcPr>
          <w:p w14:paraId="1D0AAA1E" w14:textId="45FEE1FA"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7.1 </w:t>
            </w:r>
            <w:r w:rsidR="00ED238A" w:rsidRPr="00FE73DE">
              <w:t>Were Indigenous stakeholders consulted on the design and delivery of the BSP?</w:t>
            </w:r>
          </w:p>
        </w:tc>
        <w:tc>
          <w:tcPr>
            <w:tcW w:w="2977" w:type="dxa"/>
          </w:tcPr>
          <w:p w14:paraId="3D2CF340"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Identification of consultation processes and outcomes</w:t>
            </w:r>
          </w:p>
        </w:tc>
        <w:tc>
          <w:tcPr>
            <w:tcW w:w="2977" w:type="dxa"/>
          </w:tcPr>
          <w:p w14:paraId="007CBA7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documents</w:t>
            </w:r>
          </w:p>
          <w:p w14:paraId="4C0B17E3"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tc>
        <w:tc>
          <w:tcPr>
            <w:tcW w:w="2344" w:type="dxa"/>
          </w:tcPr>
          <w:p w14:paraId="60A04E6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00EDDE0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77D0D30A"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5382EC93" w14:textId="77777777" w:rsidR="00ED238A" w:rsidRPr="00FE73DE" w:rsidRDefault="00ED238A" w:rsidP="00ED238A">
            <w:pPr>
              <w:pStyle w:val="TableText"/>
            </w:pPr>
          </w:p>
        </w:tc>
        <w:tc>
          <w:tcPr>
            <w:tcW w:w="3685" w:type="dxa"/>
          </w:tcPr>
          <w:p w14:paraId="60BAB1EB" w14:textId="4BD7FF7D"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7.2 </w:t>
            </w:r>
            <w:r w:rsidR="00ED238A" w:rsidRPr="00FE73DE">
              <w:t>Does the design and delivery of products and services respect and demonstrate an understanding of Indigenous culture and values?</w:t>
            </w:r>
          </w:p>
        </w:tc>
        <w:tc>
          <w:tcPr>
            <w:tcW w:w="2977" w:type="dxa"/>
          </w:tcPr>
          <w:p w14:paraId="7548818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based on review of product and service descriptions and stakeholder feedback</w:t>
            </w:r>
          </w:p>
        </w:tc>
        <w:tc>
          <w:tcPr>
            <w:tcW w:w="2977" w:type="dxa"/>
          </w:tcPr>
          <w:p w14:paraId="799CF26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product and service information</w:t>
            </w:r>
          </w:p>
          <w:p w14:paraId="150B35DA"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p w14:paraId="6A1DB21A"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feedback collected through IBA Customer Satisfaction Surveys or IBA evaluations of individual products and services</w:t>
            </w:r>
          </w:p>
          <w:p w14:paraId="10467B5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interviews</w:t>
            </w:r>
          </w:p>
        </w:tc>
        <w:tc>
          <w:tcPr>
            <w:tcW w:w="2344" w:type="dxa"/>
          </w:tcPr>
          <w:p w14:paraId="7AF6A805"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6398CBD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6DEBFA91" w14:textId="77777777" w:rsidTr="00084E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213D21F8" w14:textId="77777777" w:rsidR="00ED238A" w:rsidRPr="00FE73DE" w:rsidRDefault="00ED238A" w:rsidP="00ED238A">
            <w:pPr>
              <w:pStyle w:val="TableText"/>
            </w:pPr>
          </w:p>
        </w:tc>
        <w:tc>
          <w:tcPr>
            <w:tcW w:w="3685" w:type="dxa"/>
          </w:tcPr>
          <w:p w14:paraId="414CD9F8" w14:textId="19F2784C"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7.3 </w:t>
            </w:r>
            <w:r w:rsidR="00ED238A" w:rsidRPr="00FE73DE">
              <w:t>Do customers and Indigenous stakeholders have an ongoing voice in the design and delivery of the BSP?</w:t>
            </w:r>
          </w:p>
        </w:tc>
        <w:tc>
          <w:tcPr>
            <w:tcW w:w="2977" w:type="dxa"/>
          </w:tcPr>
          <w:p w14:paraId="3C52E5B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Identification of the mechanism or procedures for stakeholder engagement, including:</w:t>
            </w:r>
          </w:p>
          <w:p w14:paraId="5344A461"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customer satisfaction surveys</w:t>
            </w:r>
            <w:r w:rsidRPr="00FE73DE">
              <w:br/>
              <w:t>- customer complaints processes</w:t>
            </w:r>
            <w:r w:rsidRPr="00FE73DE">
              <w:br/>
              <w:t>- use of customers and Indigenous stakeholders on committees, reference or advisory groups</w:t>
            </w:r>
            <w:r w:rsidRPr="00FE73DE">
              <w:br/>
              <w:t>- targeted consultation on changes to the design and delivery of products and services</w:t>
            </w:r>
            <w:r w:rsidRPr="00FE73DE">
              <w:br/>
              <w:t>- other mechanisms</w:t>
            </w:r>
          </w:p>
        </w:tc>
        <w:tc>
          <w:tcPr>
            <w:tcW w:w="2977" w:type="dxa"/>
          </w:tcPr>
          <w:p w14:paraId="0B630ED5"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policies and processes documents</w:t>
            </w:r>
          </w:p>
          <w:p w14:paraId="723CC2F0"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IBA Customer Satisfaction Surveys </w:t>
            </w:r>
          </w:p>
          <w:p w14:paraId="200F6EEB"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p w14:paraId="0B1EFF6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and stakeholder interviews</w:t>
            </w:r>
          </w:p>
        </w:tc>
        <w:tc>
          <w:tcPr>
            <w:tcW w:w="2344" w:type="dxa"/>
          </w:tcPr>
          <w:p w14:paraId="3F3981B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1C330FA5"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5D18DFC3"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10F86D69" w14:textId="77777777" w:rsidR="00ED238A" w:rsidRPr="00FE73DE" w:rsidRDefault="00ED238A" w:rsidP="00ED238A">
            <w:pPr>
              <w:pStyle w:val="TableText"/>
            </w:pPr>
          </w:p>
        </w:tc>
        <w:tc>
          <w:tcPr>
            <w:tcW w:w="3685" w:type="dxa"/>
          </w:tcPr>
          <w:p w14:paraId="258A1BCE" w14:textId="33B9083C"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7.4 </w:t>
            </w:r>
            <w:r w:rsidR="00ED238A" w:rsidRPr="00FE73DE">
              <w:t>Does IBA have a Reconciliation Action Plan (RAP) or equivalent culturally-informed engagement approach and how is it used to measure their adherence and the BSP adherence to core values?</w:t>
            </w:r>
          </w:p>
        </w:tc>
        <w:tc>
          <w:tcPr>
            <w:tcW w:w="2977" w:type="dxa"/>
          </w:tcPr>
          <w:p w14:paraId="3E596C54"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Examination of the IBA RAP (or equivalent) and associated reporting</w:t>
            </w:r>
          </w:p>
        </w:tc>
        <w:tc>
          <w:tcPr>
            <w:tcW w:w="2977" w:type="dxa"/>
          </w:tcPr>
          <w:p w14:paraId="079D98BA"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RAP (or equivalent) documents and reports</w:t>
            </w:r>
          </w:p>
          <w:p w14:paraId="43F8D29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p w14:paraId="3BB4AFF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344" w:type="dxa"/>
          </w:tcPr>
          <w:p w14:paraId="1DCF9C4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40AA375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00CD1462" w14:textId="77777777" w:rsidTr="00A56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AD0CB" w:themeFill="accent3" w:themeFillTint="66"/>
          </w:tcPr>
          <w:p w14:paraId="1E4D24AB" w14:textId="20564BD4" w:rsidR="00ED238A" w:rsidRPr="00FE73DE" w:rsidRDefault="00ED238A" w:rsidP="00ED238A">
            <w:pPr>
              <w:pStyle w:val="TableText"/>
              <w:rPr>
                <w:color w:val="auto"/>
              </w:rPr>
            </w:pPr>
            <w:r w:rsidRPr="00FE73DE">
              <w:rPr>
                <w:color w:val="auto"/>
              </w:rPr>
              <w:t>Program Outcomes</w:t>
            </w:r>
          </w:p>
        </w:tc>
        <w:tc>
          <w:tcPr>
            <w:tcW w:w="3685" w:type="dxa"/>
            <w:shd w:val="clear" w:color="auto" w:fill="AAD0CB" w:themeFill="accent3" w:themeFillTint="66"/>
          </w:tcPr>
          <w:p w14:paraId="10846C05"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AD0CB" w:themeFill="accent3" w:themeFillTint="66"/>
          </w:tcPr>
          <w:p w14:paraId="4330C2A0"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AD0CB" w:themeFill="accent3" w:themeFillTint="66"/>
          </w:tcPr>
          <w:p w14:paraId="40A7408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c>
          <w:tcPr>
            <w:tcW w:w="2344" w:type="dxa"/>
            <w:shd w:val="clear" w:color="auto" w:fill="AAD0CB" w:themeFill="accent3" w:themeFillTint="66"/>
          </w:tcPr>
          <w:p w14:paraId="6B64458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p>
        </w:tc>
      </w:tr>
      <w:tr w:rsidR="00B24AB4" w:rsidRPr="00FE73DE" w14:paraId="4C0095F6"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5693A547" w14:textId="4F27ABB8" w:rsidR="00ED238A" w:rsidRPr="00FE73DE" w:rsidRDefault="002357D4" w:rsidP="00ED238A">
            <w:pPr>
              <w:pStyle w:val="TableText"/>
              <w:rPr>
                <w:iCs/>
              </w:rPr>
            </w:pPr>
            <w:r>
              <w:t>8</w:t>
            </w:r>
            <w:r w:rsidR="00ED238A" w:rsidRPr="00FE73DE">
              <w:t>. Has the BSP achieved its short-term outcomes?</w:t>
            </w:r>
          </w:p>
        </w:tc>
        <w:tc>
          <w:tcPr>
            <w:tcW w:w="3685" w:type="dxa"/>
          </w:tcPr>
          <w:p w14:paraId="79387F0A" w14:textId="1DAE0021"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8.1 </w:t>
            </w:r>
            <w:r w:rsidR="00ED238A" w:rsidRPr="00FE73DE">
              <w:t>Have customers improved their business capabilities through business support services?</w:t>
            </w:r>
          </w:p>
        </w:tc>
        <w:tc>
          <w:tcPr>
            <w:tcW w:w="2977" w:type="dxa"/>
          </w:tcPr>
          <w:p w14:paraId="076E9DA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based on customer evaluations, if any, including in relation to workshops, events etc., customer self-assessment and observations by IBA staff / providers delivering capability development and support activities in relation to:</w:t>
            </w:r>
          </w:p>
          <w:p w14:paraId="39A3667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developing business skills and acumen</w:t>
            </w:r>
            <w:r w:rsidRPr="00FE73DE">
              <w:br/>
              <w:t>- developing business / marketing plans</w:t>
            </w:r>
            <w:r w:rsidRPr="00FE73DE">
              <w:br/>
              <w:t>- establishing business systems and processes</w:t>
            </w:r>
          </w:p>
        </w:tc>
        <w:tc>
          <w:tcPr>
            <w:tcW w:w="2977" w:type="dxa"/>
          </w:tcPr>
          <w:p w14:paraId="4C9F9A2F"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evaluations of individual products and services</w:t>
            </w:r>
          </w:p>
          <w:p w14:paraId="21EACF93"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p w14:paraId="4829ED5A"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Delivery partner interviews</w:t>
            </w:r>
          </w:p>
          <w:p w14:paraId="0B83835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interviews</w:t>
            </w:r>
          </w:p>
          <w:p w14:paraId="4F518A4C"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impact framework and reporting</w:t>
            </w:r>
          </w:p>
        </w:tc>
        <w:tc>
          <w:tcPr>
            <w:tcW w:w="2344" w:type="dxa"/>
          </w:tcPr>
          <w:p w14:paraId="06337794"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Review </w:t>
            </w:r>
          </w:p>
          <w:p w14:paraId="7F7F26C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0B2F7887"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D85D236" w14:textId="77777777" w:rsidR="00ED238A" w:rsidRPr="00FE73DE" w:rsidRDefault="00ED238A" w:rsidP="00ED238A">
            <w:pPr>
              <w:pStyle w:val="TableText"/>
            </w:pPr>
          </w:p>
        </w:tc>
        <w:tc>
          <w:tcPr>
            <w:tcW w:w="3685" w:type="dxa"/>
          </w:tcPr>
          <w:p w14:paraId="21DE4546" w14:textId="4DBF548E"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8.2 </w:t>
            </w:r>
            <w:r w:rsidR="00ED238A" w:rsidRPr="00FE73DE">
              <w:t>Were the customers who accessed the suite of financial products the targeted cohort?</w:t>
            </w:r>
          </w:p>
        </w:tc>
        <w:tc>
          <w:tcPr>
            <w:tcW w:w="2977" w:type="dxa"/>
          </w:tcPr>
          <w:p w14:paraId="6714583B"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Analysis based on information and feedback collected, with specific emphasis on customer characteristics </w:t>
            </w:r>
          </w:p>
        </w:tc>
        <w:tc>
          <w:tcPr>
            <w:tcW w:w="2977" w:type="dxa"/>
          </w:tcPr>
          <w:p w14:paraId="1289CC6B"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customer data</w:t>
            </w:r>
          </w:p>
          <w:p w14:paraId="4B73D773"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p w14:paraId="361D218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interviews</w:t>
            </w:r>
          </w:p>
          <w:p w14:paraId="169D2911"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impact framework and reporting</w:t>
            </w:r>
          </w:p>
        </w:tc>
        <w:tc>
          <w:tcPr>
            <w:tcW w:w="2344" w:type="dxa"/>
          </w:tcPr>
          <w:p w14:paraId="263D3AE8"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1609A5E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14EB22F5"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372F7716" w14:textId="77777777" w:rsidR="00ED238A" w:rsidRPr="00FE73DE" w:rsidRDefault="00ED238A" w:rsidP="00ED238A">
            <w:pPr>
              <w:pStyle w:val="TableText"/>
            </w:pPr>
          </w:p>
        </w:tc>
        <w:tc>
          <w:tcPr>
            <w:tcW w:w="3685" w:type="dxa"/>
          </w:tcPr>
          <w:p w14:paraId="32F848A1" w14:textId="5FB86D14"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8.3 </w:t>
            </w:r>
            <w:r w:rsidR="00ED238A" w:rsidRPr="00FE73DE">
              <w:t>What percentage of customers who received financial support were new, or existing customers with a prior financial / loan history with IBA?</w:t>
            </w:r>
          </w:p>
        </w:tc>
        <w:tc>
          <w:tcPr>
            <w:tcW w:w="2977" w:type="dxa"/>
          </w:tcPr>
          <w:p w14:paraId="7A0726D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based on information and feedback collected, with specific emphasis on customer history with IBA’s suite of products and services</w:t>
            </w:r>
          </w:p>
        </w:tc>
        <w:tc>
          <w:tcPr>
            <w:tcW w:w="2977" w:type="dxa"/>
          </w:tcPr>
          <w:p w14:paraId="7F693A6D"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customer data</w:t>
            </w:r>
          </w:p>
          <w:p w14:paraId="02F3566C"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interviews</w:t>
            </w:r>
          </w:p>
          <w:p w14:paraId="4C47133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staff interviews</w:t>
            </w:r>
          </w:p>
        </w:tc>
        <w:tc>
          <w:tcPr>
            <w:tcW w:w="2344" w:type="dxa"/>
          </w:tcPr>
          <w:p w14:paraId="5DB94F12"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291B3C75"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53D9FBFF"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BA8CB4D" w14:textId="77777777" w:rsidR="00ED238A" w:rsidRPr="00FE73DE" w:rsidRDefault="00ED238A" w:rsidP="00ED238A">
            <w:pPr>
              <w:pStyle w:val="TableText"/>
            </w:pPr>
          </w:p>
        </w:tc>
        <w:tc>
          <w:tcPr>
            <w:tcW w:w="3685" w:type="dxa"/>
          </w:tcPr>
          <w:p w14:paraId="358C0896" w14:textId="7D5520BE"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8.4 </w:t>
            </w:r>
            <w:r w:rsidR="00ED238A" w:rsidRPr="00FE73DE">
              <w:t>Is the application process efficient and were the services provided appropriate?</w:t>
            </w:r>
          </w:p>
        </w:tc>
        <w:tc>
          <w:tcPr>
            <w:tcW w:w="2977" w:type="dxa"/>
          </w:tcPr>
          <w:p w14:paraId="5832447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based on information and feedback collected</w:t>
            </w:r>
          </w:p>
        </w:tc>
        <w:tc>
          <w:tcPr>
            <w:tcW w:w="2977" w:type="dxa"/>
          </w:tcPr>
          <w:p w14:paraId="1B7AAC75"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interviews</w:t>
            </w:r>
          </w:p>
          <w:p w14:paraId="4C36C2B2"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Delivery partner interviews</w:t>
            </w:r>
          </w:p>
          <w:p w14:paraId="6BD7F75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staff interviews</w:t>
            </w:r>
          </w:p>
          <w:p w14:paraId="57397650"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impact framework and reporting</w:t>
            </w:r>
          </w:p>
        </w:tc>
        <w:tc>
          <w:tcPr>
            <w:tcW w:w="2344" w:type="dxa"/>
          </w:tcPr>
          <w:p w14:paraId="527CB87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15BECD63"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3240CF99"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6CA545D8" w14:textId="77777777" w:rsidR="00ED238A" w:rsidRPr="00FE73DE" w:rsidRDefault="00ED238A" w:rsidP="00ED238A">
            <w:pPr>
              <w:pStyle w:val="TableText"/>
            </w:pPr>
          </w:p>
        </w:tc>
        <w:tc>
          <w:tcPr>
            <w:tcW w:w="3685" w:type="dxa"/>
          </w:tcPr>
          <w:p w14:paraId="1B755201" w14:textId="73DCA2FC"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8.5 </w:t>
            </w:r>
            <w:r w:rsidR="00ED238A" w:rsidRPr="00FE73DE">
              <w:t>Has the number and size of Indigenous business grown and developed?</w:t>
            </w:r>
          </w:p>
        </w:tc>
        <w:tc>
          <w:tcPr>
            <w:tcW w:w="2977" w:type="dxa"/>
          </w:tcPr>
          <w:p w14:paraId="7ED79E7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the change in number and size of Indigenous businesses based on IBA customer data and customer feedback, including employment of Indigenous staff</w:t>
            </w:r>
          </w:p>
          <w:p w14:paraId="30E64A1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the change in business spending on goods and services and assets based on customer feedback</w:t>
            </w:r>
          </w:p>
        </w:tc>
        <w:tc>
          <w:tcPr>
            <w:tcW w:w="2977" w:type="dxa"/>
          </w:tcPr>
          <w:p w14:paraId="0DB523B5"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customer data</w:t>
            </w:r>
          </w:p>
          <w:p w14:paraId="792797F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impact framework and reporting</w:t>
            </w:r>
          </w:p>
          <w:p w14:paraId="7EFCD36F"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interviews</w:t>
            </w:r>
          </w:p>
          <w:p w14:paraId="44485644"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Supply Nation Research reports</w:t>
            </w:r>
          </w:p>
        </w:tc>
        <w:tc>
          <w:tcPr>
            <w:tcW w:w="2344" w:type="dxa"/>
          </w:tcPr>
          <w:p w14:paraId="26223BCE"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0A5D242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4E1948F4"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B68FBD7" w14:textId="04C1CE6F" w:rsidR="00ED238A" w:rsidRPr="00FE73DE" w:rsidRDefault="002357D4" w:rsidP="00ED238A">
            <w:pPr>
              <w:pStyle w:val="TableText"/>
              <w:rPr>
                <w:iCs/>
              </w:rPr>
            </w:pPr>
            <w:r>
              <w:t>9</w:t>
            </w:r>
            <w:r w:rsidR="00ED238A" w:rsidRPr="00FE73DE">
              <w:t>. Has the BSP achieved its medium-term outcomes?</w:t>
            </w:r>
          </w:p>
        </w:tc>
        <w:tc>
          <w:tcPr>
            <w:tcW w:w="3685" w:type="dxa"/>
          </w:tcPr>
          <w:p w14:paraId="05927074" w14:textId="0C3D949D"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9.1 </w:t>
            </w:r>
            <w:r w:rsidR="00ED238A" w:rsidRPr="00FE73DE">
              <w:t>Have customers engaged with the wider business sector and support services?</w:t>
            </w:r>
          </w:p>
          <w:p w14:paraId="5DF0C3AB"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rPr>
                <w:iCs/>
              </w:rPr>
            </w:pPr>
          </w:p>
        </w:tc>
        <w:tc>
          <w:tcPr>
            <w:tcW w:w="2977" w:type="dxa"/>
          </w:tcPr>
          <w:p w14:paraId="788F536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Identification of customer participation in or leadership of support activities and networks facilitated by organisations in the wider business sector, including:</w:t>
            </w:r>
          </w:p>
          <w:p w14:paraId="2D809AC6"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initiatives by local Indigenous businesses (peer support)</w:t>
            </w:r>
            <w:r w:rsidRPr="00FE73DE">
              <w:br/>
              <w:t>- local Indigenous business chambers and other Indigenous organisations</w:t>
            </w:r>
            <w:r w:rsidRPr="00FE73DE">
              <w:br/>
              <w:t>- broad-based business chambers and business organisations</w:t>
            </w:r>
            <w:r w:rsidRPr="00FE73DE">
              <w:br/>
              <w:t>- the banking and finance sector</w:t>
            </w:r>
            <w:r w:rsidRPr="00FE73DE">
              <w:br/>
              <w:t>- consultants and support providers</w:t>
            </w:r>
            <w:r w:rsidRPr="00FE73DE">
              <w:br/>
              <w:t>- education and training institutions</w:t>
            </w:r>
          </w:p>
        </w:tc>
        <w:tc>
          <w:tcPr>
            <w:tcW w:w="2977" w:type="dxa"/>
          </w:tcPr>
          <w:p w14:paraId="39BE627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interviews</w:t>
            </w:r>
          </w:p>
          <w:p w14:paraId="57D536F7"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Stakeholder interviews</w:t>
            </w:r>
          </w:p>
          <w:p w14:paraId="29AA8E9A"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NIAA regional network interviews</w:t>
            </w:r>
          </w:p>
          <w:p w14:paraId="0F2D80D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Community stakeholder interviews</w:t>
            </w:r>
          </w:p>
        </w:tc>
        <w:tc>
          <w:tcPr>
            <w:tcW w:w="2344" w:type="dxa"/>
          </w:tcPr>
          <w:p w14:paraId="5FB56CB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46843472" w14:textId="77777777" w:rsidTr="00ED238A">
        <w:tc>
          <w:tcPr>
            <w:cnfStyle w:val="001000000000" w:firstRow="0" w:lastRow="0" w:firstColumn="1" w:lastColumn="0" w:oddVBand="0" w:evenVBand="0" w:oddHBand="0" w:evenHBand="0" w:firstRowFirstColumn="0" w:firstRowLastColumn="0" w:lastRowFirstColumn="0" w:lastRowLastColumn="0"/>
            <w:tcW w:w="2127" w:type="dxa"/>
          </w:tcPr>
          <w:p w14:paraId="3B109E9E" w14:textId="77777777" w:rsidR="00ED238A" w:rsidRPr="00FE73DE" w:rsidRDefault="00ED238A" w:rsidP="00ED238A">
            <w:pPr>
              <w:pStyle w:val="TableText"/>
            </w:pPr>
          </w:p>
        </w:tc>
        <w:tc>
          <w:tcPr>
            <w:tcW w:w="3685" w:type="dxa"/>
          </w:tcPr>
          <w:p w14:paraId="07A1F569" w14:textId="5231EA28"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9.2 </w:t>
            </w:r>
            <w:r w:rsidR="00ED238A" w:rsidRPr="00FE73DE">
              <w:t>Have customers strengthened their business capabilities?</w:t>
            </w:r>
          </w:p>
          <w:p w14:paraId="6B5060BC"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tcPr>
          <w:p w14:paraId="059BF0D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self-assessment of developments and improvements in their:</w:t>
            </w:r>
          </w:p>
          <w:p w14:paraId="4A73AC0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business models</w:t>
            </w:r>
            <w:r w:rsidRPr="00FE73DE">
              <w:br/>
              <w:t>- business planning and strategies for growth and development</w:t>
            </w:r>
            <w:r w:rsidRPr="00FE73DE">
              <w:br/>
              <w:t>- operating capabilities</w:t>
            </w:r>
          </w:p>
        </w:tc>
        <w:tc>
          <w:tcPr>
            <w:tcW w:w="2977" w:type="dxa"/>
          </w:tcPr>
          <w:p w14:paraId="529BFB76"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interviews</w:t>
            </w:r>
          </w:p>
        </w:tc>
        <w:tc>
          <w:tcPr>
            <w:tcW w:w="2344" w:type="dxa"/>
          </w:tcPr>
          <w:p w14:paraId="450AB31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1393389D"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DCC5C4" w14:textId="77777777" w:rsidR="00ED238A" w:rsidRPr="00FE73DE" w:rsidRDefault="00ED238A" w:rsidP="00ED238A">
            <w:pPr>
              <w:pStyle w:val="TableText"/>
            </w:pPr>
          </w:p>
        </w:tc>
        <w:tc>
          <w:tcPr>
            <w:tcW w:w="3685" w:type="dxa"/>
          </w:tcPr>
          <w:p w14:paraId="289BCD91" w14:textId="02E98A23"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9.3 </w:t>
            </w:r>
            <w:r w:rsidR="00ED238A" w:rsidRPr="00FE73DE">
              <w:t>Is the Indigenous business sector growing and becoming more sustainable?</w:t>
            </w:r>
          </w:p>
        </w:tc>
        <w:tc>
          <w:tcPr>
            <w:tcW w:w="2977" w:type="dxa"/>
          </w:tcPr>
          <w:p w14:paraId="7C29F396"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of the change in business survival rates based on IBA customer data and customer feedback</w:t>
            </w:r>
          </w:p>
          <w:p w14:paraId="7072BF5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self-assessment of business prospects and viability</w:t>
            </w:r>
          </w:p>
        </w:tc>
        <w:tc>
          <w:tcPr>
            <w:tcW w:w="2977" w:type="dxa"/>
          </w:tcPr>
          <w:p w14:paraId="7D247F57"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customer data</w:t>
            </w:r>
          </w:p>
          <w:p w14:paraId="7C363918"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interviews</w:t>
            </w:r>
          </w:p>
          <w:p w14:paraId="47393DBD"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Community stakeholder interviews</w:t>
            </w:r>
          </w:p>
          <w:p w14:paraId="7A02446A"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Supply Nation Research reports</w:t>
            </w:r>
          </w:p>
        </w:tc>
        <w:tc>
          <w:tcPr>
            <w:tcW w:w="2344" w:type="dxa"/>
          </w:tcPr>
          <w:p w14:paraId="44077EA9"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6E92DF73"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52DB50AC" w14:textId="77777777" w:rsidTr="00ED238A">
        <w:tc>
          <w:tcPr>
            <w:cnfStyle w:val="001000000000" w:firstRow="0" w:lastRow="0" w:firstColumn="1" w:lastColumn="0" w:oddVBand="0" w:evenVBand="0" w:oddHBand="0" w:evenHBand="0" w:firstRowFirstColumn="0" w:firstRowLastColumn="0" w:lastRowFirstColumn="0" w:lastRowLastColumn="0"/>
            <w:tcW w:w="2127" w:type="dxa"/>
            <w:vMerge w:val="restart"/>
          </w:tcPr>
          <w:p w14:paraId="11EFA000" w14:textId="059B6E67" w:rsidR="00ED238A" w:rsidRPr="00FE73DE" w:rsidRDefault="002357D4" w:rsidP="00ED238A">
            <w:pPr>
              <w:pStyle w:val="TableText"/>
            </w:pPr>
            <w:r>
              <w:t>10</w:t>
            </w:r>
            <w:r w:rsidR="00ED238A" w:rsidRPr="00FE73DE">
              <w:t>. Has the BSP achieved its long-term outcomes?</w:t>
            </w:r>
          </w:p>
          <w:p w14:paraId="30D9E5FC" w14:textId="26BEF4B3" w:rsidR="00ED238A" w:rsidRPr="00FE73DE" w:rsidRDefault="00ED238A" w:rsidP="00ED238A">
            <w:pPr>
              <w:pStyle w:val="TableText"/>
              <w:rPr>
                <w:iCs/>
              </w:rPr>
            </w:pPr>
            <w:r w:rsidRPr="00FE73DE">
              <w:t xml:space="preserve">Note – Long-term outcomes are not expected to be measurable during the timeframe of the evaluation, however, the questions will underpin future assessments of </w:t>
            </w:r>
            <w:r w:rsidR="00B64DDD" w:rsidRPr="00FE73DE">
              <w:t>long-term</w:t>
            </w:r>
            <w:r w:rsidRPr="00FE73DE">
              <w:t xml:space="preserve"> outcomes</w:t>
            </w:r>
          </w:p>
        </w:tc>
        <w:tc>
          <w:tcPr>
            <w:tcW w:w="3685" w:type="dxa"/>
          </w:tcPr>
          <w:p w14:paraId="3258C10D" w14:textId="35625EB9" w:rsidR="00ED238A" w:rsidRPr="00FE73DE" w:rsidRDefault="002357D4" w:rsidP="00ED238A">
            <w:pPr>
              <w:pStyle w:val="TableText"/>
              <w:cnfStyle w:val="000000000000" w:firstRow="0" w:lastRow="0" w:firstColumn="0" w:lastColumn="0" w:oddVBand="0" w:evenVBand="0" w:oddHBand="0" w:evenHBand="0" w:firstRowFirstColumn="0" w:firstRowLastColumn="0" w:lastRowFirstColumn="0" w:lastRowLastColumn="0"/>
            </w:pPr>
            <w:r>
              <w:t xml:space="preserve">10.1 </w:t>
            </w:r>
            <w:r w:rsidR="00ED238A" w:rsidRPr="00FE73DE">
              <w:t>Is there a correlation between business sustainability / growth, and employment in the community?</w:t>
            </w:r>
          </w:p>
        </w:tc>
        <w:tc>
          <w:tcPr>
            <w:tcW w:w="2977" w:type="dxa"/>
          </w:tcPr>
          <w:p w14:paraId="11F2D4A9"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Analysis of the change in business survival rates based on IBA customer data and customer feedback, including employment of Indigenous staff</w:t>
            </w:r>
          </w:p>
        </w:tc>
        <w:tc>
          <w:tcPr>
            <w:tcW w:w="2977" w:type="dxa"/>
          </w:tcPr>
          <w:p w14:paraId="2BD50F1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IBA customer data</w:t>
            </w:r>
          </w:p>
          <w:p w14:paraId="27AFD771"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Customer interviews</w:t>
            </w:r>
          </w:p>
          <w:p w14:paraId="1FE8E2D8"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Community stakeholder interviews</w:t>
            </w:r>
          </w:p>
          <w:p w14:paraId="4453355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Supply Nation Research reports</w:t>
            </w:r>
          </w:p>
        </w:tc>
        <w:tc>
          <w:tcPr>
            <w:tcW w:w="2344" w:type="dxa"/>
          </w:tcPr>
          <w:p w14:paraId="4731046C"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 xml:space="preserve">Document / Data Review </w:t>
            </w:r>
          </w:p>
          <w:p w14:paraId="3E836C37"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r w:rsidRPr="00FE73DE">
              <w:t>Semi-structured Interviews</w:t>
            </w:r>
          </w:p>
        </w:tc>
      </w:tr>
      <w:tr w:rsidR="00B24AB4" w:rsidRPr="00FE73DE" w14:paraId="5F9D5C70"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42B2B665" w14:textId="77777777" w:rsidR="00ED238A" w:rsidRPr="00FE73DE" w:rsidRDefault="00ED238A" w:rsidP="00ED238A">
            <w:pPr>
              <w:pStyle w:val="TableText"/>
            </w:pPr>
          </w:p>
        </w:tc>
        <w:tc>
          <w:tcPr>
            <w:tcW w:w="3685" w:type="dxa"/>
          </w:tcPr>
          <w:p w14:paraId="5D0C0759" w14:textId="6F61913E"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10.2 </w:t>
            </w:r>
            <w:r w:rsidR="00ED238A" w:rsidRPr="00FE73DE">
              <w:t>Are customers contributing their business capabilities to community development and support?</w:t>
            </w:r>
          </w:p>
          <w:p w14:paraId="3182C630" w14:textId="0FE3B97F"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10.3 </w:t>
            </w:r>
            <w:r w:rsidR="00ED238A" w:rsidRPr="00FE73DE">
              <w:t>Are communities receiving socio-economic benefits from the development of the Indigenous business sector?</w:t>
            </w:r>
          </w:p>
          <w:p w14:paraId="00F9E5A6" w14:textId="49E7E8E7"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10.4 </w:t>
            </w:r>
            <w:r w:rsidR="00ED238A" w:rsidRPr="00FE73DE">
              <w:t>Are customers investing capital and time into their Indigenous communities / networks?</w:t>
            </w:r>
          </w:p>
        </w:tc>
        <w:tc>
          <w:tcPr>
            <w:tcW w:w="2977" w:type="dxa"/>
          </w:tcPr>
          <w:p w14:paraId="0DEBCC5A"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based on customer and community stories</w:t>
            </w:r>
          </w:p>
        </w:tc>
        <w:tc>
          <w:tcPr>
            <w:tcW w:w="2977" w:type="dxa"/>
          </w:tcPr>
          <w:p w14:paraId="2A0B5145"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Case studies collected by IBA, NIAA and other agencies</w:t>
            </w:r>
          </w:p>
          <w:p w14:paraId="0F39885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IBA impact framework and reporting</w:t>
            </w:r>
          </w:p>
          <w:p w14:paraId="2D313423"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Customer interviews</w:t>
            </w:r>
          </w:p>
          <w:p w14:paraId="53A9E477"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Community stakeholder interviews</w:t>
            </w:r>
          </w:p>
          <w:p w14:paraId="37AE7ED6"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Supply Nation Research Reports</w:t>
            </w:r>
          </w:p>
        </w:tc>
        <w:tc>
          <w:tcPr>
            <w:tcW w:w="2344" w:type="dxa"/>
          </w:tcPr>
          <w:p w14:paraId="3C44B28E"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3282D11F"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r w:rsidR="00B24AB4" w:rsidRPr="00FE73DE" w14:paraId="4F98D681" w14:textId="77777777" w:rsidTr="00A56087">
        <w:tc>
          <w:tcPr>
            <w:cnfStyle w:val="001000000000" w:firstRow="0" w:lastRow="0" w:firstColumn="1" w:lastColumn="0" w:oddVBand="0" w:evenVBand="0" w:oddHBand="0" w:evenHBand="0" w:firstRowFirstColumn="0" w:firstRowLastColumn="0" w:lastRowFirstColumn="0" w:lastRowLastColumn="0"/>
            <w:tcW w:w="2127" w:type="dxa"/>
            <w:shd w:val="clear" w:color="auto" w:fill="AAD0CB" w:themeFill="accent3" w:themeFillTint="66"/>
          </w:tcPr>
          <w:p w14:paraId="32F02E26" w14:textId="0774BA39" w:rsidR="00ED238A" w:rsidRPr="00FE73DE" w:rsidRDefault="00ED238A" w:rsidP="00084E08">
            <w:pPr>
              <w:pStyle w:val="TableText"/>
              <w:keepNext/>
              <w:rPr>
                <w:color w:val="auto"/>
              </w:rPr>
            </w:pPr>
            <w:r w:rsidRPr="00FE73DE">
              <w:rPr>
                <w:color w:val="auto"/>
              </w:rPr>
              <w:t>Future Delivery</w:t>
            </w:r>
          </w:p>
        </w:tc>
        <w:tc>
          <w:tcPr>
            <w:tcW w:w="3685" w:type="dxa"/>
            <w:shd w:val="clear" w:color="auto" w:fill="AAD0CB" w:themeFill="accent3" w:themeFillTint="66"/>
          </w:tcPr>
          <w:p w14:paraId="43272C24"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shd w:val="clear" w:color="auto" w:fill="AAD0CB" w:themeFill="accent3" w:themeFillTint="66"/>
          </w:tcPr>
          <w:p w14:paraId="50D52DBB"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977" w:type="dxa"/>
            <w:shd w:val="clear" w:color="auto" w:fill="AAD0CB" w:themeFill="accent3" w:themeFillTint="66"/>
          </w:tcPr>
          <w:p w14:paraId="1D4831CF"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c>
          <w:tcPr>
            <w:tcW w:w="2344" w:type="dxa"/>
            <w:shd w:val="clear" w:color="auto" w:fill="AAD0CB" w:themeFill="accent3" w:themeFillTint="66"/>
          </w:tcPr>
          <w:p w14:paraId="75AB81A0" w14:textId="77777777" w:rsidR="00ED238A" w:rsidRPr="00FE73DE" w:rsidRDefault="00ED238A" w:rsidP="00ED238A">
            <w:pPr>
              <w:pStyle w:val="TableText"/>
              <w:cnfStyle w:val="000000000000" w:firstRow="0" w:lastRow="0" w:firstColumn="0" w:lastColumn="0" w:oddVBand="0" w:evenVBand="0" w:oddHBand="0" w:evenHBand="0" w:firstRowFirstColumn="0" w:firstRowLastColumn="0" w:lastRowFirstColumn="0" w:lastRowLastColumn="0"/>
            </w:pPr>
          </w:p>
        </w:tc>
      </w:tr>
      <w:tr w:rsidR="00B24AB4" w:rsidRPr="00FE73DE" w14:paraId="34C38F77" w14:textId="77777777" w:rsidTr="00ED2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69E49C" w14:textId="48BB475F" w:rsidR="00ED238A" w:rsidRPr="00FE73DE" w:rsidRDefault="002357D4" w:rsidP="00ED238A">
            <w:pPr>
              <w:pStyle w:val="TableText"/>
              <w:rPr>
                <w:iCs/>
              </w:rPr>
            </w:pPr>
            <w:r>
              <w:t>11</w:t>
            </w:r>
            <w:r w:rsidR="00ED238A" w:rsidRPr="00FE73DE">
              <w:t>. What are the alternatives for the future delivery of the BSP?</w:t>
            </w:r>
          </w:p>
        </w:tc>
        <w:tc>
          <w:tcPr>
            <w:tcW w:w="3685" w:type="dxa"/>
          </w:tcPr>
          <w:p w14:paraId="3A741508" w14:textId="767E6615"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11.1 </w:t>
            </w:r>
            <w:r w:rsidR="00ED238A" w:rsidRPr="00FE73DE">
              <w:t>Are there risks, cost implications or challenges in the delivery of the current suite of products and services?</w:t>
            </w:r>
          </w:p>
          <w:p w14:paraId="12579E03" w14:textId="2554C7CA"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pPr>
            <w:r>
              <w:t xml:space="preserve">11.2 </w:t>
            </w:r>
            <w:r w:rsidR="00ED238A" w:rsidRPr="00FE73DE">
              <w:t>Are there alternative delivery models?</w:t>
            </w:r>
          </w:p>
          <w:p w14:paraId="4655A538" w14:textId="25EFDD23" w:rsidR="00ED238A" w:rsidRPr="00FE73DE" w:rsidRDefault="002357D4" w:rsidP="00ED238A">
            <w:pPr>
              <w:pStyle w:val="TableText"/>
              <w:cnfStyle w:val="000000010000" w:firstRow="0" w:lastRow="0" w:firstColumn="0" w:lastColumn="0" w:oddVBand="0" w:evenVBand="0" w:oddHBand="0" w:evenHBand="1" w:firstRowFirstColumn="0" w:firstRowLastColumn="0" w:lastRowFirstColumn="0" w:lastRowLastColumn="0"/>
              <w:rPr>
                <w:iCs/>
              </w:rPr>
            </w:pPr>
            <w:r>
              <w:t xml:space="preserve">11.3 </w:t>
            </w:r>
            <w:r w:rsidR="00ED238A" w:rsidRPr="00FE73DE">
              <w:t>What are these alternatives?</w:t>
            </w:r>
          </w:p>
        </w:tc>
        <w:tc>
          <w:tcPr>
            <w:tcW w:w="2977" w:type="dxa"/>
          </w:tcPr>
          <w:p w14:paraId="5EB01DCC"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Analysis based on review documents, data and consultations from all sources</w:t>
            </w:r>
          </w:p>
        </w:tc>
        <w:tc>
          <w:tcPr>
            <w:tcW w:w="2977" w:type="dxa"/>
          </w:tcPr>
          <w:p w14:paraId="25740DC0"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All sources used in the evaluation</w:t>
            </w:r>
          </w:p>
        </w:tc>
        <w:tc>
          <w:tcPr>
            <w:tcW w:w="2344" w:type="dxa"/>
          </w:tcPr>
          <w:p w14:paraId="70405524"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 xml:space="preserve">Document / Data Review </w:t>
            </w:r>
          </w:p>
          <w:p w14:paraId="6F0F3079" w14:textId="77777777" w:rsidR="00ED238A" w:rsidRPr="00FE73DE" w:rsidRDefault="00ED238A" w:rsidP="00ED238A">
            <w:pPr>
              <w:pStyle w:val="TableText"/>
              <w:cnfStyle w:val="000000010000" w:firstRow="0" w:lastRow="0" w:firstColumn="0" w:lastColumn="0" w:oddVBand="0" w:evenVBand="0" w:oddHBand="0" w:evenHBand="1" w:firstRowFirstColumn="0" w:firstRowLastColumn="0" w:lastRowFirstColumn="0" w:lastRowLastColumn="0"/>
            </w:pPr>
            <w:r w:rsidRPr="00FE73DE">
              <w:t>Semi-structured Interviews</w:t>
            </w:r>
          </w:p>
        </w:tc>
      </w:tr>
    </w:tbl>
    <w:p w14:paraId="30B3650F" w14:textId="1588CE64" w:rsidR="00914139" w:rsidRPr="00FE73DE" w:rsidRDefault="00914139" w:rsidP="00ED238A">
      <w:pPr>
        <w:spacing w:after="200" w:line="276" w:lineRule="auto"/>
        <w:jc w:val="left"/>
      </w:pPr>
    </w:p>
    <w:p w14:paraId="2B4C5AA8" w14:textId="77777777" w:rsidR="00B24AB4" w:rsidRPr="00FE73DE" w:rsidRDefault="00B24AB4" w:rsidP="00ED238A">
      <w:pPr>
        <w:spacing w:after="200" w:line="276" w:lineRule="auto"/>
        <w:jc w:val="left"/>
        <w:sectPr w:rsidR="00B24AB4" w:rsidRPr="00FE73DE" w:rsidSect="00A56087">
          <w:footerReference w:type="default" r:id="rId49"/>
          <w:pgSz w:w="16838" w:h="11906" w:orient="landscape" w:code="9"/>
          <w:pgMar w:top="1503" w:right="1418" w:bottom="1503" w:left="1418" w:header="680" w:footer="567" w:gutter="0"/>
          <w:cols w:space="708"/>
          <w:docGrid w:linePitch="360"/>
        </w:sectPr>
      </w:pPr>
    </w:p>
    <w:p w14:paraId="10D66A49" w14:textId="20140D59" w:rsidR="008B62F3" w:rsidRPr="00FE73DE" w:rsidRDefault="008B62F3" w:rsidP="008B62F3">
      <w:pPr>
        <w:pStyle w:val="Heading1"/>
        <w:numPr>
          <w:ilvl w:val="0"/>
          <w:numId w:val="0"/>
        </w:numPr>
      </w:pPr>
      <w:bookmarkStart w:id="158" w:name="_Toc123734726"/>
      <w:r w:rsidRPr="00FE73DE">
        <w:t xml:space="preserve">Appendix </w:t>
      </w:r>
      <w:r w:rsidR="001C6781">
        <w:t>D</w:t>
      </w:r>
      <w:r w:rsidRPr="00FE73DE">
        <w:t>: BSP Theory of Change and Program Logic</w:t>
      </w:r>
      <w:bookmarkEnd w:id="158"/>
    </w:p>
    <w:p w14:paraId="0CB8227A" w14:textId="6FAF3F75" w:rsidR="008B62F3" w:rsidRPr="00FE73DE" w:rsidRDefault="008B62F3" w:rsidP="008B62F3">
      <w:r w:rsidRPr="00FE73DE">
        <w:t xml:space="preserve">The BSP Theory of Change and a Program Logic were developed collaboratively with NIAA and IBA in early 2020 as part of the development of the Evaluation Strategy. They were based on a comprehensive review of Program documentation (such as the overarching Head Agreement, subsequent contract variations and Project Schedules, performance reporting and IBA’s Annual Reports), with the outputs and outcomes validated through a workshop with key NIAA and IBA staff. The Theory of Change seeks to explain how the Program activities will produce the Program’s intended results and is illustrated in </w:t>
      </w:r>
      <w:r w:rsidRPr="00FE73DE">
        <w:fldChar w:fldCharType="begin"/>
      </w:r>
      <w:r w:rsidRPr="00FE73DE">
        <w:instrText xml:space="preserve"> REF _Ref94255217 \h </w:instrText>
      </w:r>
      <w:r w:rsidRPr="00FE73DE">
        <w:fldChar w:fldCharType="separate"/>
      </w:r>
      <w:r w:rsidR="004718C9" w:rsidRPr="00FE73DE">
        <w:t xml:space="preserve">Figure </w:t>
      </w:r>
      <w:r w:rsidR="004718C9">
        <w:rPr>
          <w:noProof/>
        </w:rPr>
        <w:t>31</w:t>
      </w:r>
      <w:r w:rsidRPr="00FE73DE">
        <w:fldChar w:fldCharType="end"/>
      </w:r>
      <w:r w:rsidRPr="00FE73DE">
        <w:t xml:space="preserve"> below.</w:t>
      </w:r>
    </w:p>
    <w:p w14:paraId="0F0F5F64" w14:textId="385500D1" w:rsidR="008B62F3" w:rsidRPr="00FE73DE" w:rsidRDefault="008B62F3" w:rsidP="008B62F3">
      <w:pPr>
        <w:pStyle w:val="Caption"/>
      </w:pPr>
      <w:bookmarkStart w:id="159" w:name="_Ref94255217"/>
      <w:r w:rsidRPr="00FE73DE">
        <w:t xml:space="preserve">Figure </w:t>
      </w:r>
      <w:fldSimple w:instr=" SEQ Figure \* ARABIC ">
        <w:r w:rsidR="004718C9">
          <w:rPr>
            <w:noProof/>
          </w:rPr>
          <w:t>31</w:t>
        </w:r>
      </w:fldSimple>
      <w:bookmarkEnd w:id="159"/>
      <w:r w:rsidRPr="00FE73DE">
        <w:t>: BSP Theory of Change</w:t>
      </w:r>
    </w:p>
    <w:p w14:paraId="5BCB343A" w14:textId="77777777" w:rsidR="008B62F3" w:rsidRPr="00FE73DE" w:rsidRDefault="008B62F3" w:rsidP="008B62F3">
      <w:pPr>
        <w:pStyle w:val="Bibliography"/>
        <w:keepNext/>
      </w:pPr>
      <w:r w:rsidRPr="00FE73DE">
        <w:rPr>
          <w:noProof/>
          <w:lang w:eastAsia="en-AU"/>
        </w:rPr>
        <w:drawing>
          <wp:inline distT="0" distB="0" distL="0" distR="0" wp14:anchorId="21DE552B" wp14:editId="69761515">
            <wp:extent cx="5651500" cy="39125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Logic - revised.pdf"/>
                    <pic:cNvPicPr/>
                  </pic:nvPicPr>
                  <pic:blipFill>
                    <a:blip r:embed="rId50">
                      <a:extLst>
                        <a:ext uri="{28A0092B-C50C-407E-A947-70E740481C1C}">
                          <a14:useLocalDpi xmlns:a14="http://schemas.microsoft.com/office/drawing/2010/main"/>
                        </a:ext>
                      </a:extLst>
                    </a:blip>
                    <a:stretch>
                      <a:fillRect/>
                    </a:stretch>
                  </pic:blipFill>
                  <pic:spPr>
                    <a:xfrm>
                      <a:off x="0" y="0"/>
                      <a:ext cx="5651500" cy="3912577"/>
                    </a:xfrm>
                    <a:prstGeom prst="rect">
                      <a:avLst/>
                    </a:prstGeom>
                  </pic:spPr>
                </pic:pic>
              </a:graphicData>
            </a:graphic>
          </wp:inline>
        </w:drawing>
      </w:r>
    </w:p>
    <w:p w14:paraId="1D9F780E" w14:textId="77777777" w:rsidR="008B62F3" w:rsidRPr="00FE73DE" w:rsidRDefault="008B62F3" w:rsidP="008B62F3">
      <w:r w:rsidRPr="00FE73DE">
        <w:t xml:space="preserve">The above Theory of Change is based on two broad inputs – business support services (to build the business capability of customers) and financial products (to improve accessibility of finance). The above diagram portrays a simple linear and hierarchical relationship between these inputs and the expected changes, whereas in reality, there are more complex interrelations between these. </w:t>
      </w:r>
    </w:p>
    <w:p w14:paraId="09CD628B" w14:textId="6E213FFF" w:rsidR="008B62F3" w:rsidRPr="00FE73DE" w:rsidRDefault="008B62F3" w:rsidP="008B62F3">
      <w:r w:rsidRPr="00FE73DE">
        <w:t xml:space="preserve">In relation to </w:t>
      </w:r>
      <w:r w:rsidRPr="00FE73DE">
        <w:rPr>
          <w:b/>
        </w:rPr>
        <w:t>business support services</w:t>
      </w:r>
      <w:r w:rsidRPr="00FE73DE">
        <w:t xml:space="preserve">, by assisting customers to develop business ideas and by providing learning programs and advisory services, it is expected that in the short term, customers will develop their business and financial capabilities, clarify their business ideas and business model and develop business systems and practices. In the medium term, it is expected that customers, as a result of increased business awareness and acumen, will engage in wider business support networks and services, and also contribute to these, for example as leaders and mentors. Further, this will enable customers to strengthen their businesses, in terms of improved systems and practices, and increased equity, which may result from better business management (for example reducing their business loan).  As businesses succeed, and customers’ business skills and experience </w:t>
      </w:r>
      <w:r w:rsidR="00D8688E" w:rsidRPr="00FE73DE">
        <w:t>develop</w:t>
      </w:r>
      <w:r w:rsidRPr="00FE73DE">
        <w:t>, it is expected that in the long-term customers may have an impact on their community as they contribute to community development and support activities in ways that draw on their business success and business management and leadership skills.</w:t>
      </w:r>
    </w:p>
    <w:p w14:paraId="274A1D7A" w14:textId="77777777" w:rsidR="008B62F3" w:rsidRPr="00FE73DE" w:rsidRDefault="008B62F3" w:rsidP="008B62F3">
      <w:r w:rsidRPr="00FE73DE">
        <w:t xml:space="preserve">In relation to </w:t>
      </w:r>
      <w:r w:rsidRPr="00FE73DE">
        <w:rPr>
          <w:b/>
        </w:rPr>
        <w:t>financial products</w:t>
      </w:r>
      <w:r w:rsidRPr="00FE73DE">
        <w:t>, by providing customers with access to finance to develop businesses, it is expected that in the short term, the Indigenous business sector will grow and businesses will invest in capital, more Indigenous-produced goods and services will be purchased and as a result, more Indigenous people will be employed. Building on this growth, and the improved business capability of customers, it is expected that in the medium term, business will continue to succeed and will expand and diversify, with existing loans paid out and additional financial products accessed, if required. In the long-term this may have an impact on Indigenous communities through increased economic independence (through stable employment) which may also contribute to stronger local economies and improved health, social and other outcomes for Indigenous communities. The growth and sustainability of the Indigenous business sector may also result in increased provision of private sector lending to the Indigenous business sector.</w:t>
      </w:r>
    </w:p>
    <w:p w14:paraId="6159A6E3" w14:textId="77777777" w:rsidR="008B62F3" w:rsidRPr="00FE73DE" w:rsidRDefault="008B62F3" w:rsidP="008B62F3">
      <w:r w:rsidRPr="00FE73DE">
        <w:t>The BSP Program Logic builds on the Theory of Change and provides a high level representation of the BSP by mapping the inputs, outputs and results and also shows the Program’s intent, context and enabling environment, specifically in relation to:</w:t>
      </w:r>
    </w:p>
    <w:p w14:paraId="47643CF0" w14:textId="77777777" w:rsidR="008B62F3" w:rsidRPr="00FE73DE" w:rsidRDefault="008B62F3">
      <w:pPr>
        <w:pStyle w:val="ListBullet"/>
      </w:pPr>
      <w:r w:rsidRPr="00FE73DE">
        <w:t>Situation – the key drivers and needs that provide the rationale for the BSP</w:t>
      </w:r>
    </w:p>
    <w:p w14:paraId="6B82A14C" w14:textId="77777777" w:rsidR="008B62F3" w:rsidRPr="00FE73DE" w:rsidRDefault="008B62F3">
      <w:pPr>
        <w:pStyle w:val="ListBullet"/>
      </w:pPr>
      <w:r w:rsidRPr="00FE73DE">
        <w:t>Objectives – what the BSP is designed to achieve</w:t>
      </w:r>
    </w:p>
    <w:p w14:paraId="0D72BFD9" w14:textId="77777777" w:rsidR="008B62F3" w:rsidRPr="00FE73DE" w:rsidRDefault="008B62F3">
      <w:pPr>
        <w:pStyle w:val="ListBullet"/>
      </w:pPr>
      <w:r w:rsidRPr="00FE73DE">
        <w:t>Stakeholders – the key actors delivering, using and supporting the BSP</w:t>
      </w:r>
    </w:p>
    <w:p w14:paraId="06369637" w14:textId="77777777" w:rsidR="008B62F3" w:rsidRPr="00FE73DE" w:rsidRDefault="008B62F3">
      <w:pPr>
        <w:pStyle w:val="ListBullet"/>
      </w:pPr>
      <w:r w:rsidRPr="00FE73DE">
        <w:t>Related initiatives – other policies and programs that contribute to or influence the BSP’s results</w:t>
      </w:r>
    </w:p>
    <w:p w14:paraId="772D802A" w14:textId="77777777" w:rsidR="008B62F3" w:rsidRPr="00FE73DE" w:rsidRDefault="008B62F3">
      <w:pPr>
        <w:pStyle w:val="ListBullet"/>
      </w:pPr>
      <w:r w:rsidRPr="00FE73DE">
        <w:t>Inputs – the resources invested in the BSP for staffing, systems and processes and loan funds</w:t>
      </w:r>
    </w:p>
    <w:p w14:paraId="279AB057" w14:textId="77777777" w:rsidR="008B62F3" w:rsidRPr="00FE73DE" w:rsidRDefault="008B62F3">
      <w:pPr>
        <w:pStyle w:val="ListBullet"/>
      </w:pPr>
      <w:r w:rsidRPr="00FE73DE">
        <w:t>Outputs – the products and services delivered by the BSP</w:t>
      </w:r>
    </w:p>
    <w:p w14:paraId="746BAE6D" w14:textId="77777777" w:rsidR="008B62F3" w:rsidRPr="00FE73DE" w:rsidRDefault="008B62F3">
      <w:pPr>
        <w:pStyle w:val="ListBullet"/>
      </w:pPr>
      <w:r w:rsidRPr="00FE73DE">
        <w:t>Outcomes – the BSP’s intended short-term, medium-term and long-term outcomes (impacts).</w:t>
      </w:r>
    </w:p>
    <w:p w14:paraId="620F8DF9" w14:textId="77777777" w:rsidR="008B62F3" w:rsidRPr="00FE73DE" w:rsidRDefault="008B62F3" w:rsidP="008B62F3">
      <w:r w:rsidRPr="00FE73DE">
        <w:t xml:space="preserve">As part of the development of the Evaluation Plan and ethics approval process, considerable effort was expended by the evaluation team and NIAA staff into reviewing the BSP Program Logic as illustrated in Figure 3. </w:t>
      </w:r>
    </w:p>
    <w:p w14:paraId="09C66566" w14:textId="77777777" w:rsidR="008B62F3" w:rsidRPr="00FE73DE" w:rsidRDefault="008B62F3" w:rsidP="008B62F3">
      <w:r w:rsidRPr="00FE73DE">
        <w:t>Both Figure 2 and Figure 3, are being validated during the course of the evaluation, with a refined BSP Theory of Change and a BSP Program Logic to be presented in the final Evaluation Report.</w:t>
      </w:r>
    </w:p>
    <w:p w14:paraId="1B2CA8AA" w14:textId="79F75E90" w:rsidR="008B62F3" w:rsidRPr="00FE73DE" w:rsidRDefault="008B62F3" w:rsidP="008B62F3">
      <w:pPr>
        <w:pStyle w:val="Caption"/>
        <w:keepNext/>
        <w:keepLines w:val="0"/>
        <w:jc w:val="both"/>
      </w:pPr>
      <w:r w:rsidRPr="00FE73DE">
        <w:t xml:space="preserve">Figure </w:t>
      </w:r>
      <w:fldSimple w:instr=" SEQ Figure \* ARABIC ">
        <w:r w:rsidR="004718C9">
          <w:rPr>
            <w:noProof/>
          </w:rPr>
          <w:t>32</w:t>
        </w:r>
      </w:fldSimple>
      <w:r w:rsidRPr="00FE73DE">
        <w:t>: BSP Program Logic</w:t>
      </w:r>
    </w:p>
    <w:p w14:paraId="1B4F347D" w14:textId="77777777" w:rsidR="008B62F3" w:rsidRPr="00FE73DE" w:rsidRDefault="008B62F3" w:rsidP="008B62F3">
      <w:pPr>
        <w:keepNext/>
      </w:pPr>
      <w:r w:rsidRPr="00FE73DE">
        <w:rPr>
          <w:noProof/>
          <w:color w:val="FF0000"/>
          <w:lang w:eastAsia="en-AU"/>
        </w:rPr>
        <w:drawing>
          <wp:inline distT="0" distB="0" distL="0" distR="0" wp14:anchorId="7213A4E3" wp14:editId="76A985A2">
            <wp:extent cx="5648325" cy="399947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Logic - Final.pdf"/>
                    <pic:cNvPicPr/>
                  </pic:nvPicPr>
                  <pic:blipFill rotWithShape="1">
                    <a:blip r:embed="rId51" cstate="print">
                      <a:extLst>
                        <a:ext uri="{28A0092B-C50C-407E-A947-70E740481C1C}">
                          <a14:useLocalDpi xmlns:a14="http://schemas.microsoft.com/office/drawing/2010/main"/>
                        </a:ext>
                      </a:extLst>
                    </a:blip>
                    <a:srcRect l="4267" t="3339" r="3808" b="2634"/>
                    <a:stretch/>
                  </pic:blipFill>
                  <pic:spPr bwMode="auto">
                    <a:xfrm>
                      <a:off x="0" y="0"/>
                      <a:ext cx="5683135" cy="4024127"/>
                    </a:xfrm>
                    <a:prstGeom prst="rect">
                      <a:avLst/>
                    </a:prstGeom>
                    <a:ln>
                      <a:noFill/>
                    </a:ln>
                    <a:extLst>
                      <a:ext uri="{53640926-AAD7-44D8-BBD7-CCE9431645EC}">
                        <a14:shadowObscured xmlns:a14="http://schemas.microsoft.com/office/drawing/2010/main"/>
                      </a:ext>
                    </a:extLst>
                  </pic:spPr>
                </pic:pic>
              </a:graphicData>
            </a:graphic>
          </wp:inline>
        </w:drawing>
      </w:r>
    </w:p>
    <w:p w14:paraId="489D51C3" w14:textId="77777777" w:rsidR="008B62F3" w:rsidRPr="00FE73DE" w:rsidRDefault="008B62F3" w:rsidP="008B62F3">
      <w:r w:rsidRPr="00FE73DE">
        <w:t>In addition to representing the context of the BSP and its intended results, the Program Logic seeks to demonstrate the causal and hierarchical links between the BSP’s input and outputs and its intended results (outcomes). In this way the Program Logic sought to guide the design and conduct of the evaluation by identifying key contextual and delivery (output) factors that will need to be documented and understood as well as elements for the evaluation to measure and assess (outcomes).</w:t>
      </w:r>
    </w:p>
    <w:p w14:paraId="56568213" w14:textId="49B50D33" w:rsidR="008B62F3" w:rsidRPr="00FE73DE" w:rsidRDefault="008B62F3" w:rsidP="008B62F3">
      <w:r w:rsidRPr="00FE73DE">
        <w:t xml:space="preserve">Coupled with the Program Logic, the Assumptions and Risks at </w:t>
      </w:r>
      <w:r w:rsidRPr="00FE73DE">
        <w:fldChar w:fldCharType="begin"/>
      </w:r>
      <w:r w:rsidRPr="00FE73DE">
        <w:instrText xml:space="preserve"> REF _Ref94255532 \h </w:instrText>
      </w:r>
      <w:r w:rsidRPr="00FE73DE">
        <w:fldChar w:fldCharType="separate"/>
      </w:r>
      <w:r w:rsidR="004718C9" w:rsidRPr="00FE73DE">
        <w:t xml:space="preserve">Table </w:t>
      </w:r>
      <w:r w:rsidR="004718C9">
        <w:rPr>
          <w:noProof/>
        </w:rPr>
        <w:t>10</w:t>
      </w:r>
      <w:r w:rsidRPr="00FE73DE">
        <w:fldChar w:fldCharType="end"/>
      </w:r>
      <w:r w:rsidRPr="00FE73DE">
        <w:t xml:space="preserve"> below identifies some of the key assumptions and risks associated with the actions and outputs that are expected to lead to the desired outcomes.  By identifying these assumptions and risks we are able to recognise potential gaps or flaws in the revised Program Logic.  This does not necessarily mean that the Program is flawed, but by identifying these we are able to be aware of risks to the Program’s success that need to be monitored as part of the evaluation.</w:t>
      </w:r>
    </w:p>
    <w:p w14:paraId="4FC903BE" w14:textId="235993E8" w:rsidR="008B62F3" w:rsidRPr="00FE73DE" w:rsidRDefault="008B62F3" w:rsidP="008B62F3">
      <w:pPr>
        <w:pStyle w:val="Caption"/>
        <w:keepNext/>
      </w:pPr>
      <w:bookmarkStart w:id="160" w:name="_Ref94255532"/>
      <w:r w:rsidRPr="00FE73DE">
        <w:t xml:space="preserve">Table </w:t>
      </w:r>
      <w:fldSimple w:instr=" SEQ Table \* ARABIC ">
        <w:r w:rsidR="004718C9">
          <w:rPr>
            <w:noProof/>
          </w:rPr>
          <w:t>10</w:t>
        </w:r>
      </w:fldSimple>
      <w:bookmarkEnd w:id="160"/>
      <w:r w:rsidRPr="00FE73DE">
        <w:t>: Assumptions and Risks</w:t>
      </w:r>
    </w:p>
    <w:tbl>
      <w:tblPr>
        <w:tblStyle w:val="SustineoTableStyle1"/>
        <w:tblW w:w="0" w:type="auto"/>
        <w:tblLook w:val="0420" w:firstRow="1" w:lastRow="0" w:firstColumn="0" w:lastColumn="0" w:noHBand="0" w:noVBand="1"/>
      </w:tblPr>
      <w:tblGrid>
        <w:gridCol w:w="3155"/>
        <w:gridCol w:w="3140"/>
        <w:gridCol w:w="2595"/>
      </w:tblGrid>
      <w:tr w:rsidR="008B62F3" w:rsidRPr="00FE73DE" w14:paraId="54404E19" w14:textId="77777777" w:rsidTr="00C145AC">
        <w:trPr>
          <w:cnfStyle w:val="100000000000" w:firstRow="1" w:lastRow="0" w:firstColumn="0" w:lastColumn="0" w:oddVBand="0" w:evenVBand="0" w:oddHBand="0" w:evenHBand="0" w:firstRowFirstColumn="0" w:firstRowLastColumn="0" w:lastRowFirstColumn="0" w:lastRowLastColumn="0"/>
          <w:trHeight w:val="289"/>
          <w:tblHeader/>
        </w:trPr>
        <w:tc>
          <w:tcPr>
            <w:tcW w:w="3155" w:type="dxa"/>
          </w:tcPr>
          <w:p w14:paraId="6DA17EFD" w14:textId="77777777" w:rsidR="008B62F3" w:rsidRPr="00FE73DE" w:rsidRDefault="008B62F3" w:rsidP="00C145AC">
            <w:pPr>
              <w:pStyle w:val="TableText"/>
            </w:pPr>
            <w:r w:rsidRPr="00FE73DE">
              <w:t>Action or Output</w:t>
            </w:r>
          </w:p>
        </w:tc>
        <w:tc>
          <w:tcPr>
            <w:tcW w:w="3140" w:type="dxa"/>
          </w:tcPr>
          <w:p w14:paraId="6791B07C" w14:textId="77777777" w:rsidR="008B62F3" w:rsidRPr="00FE73DE" w:rsidRDefault="008B62F3" w:rsidP="00C145AC">
            <w:pPr>
              <w:pStyle w:val="TableText"/>
            </w:pPr>
            <w:r w:rsidRPr="00FE73DE">
              <w:t>Assumptions</w:t>
            </w:r>
          </w:p>
        </w:tc>
        <w:tc>
          <w:tcPr>
            <w:tcW w:w="2595" w:type="dxa"/>
          </w:tcPr>
          <w:p w14:paraId="5B2C798F" w14:textId="77777777" w:rsidR="008B62F3" w:rsidRPr="00FE73DE" w:rsidRDefault="008B62F3" w:rsidP="00C145AC">
            <w:pPr>
              <w:pStyle w:val="TableText"/>
            </w:pPr>
            <w:r w:rsidRPr="00FE73DE">
              <w:t>Risks</w:t>
            </w:r>
          </w:p>
        </w:tc>
      </w:tr>
      <w:tr w:rsidR="008B62F3" w:rsidRPr="00FE73DE" w14:paraId="01D51FB4" w14:textId="77777777" w:rsidTr="00C145AC">
        <w:tc>
          <w:tcPr>
            <w:tcW w:w="3155" w:type="dxa"/>
          </w:tcPr>
          <w:p w14:paraId="4200E52E" w14:textId="77777777" w:rsidR="008B62F3" w:rsidRPr="00FE73DE" w:rsidRDefault="008B62F3">
            <w:pPr>
              <w:pStyle w:val="TableText"/>
              <w:numPr>
                <w:ilvl w:val="0"/>
                <w:numId w:val="16"/>
              </w:numPr>
              <w:ind w:left="315"/>
            </w:pPr>
            <w:r w:rsidRPr="00FE73DE">
              <w:t>Help Indigenous people build sustainable businesses that will support their families and communities.</w:t>
            </w:r>
          </w:p>
          <w:p w14:paraId="3764F638" w14:textId="77777777" w:rsidR="008B62F3" w:rsidRPr="00FE73DE" w:rsidRDefault="008B62F3">
            <w:pPr>
              <w:pStyle w:val="TableText"/>
              <w:numPr>
                <w:ilvl w:val="0"/>
                <w:numId w:val="16"/>
              </w:numPr>
              <w:ind w:left="315"/>
            </w:pPr>
            <w:r w:rsidRPr="00FE73DE">
              <w:t>Improved education, health and other outcomes.</w:t>
            </w:r>
          </w:p>
          <w:p w14:paraId="37469A63" w14:textId="77777777" w:rsidR="008B62F3" w:rsidRPr="00FE73DE" w:rsidRDefault="008B62F3">
            <w:pPr>
              <w:pStyle w:val="TableText"/>
              <w:numPr>
                <w:ilvl w:val="0"/>
                <w:numId w:val="16"/>
              </w:numPr>
              <w:ind w:left="315"/>
            </w:pPr>
            <w:r w:rsidRPr="00FE73DE">
              <w:t>Customers invest in their communities.</w:t>
            </w:r>
          </w:p>
          <w:p w14:paraId="2A9D8BDA" w14:textId="77777777" w:rsidR="008B62F3" w:rsidRPr="00FE73DE" w:rsidRDefault="008B62F3">
            <w:pPr>
              <w:pStyle w:val="TableText"/>
              <w:numPr>
                <w:ilvl w:val="0"/>
                <w:numId w:val="16"/>
              </w:numPr>
              <w:ind w:left="315"/>
            </w:pPr>
            <w:r w:rsidRPr="00FE73DE">
              <w:t>Creating intergenerational wealth and human capital.</w:t>
            </w:r>
          </w:p>
          <w:p w14:paraId="790AF366" w14:textId="77777777" w:rsidR="008B62F3" w:rsidRPr="00FE73DE" w:rsidRDefault="008B62F3">
            <w:pPr>
              <w:pStyle w:val="TableText"/>
              <w:numPr>
                <w:ilvl w:val="0"/>
                <w:numId w:val="16"/>
              </w:numPr>
              <w:ind w:left="315"/>
            </w:pPr>
            <w:r w:rsidRPr="00FE73DE">
              <w:t>Financial security and independence.</w:t>
            </w:r>
          </w:p>
          <w:p w14:paraId="34287BA7" w14:textId="77777777" w:rsidR="008B62F3" w:rsidRPr="00FE73DE" w:rsidRDefault="008B62F3">
            <w:pPr>
              <w:pStyle w:val="TableText"/>
              <w:numPr>
                <w:ilvl w:val="0"/>
                <w:numId w:val="16"/>
              </w:numPr>
              <w:ind w:left="315"/>
            </w:pPr>
            <w:r w:rsidRPr="00FE73DE">
              <w:t>Increased equity.</w:t>
            </w:r>
          </w:p>
        </w:tc>
        <w:tc>
          <w:tcPr>
            <w:tcW w:w="3140" w:type="dxa"/>
          </w:tcPr>
          <w:p w14:paraId="101C8937" w14:textId="77777777" w:rsidR="008B62F3" w:rsidRPr="00FE73DE" w:rsidRDefault="008B62F3">
            <w:pPr>
              <w:pStyle w:val="TableText"/>
              <w:numPr>
                <w:ilvl w:val="0"/>
                <w:numId w:val="16"/>
              </w:numPr>
              <w:ind w:left="315"/>
            </w:pPr>
            <w:r w:rsidRPr="00FE73DE">
              <w:t xml:space="preserve">Business success and wealth creation will have positive consequences for Indigenous communities. </w:t>
            </w:r>
          </w:p>
          <w:p w14:paraId="31C8CAC3" w14:textId="77777777" w:rsidR="008B62F3" w:rsidRPr="00FE73DE" w:rsidRDefault="008B62F3">
            <w:pPr>
              <w:pStyle w:val="TableText"/>
              <w:numPr>
                <w:ilvl w:val="0"/>
                <w:numId w:val="16"/>
              </w:numPr>
              <w:ind w:left="315"/>
            </w:pPr>
            <w:r w:rsidRPr="00FE73DE">
              <w:t>Financial achievements will benefit individuals and ‘trickle down’ to communities.</w:t>
            </w:r>
          </w:p>
          <w:p w14:paraId="7F177520" w14:textId="77777777" w:rsidR="008B62F3" w:rsidRPr="00FE73DE" w:rsidRDefault="008B62F3">
            <w:pPr>
              <w:pStyle w:val="TableText"/>
              <w:numPr>
                <w:ilvl w:val="0"/>
                <w:numId w:val="16"/>
              </w:numPr>
              <w:ind w:left="315"/>
            </w:pPr>
            <w:r w:rsidRPr="00FE73DE">
              <w:t>IBA is more effective than other financial service and assistance providers at engaging with Indigenous customers.</w:t>
            </w:r>
          </w:p>
        </w:tc>
        <w:tc>
          <w:tcPr>
            <w:tcW w:w="2595" w:type="dxa"/>
          </w:tcPr>
          <w:p w14:paraId="41F5481B" w14:textId="77777777" w:rsidR="008B62F3" w:rsidRPr="00FE73DE" w:rsidRDefault="008B62F3">
            <w:pPr>
              <w:pStyle w:val="TableText"/>
              <w:numPr>
                <w:ilvl w:val="0"/>
                <w:numId w:val="16"/>
              </w:numPr>
              <w:ind w:left="315"/>
            </w:pPr>
            <w:r w:rsidRPr="00FE73DE">
              <w:t>System intervention of financial support will have unintended negative effects in Indigenous communities.</w:t>
            </w:r>
          </w:p>
          <w:p w14:paraId="79DC1AD5" w14:textId="77777777" w:rsidR="008B62F3" w:rsidRPr="00FE73DE" w:rsidRDefault="008B62F3">
            <w:pPr>
              <w:pStyle w:val="TableText"/>
              <w:numPr>
                <w:ilvl w:val="0"/>
                <w:numId w:val="16"/>
              </w:numPr>
              <w:ind w:left="315"/>
            </w:pPr>
            <w:r w:rsidRPr="00FE73DE">
              <w:t>Increased business will shift individuals away from local knowledge and tradition.</w:t>
            </w:r>
          </w:p>
          <w:p w14:paraId="0BFE5438" w14:textId="77777777" w:rsidR="008B62F3" w:rsidRPr="00FE73DE" w:rsidRDefault="008B62F3">
            <w:pPr>
              <w:pStyle w:val="TableText"/>
              <w:numPr>
                <w:ilvl w:val="0"/>
                <w:numId w:val="16"/>
              </w:numPr>
              <w:ind w:left="315"/>
            </w:pPr>
            <w:r w:rsidRPr="00FE73DE">
              <w:t>Financial achievements will benefit individuals but not communities.</w:t>
            </w:r>
          </w:p>
          <w:p w14:paraId="36F19F1E" w14:textId="77777777" w:rsidR="008B62F3" w:rsidRPr="00FE73DE" w:rsidRDefault="008B62F3">
            <w:pPr>
              <w:pStyle w:val="TableText"/>
              <w:numPr>
                <w:ilvl w:val="0"/>
                <w:numId w:val="16"/>
              </w:numPr>
              <w:ind w:left="315"/>
            </w:pPr>
            <w:r w:rsidRPr="00FE73DE">
              <w:t>Support, training and advice is provided but there are still not enough employment opportunities.</w:t>
            </w:r>
          </w:p>
          <w:p w14:paraId="6E721345" w14:textId="77777777" w:rsidR="008B62F3" w:rsidRPr="00FE73DE" w:rsidRDefault="008B62F3">
            <w:pPr>
              <w:pStyle w:val="TableText"/>
              <w:numPr>
                <w:ilvl w:val="0"/>
                <w:numId w:val="16"/>
              </w:numPr>
              <w:ind w:left="315"/>
            </w:pPr>
            <w:r w:rsidRPr="00FE73DE">
              <w:t>Familiar welfare support mechanisms are taken away.</w:t>
            </w:r>
          </w:p>
          <w:p w14:paraId="295A21F3" w14:textId="77777777" w:rsidR="008B62F3" w:rsidRPr="00FE73DE" w:rsidRDefault="008B62F3">
            <w:pPr>
              <w:pStyle w:val="TableText"/>
              <w:numPr>
                <w:ilvl w:val="0"/>
                <w:numId w:val="16"/>
              </w:numPr>
              <w:ind w:left="315"/>
            </w:pPr>
            <w:r w:rsidRPr="00FE73DE">
              <w:t>Fears of loss of reliable ‘safety net’ override desire for financial independence.</w:t>
            </w:r>
          </w:p>
        </w:tc>
      </w:tr>
      <w:tr w:rsidR="008B62F3" w:rsidRPr="00FE73DE" w14:paraId="2A51EABD" w14:textId="77777777" w:rsidTr="00C145AC">
        <w:trPr>
          <w:cnfStyle w:val="000000010000" w:firstRow="0" w:lastRow="0" w:firstColumn="0" w:lastColumn="0" w:oddVBand="0" w:evenVBand="0" w:oddHBand="0" w:evenHBand="1" w:firstRowFirstColumn="0" w:firstRowLastColumn="0" w:lastRowFirstColumn="0" w:lastRowLastColumn="0"/>
        </w:trPr>
        <w:tc>
          <w:tcPr>
            <w:tcW w:w="3155" w:type="dxa"/>
          </w:tcPr>
          <w:p w14:paraId="682DE73F" w14:textId="77777777" w:rsidR="008B62F3" w:rsidRPr="00FE73DE" w:rsidRDefault="008B62F3">
            <w:pPr>
              <w:pStyle w:val="TableText"/>
              <w:numPr>
                <w:ilvl w:val="0"/>
                <w:numId w:val="16"/>
              </w:numPr>
              <w:ind w:left="315"/>
            </w:pPr>
            <w:r w:rsidRPr="00FE73DE">
              <w:t xml:space="preserve">Focus on pre-bank and early stage customers, particularly women and youth. </w:t>
            </w:r>
          </w:p>
          <w:p w14:paraId="440D5832" w14:textId="77777777" w:rsidR="008B62F3" w:rsidRPr="00FE73DE" w:rsidRDefault="008B62F3">
            <w:pPr>
              <w:pStyle w:val="TableText"/>
              <w:numPr>
                <w:ilvl w:val="0"/>
                <w:numId w:val="16"/>
              </w:numPr>
              <w:ind w:left="315"/>
            </w:pPr>
            <w:r w:rsidRPr="00FE73DE">
              <w:t>Targeted programs for women, youth, tourism.</w:t>
            </w:r>
          </w:p>
        </w:tc>
        <w:tc>
          <w:tcPr>
            <w:tcW w:w="3140" w:type="dxa"/>
          </w:tcPr>
          <w:p w14:paraId="4EFD4DC1" w14:textId="77777777" w:rsidR="008B62F3" w:rsidRPr="00FE73DE" w:rsidRDefault="008B62F3">
            <w:pPr>
              <w:pStyle w:val="TableText"/>
              <w:numPr>
                <w:ilvl w:val="0"/>
                <w:numId w:val="16"/>
              </w:numPr>
              <w:ind w:left="315"/>
            </w:pPr>
            <w:r w:rsidRPr="00FE73DE">
              <w:t>Women and youth are empowered / able to seek and utilise assistance.</w:t>
            </w:r>
          </w:p>
          <w:p w14:paraId="669CCBEA" w14:textId="41DAC452" w:rsidR="008B62F3" w:rsidRPr="00FE73DE" w:rsidRDefault="008B62F3">
            <w:pPr>
              <w:pStyle w:val="TableText"/>
              <w:numPr>
                <w:ilvl w:val="0"/>
                <w:numId w:val="16"/>
              </w:numPr>
              <w:ind w:left="315"/>
            </w:pPr>
            <w:r w:rsidRPr="00FE73DE">
              <w:t xml:space="preserve">Access to financial services </w:t>
            </w:r>
            <w:r w:rsidR="00D8688E" w:rsidRPr="00FE73DE">
              <w:t>is</w:t>
            </w:r>
            <w:r w:rsidRPr="00FE73DE">
              <w:t xml:space="preserve"> a priority form of support for women and youth.</w:t>
            </w:r>
          </w:p>
          <w:p w14:paraId="2847B1F1" w14:textId="77777777" w:rsidR="008B62F3" w:rsidRPr="00FE73DE" w:rsidRDefault="008B62F3">
            <w:pPr>
              <w:pStyle w:val="TableText"/>
              <w:numPr>
                <w:ilvl w:val="0"/>
                <w:numId w:val="16"/>
              </w:numPr>
              <w:ind w:left="315"/>
            </w:pPr>
            <w:r w:rsidRPr="00FE73DE">
              <w:t>Private sector finance providers or other agencies are not able to meet customer needs.</w:t>
            </w:r>
          </w:p>
        </w:tc>
        <w:tc>
          <w:tcPr>
            <w:tcW w:w="2595" w:type="dxa"/>
          </w:tcPr>
          <w:p w14:paraId="61822D89" w14:textId="77777777" w:rsidR="008B62F3" w:rsidRPr="00FE73DE" w:rsidRDefault="008B62F3">
            <w:pPr>
              <w:pStyle w:val="TableText"/>
              <w:numPr>
                <w:ilvl w:val="0"/>
                <w:numId w:val="16"/>
              </w:numPr>
              <w:ind w:left="315"/>
            </w:pPr>
            <w:r w:rsidRPr="00FE73DE">
              <w:t>Support is available but awareness and uptake is not high.</w:t>
            </w:r>
          </w:p>
          <w:p w14:paraId="5A19C971" w14:textId="77777777" w:rsidR="008B62F3" w:rsidRPr="00FE73DE" w:rsidRDefault="008B62F3">
            <w:pPr>
              <w:pStyle w:val="TableText"/>
              <w:numPr>
                <w:ilvl w:val="0"/>
                <w:numId w:val="16"/>
              </w:numPr>
              <w:ind w:left="315"/>
            </w:pPr>
            <w:r w:rsidRPr="00FE73DE">
              <w:t>Uncertainty of future program funding.</w:t>
            </w:r>
          </w:p>
        </w:tc>
      </w:tr>
      <w:tr w:rsidR="008B62F3" w:rsidRPr="00FE73DE" w14:paraId="0E3904B8" w14:textId="77777777" w:rsidTr="00C145AC">
        <w:tc>
          <w:tcPr>
            <w:tcW w:w="3155" w:type="dxa"/>
          </w:tcPr>
          <w:p w14:paraId="23A723B6" w14:textId="77777777" w:rsidR="008B62F3" w:rsidRPr="00FE73DE" w:rsidRDefault="008B62F3">
            <w:pPr>
              <w:pStyle w:val="TableText"/>
              <w:numPr>
                <w:ilvl w:val="0"/>
                <w:numId w:val="16"/>
              </w:numPr>
              <w:ind w:left="315"/>
            </w:pPr>
            <w:r w:rsidRPr="00FE73DE">
              <w:t xml:space="preserve">Expanded business sector meeting increased demand for Indigenous goods and services. </w:t>
            </w:r>
          </w:p>
          <w:p w14:paraId="5E11C8CB" w14:textId="77777777" w:rsidR="008B62F3" w:rsidRPr="00FE73DE" w:rsidRDefault="008B62F3">
            <w:pPr>
              <w:pStyle w:val="TableText"/>
              <w:numPr>
                <w:ilvl w:val="0"/>
                <w:numId w:val="16"/>
              </w:numPr>
              <w:ind w:left="315"/>
            </w:pPr>
            <w:r w:rsidRPr="00FE73DE">
              <w:t>Identifying business opportunities.</w:t>
            </w:r>
          </w:p>
          <w:p w14:paraId="6B50FF1E" w14:textId="77777777" w:rsidR="008B62F3" w:rsidRPr="00FE73DE" w:rsidRDefault="008B62F3">
            <w:pPr>
              <w:pStyle w:val="TableText"/>
              <w:numPr>
                <w:ilvl w:val="0"/>
                <w:numId w:val="16"/>
              </w:numPr>
              <w:ind w:left="315"/>
            </w:pPr>
            <w:r w:rsidRPr="00FE73DE">
              <w:t>More demand for Indigenous-provided goods and services.</w:t>
            </w:r>
          </w:p>
          <w:p w14:paraId="1D5806E7" w14:textId="77777777" w:rsidR="008B62F3" w:rsidRPr="00FE73DE" w:rsidRDefault="008B62F3">
            <w:pPr>
              <w:pStyle w:val="TableText"/>
              <w:numPr>
                <w:ilvl w:val="0"/>
                <w:numId w:val="16"/>
              </w:numPr>
              <w:ind w:left="315"/>
            </w:pPr>
            <w:r w:rsidRPr="00FE73DE">
              <w:t>Increased capital investment and private sector lending.</w:t>
            </w:r>
          </w:p>
          <w:p w14:paraId="550DA010" w14:textId="77777777" w:rsidR="008B62F3" w:rsidRPr="00FE73DE" w:rsidRDefault="008B62F3">
            <w:pPr>
              <w:pStyle w:val="TableText"/>
              <w:numPr>
                <w:ilvl w:val="0"/>
                <w:numId w:val="16"/>
              </w:numPr>
              <w:ind w:left="315"/>
            </w:pPr>
            <w:r w:rsidRPr="00FE73DE">
              <w:t>Increase in number, size and diversity of Indigenous businesses.</w:t>
            </w:r>
          </w:p>
        </w:tc>
        <w:tc>
          <w:tcPr>
            <w:tcW w:w="3140" w:type="dxa"/>
          </w:tcPr>
          <w:p w14:paraId="06C25EFB" w14:textId="77777777" w:rsidR="008B62F3" w:rsidRPr="00FE73DE" w:rsidRDefault="008B62F3">
            <w:pPr>
              <w:pStyle w:val="TableText"/>
              <w:numPr>
                <w:ilvl w:val="0"/>
                <w:numId w:val="16"/>
              </w:numPr>
              <w:ind w:left="315"/>
            </w:pPr>
            <w:r w:rsidRPr="00FE73DE">
              <w:t>There is a distinct market share for Indigenous goods and services.</w:t>
            </w:r>
          </w:p>
          <w:p w14:paraId="69C27C80" w14:textId="77777777" w:rsidR="008B62F3" w:rsidRPr="00FE73DE" w:rsidRDefault="008B62F3">
            <w:pPr>
              <w:pStyle w:val="TableText"/>
              <w:numPr>
                <w:ilvl w:val="0"/>
                <w:numId w:val="16"/>
              </w:numPr>
              <w:ind w:left="315"/>
            </w:pPr>
            <w:r w:rsidRPr="00FE73DE">
              <w:t>Provision of goods and services by Indigenous businesses has greater community benefit than non-Indigenous business ownership.</w:t>
            </w:r>
          </w:p>
          <w:p w14:paraId="652F38FA" w14:textId="77777777" w:rsidR="008B62F3" w:rsidRPr="00FE73DE" w:rsidRDefault="008B62F3">
            <w:pPr>
              <w:pStyle w:val="TableText"/>
              <w:numPr>
                <w:ilvl w:val="0"/>
                <w:numId w:val="16"/>
              </w:numPr>
              <w:ind w:left="315"/>
            </w:pPr>
            <w:r w:rsidRPr="00FE73DE">
              <w:t>Availability of delivery partners with suitable capability.</w:t>
            </w:r>
          </w:p>
        </w:tc>
        <w:tc>
          <w:tcPr>
            <w:tcW w:w="2595" w:type="dxa"/>
          </w:tcPr>
          <w:p w14:paraId="5FA9C009" w14:textId="77777777" w:rsidR="008B62F3" w:rsidRPr="00FE73DE" w:rsidRDefault="008B62F3">
            <w:pPr>
              <w:pStyle w:val="TableText"/>
              <w:numPr>
                <w:ilvl w:val="0"/>
                <w:numId w:val="16"/>
              </w:numPr>
              <w:ind w:left="315"/>
            </w:pPr>
            <w:r w:rsidRPr="00FE73DE">
              <w:t>Indigenous goods and services are not competitive with non-Indigenous equivalents.</w:t>
            </w:r>
          </w:p>
        </w:tc>
      </w:tr>
      <w:tr w:rsidR="008B62F3" w:rsidRPr="00FE73DE" w14:paraId="5E413CF0" w14:textId="77777777" w:rsidTr="00C145AC">
        <w:trPr>
          <w:cnfStyle w:val="000000010000" w:firstRow="0" w:lastRow="0" w:firstColumn="0" w:lastColumn="0" w:oddVBand="0" w:evenVBand="0" w:oddHBand="0" w:evenHBand="1" w:firstRowFirstColumn="0" w:firstRowLastColumn="0" w:lastRowFirstColumn="0" w:lastRowLastColumn="0"/>
        </w:trPr>
        <w:tc>
          <w:tcPr>
            <w:tcW w:w="3155" w:type="dxa"/>
          </w:tcPr>
          <w:p w14:paraId="3C76CC74" w14:textId="77777777" w:rsidR="008B62F3" w:rsidRPr="00FE73DE" w:rsidRDefault="008B62F3">
            <w:pPr>
              <w:pStyle w:val="TableText"/>
              <w:numPr>
                <w:ilvl w:val="0"/>
                <w:numId w:val="16"/>
              </w:numPr>
              <w:ind w:left="315"/>
            </w:pPr>
            <w:r w:rsidRPr="00FE73DE">
              <w:t>Increase in demonstrated leadership and individual agency.</w:t>
            </w:r>
          </w:p>
          <w:p w14:paraId="348E4E2A" w14:textId="77777777" w:rsidR="008B62F3" w:rsidRPr="00FE73DE" w:rsidRDefault="008B62F3">
            <w:pPr>
              <w:pStyle w:val="TableText"/>
              <w:numPr>
                <w:ilvl w:val="0"/>
                <w:numId w:val="16"/>
              </w:numPr>
              <w:ind w:left="315"/>
            </w:pPr>
            <w:r w:rsidRPr="00FE73DE">
              <w:t>Developing peer support networks.</w:t>
            </w:r>
          </w:p>
          <w:p w14:paraId="52597ACC" w14:textId="77777777" w:rsidR="008B62F3" w:rsidRPr="00FE73DE" w:rsidRDefault="008B62F3">
            <w:pPr>
              <w:pStyle w:val="TableText"/>
              <w:numPr>
                <w:ilvl w:val="0"/>
                <w:numId w:val="16"/>
              </w:numPr>
              <w:ind w:left="315"/>
            </w:pPr>
            <w:r w:rsidRPr="00FE73DE">
              <w:t>Stronger connections and networks.</w:t>
            </w:r>
          </w:p>
          <w:p w14:paraId="4DC8C045" w14:textId="77777777" w:rsidR="008B62F3" w:rsidRPr="00FE73DE" w:rsidRDefault="008B62F3">
            <w:pPr>
              <w:pStyle w:val="TableText"/>
              <w:numPr>
                <w:ilvl w:val="0"/>
                <w:numId w:val="16"/>
              </w:numPr>
              <w:ind w:left="315"/>
            </w:pPr>
            <w:r w:rsidRPr="00FE73DE">
              <w:t>Demonstrated leadership.</w:t>
            </w:r>
          </w:p>
        </w:tc>
        <w:tc>
          <w:tcPr>
            <w:tcW w:w="3140" w:type="dxa"/>
          </w:tcPr>
          <w:p w14:paraId="298500F1" w14:textId="77777777" w:rsidR="008B62F3" w:rsidRPr="00FE73DE" w:rsidRDefault="008B62F3">
            <w:pPr>
              <w:pStyle w:val="TableText"/>
              <w:numPr>
                <w:ilvl w:val="0"/>
                <w:numId w:val="16"/>
              </w:numPr>
              <w:ind w:left="315"/>
            </w:pPr>
            <w:r w:rsidRPr="00FE73DE">
              <w:t>Provision of financial advice and tailored assistance will enhance personal and interpersonal qualities.</w:t>
            </w:r>
          </w:p>
          <w:p w14:paraId="6E81EA46" w14:textId="77777777" w:rsidR="008B62F3" w:rsidRPr="00FE73DE" w:rsidRDefault="008B62F3">
            <w:pPr>
              <w:pStyle w:val="TableText"/>
              <w:numPr>
                <w:ilvl w:val="0"/>
                <w:numId w:val="16"/>
              </w:numPr>
              <w:ind w:left="315"/>
            </w:pPr>
            <w:r w:rsidRPr="00FE73DE">
              <w:t>Financial success leads to enhanced leadership skills.</w:t>
            </w:r>
          </w:p>
        </w:tc>
        <w:tc>
          <w:tcPr>
            <w:tcW w:w="2595" w:type="dxa"/>
          </w:tcPr>
          <w:p w14:paraId="09057FA3" w14:textId="77777777" w:rsidR="008B62F3" w:rsidRPr="00FE73DE" w:rsidRDefault="008B62F3">
            <w:pPr>
              <w:pStyle w:val="TableText"/>
              <w:numPr>
                <w:ilvl w:val="0"/>
                <w:numId w:val="16"/>
              </w:numPr>
              <w:ind w:left="315"/>
            </w:pPr>
            <w:r w:rsidRPr="00FE73DE">
              <w:t>Financial support and business focus leads to increased competition and conflict in Indigenous communities.</w:t>
            </w:r>
          </w:p>
          <w:p w14:paraId="32FE3B99" w14:textId="77777777" w:rsidR="008B62F3" w:rsidRPr="00FE73DE" w:rsidRDefault="008B62F3">
            <w:pPr>
              <w:pStyle w:val="TableText"/>
              <w:numPr>
                <w:ilvl w:val="0"/>
                <w:numId w:val="16"/>
              </w:numPr>
              <w:ind w:left="315"/>
            </w:pPr>
            <w:r w:rsidRPr="00FE73DE">
              <w:t>Customers benefit personally but don’t adopt positive roles in the community.</w:t>
            </w:r>
          </w:p>
        </w:tc>
      </w:tr>
      <w:tr w:rsidR="008B62F3" w:rsidRPr="00FE73DE" w14:paraId="50EF6E91" w14:textId="77777777" w:rsidTr="00C145AC">
        <w:tc>
          <w:tcPr>
            <w:tcW w:w="3155" w:type="dxa"/>
          </w:tcPr>
          <w:p w14:paraId="07CBB3A9" w14:textId="77777777" w:rsidR="008B62F3" w:rsidRPr="00FE73DE" w:rsidRDefault="008B62F3">
            <w:pPr>
              <w:pStyle w:val="TableText"/>
              <w:numPr>
                <w:ilvl w:val="0"/>
                <w:numId w:val="16"/>
              </w:numPr>
              <w:ind w:left="315"/>
            </w:pPr>
            <w:r w:rsidRPr="00FE73DE">
              <w:t>Access to training and business development support.</w:t>
            </w:r>
          </w:p>
          <w:p w14:paraId="2CB80029" w14:textId="77777777" w:rsidR="008B62F3" w:rsidRPr="00FE73DE" w:rsidRDefault="008B62F3">
            <w:pPr>
              <w:pStyle w:val="TableText"/>
              <w:numPr>
                <w:ilvl w:val="0"/>
                <w:numId w:val="16"/>
              </w:numPr>
              <w:ind w:left="315"/>
            </w:pPr>
            <w:r w:rsidRPr="00FE73DE">
              <w:t>Availability of equipment finance / leasing.</w:t>
            </w:r>
          </w:p>
          <w:p w14:paraId="29EAED5A" w14:textId="77777777" w:rsidR="008B62F3" w:rsidRPr="00FE73DE" w:rsidRDefault="008B62F3">
            <w:pPr>
              <w:pStyle w:val="TableText"/>
              <w:numPr>
                <w:ilvl w:val="0"/>
                <w:numId w:val="16"/>
              </w:numPr>
              <w:ind w:left="315"/>
            </w:pPr>
            <w:r w:rsidRPr="00FE73DE">
              <w:t>Servicing existing loans.</w:t>
            </w:r>
          </w:p>
          <w:p w14:paraId="34A061F9" w14:textId="77777777" w:rsidR="008B62F3" w:rsidRPr="00FE73DE" w:rsidRDefault="008B62F3">
            <w:pPr>
              <w:pStyle w:val="TableText"/>
              <w:numPr>
                <w:ilvl w:val="0"/>
                <w:numId w:val="16"/>
              </w:numPr>
              <w:ind w:left="315"/>
            </w:pPr>
            <w:r w:rsidRPr="00FE73DE">
              <w:t>Stronger local economies</w:t>
            </w:r>
          </w:p>
        </w:tc>
        <w:tc>
          <w:tcPr>
            <w:tcW w:w="3140" w:type="dxa"/>
          </w:tcPr>
          <w:p w14:paraId="07DB63DA" w14:textId="77777777" w:rsidR="008B62F3" w:rsidRPr="00FE73DE" w:rsidRDefault="008B62F3">
            <w:pPr>
              <w:pStyle w:val="TableText"/>
              <w:numPr>
                <w:ilvl w:val="0"/>
                <w:numId w:val="16"/>
              </w:numPr>
              <w:ind w:left="315"/>
            </w:pPr>
            <w:r w:rsidRPr="00FE73DE">
              <w:t>Leased equipment and support will be used for business development in the local community, not elsewhere.</w:t>
            </w:r>
          </w:p>
          <w:p w14:paraId="0692663C" w14:textId="77777777" w:rsidR="008B62F3" w:rsidRPr="00FE73DE" w:rsidRDefault="008B62F3">
            <w:pPr>
              <w:pStyle w:val="TableText"/>
              <w:numPr>
                <w:ilvl w:val="0"/>
                <w:numId w:val="16"/>
              </w:numPr>
              <w:ind w:left="315"/>
            </w:pPr>
            <w:r w:rsidRPr="00FE73DE">
              <w:t>Recipients of training and financial assistance will utilise their new skills and wealth in local communities.</w:t>
            </w:r>
          </w:p>
        </w:tc>
        <w:tc>
          <w:tcPr>
            <w:tcW w:w="2595" w:type="dxa"/>
          </w:tcPr>
          <w:p w14:paraId="3968BC93" w14:textId="77777777" w:rsidR="008B62F3" w:rsidRPr="00FE73DE" w:rsidRDefault="008B62F3">
            <w:pPr>
              <w:pStyle w:val="TableText"/>
              <w:numPr>
                <w:ilvl w:val="0"/>
                <w:numId w:val="16"/>
              </w:numPr>
              <w:ind w:left="315"/>
            </w:pPr>
            <w:r w:rsidRPr="00FE73DE">
              <w:t>Provision of training and business success will result in a ‘brain drain’ to metropolitan population centres, or distancing of successful customers from their Indigenous communities.</w:t>
            </w:r>
          </w:p>
          <w:p w14:paraId="021736C3" w14:textId="77777777" w:rsidR="008B62F3" w:rsidRPr="00FE73DE" w:rsidRDefault="008B62F3">
            <w:pPr>
              <w:pStyle w:val="TableText"/>
              <w:numPr>
                <w:ilvl w:val="0"/>
                <w:numId w:val="16"/>
              </w:numPr>
              <w:ind w:left="315"/>
            </w:pPr>
            <w:r w:rsidRPr="00FE73DE">
              <w:t>Recipients of training and financial assistance will utilise their new skills and wealth to move out of local communities.</w:t>
            </w:r>
          </w:p>
          <w:p w14:paraId="4F9C84C5" w14:textId="77777777" w:rsidR="008B62F3" w:rsidRPr="00FE73DE" w:rsidRDefault="008B62F3">
            <w:pPr>
              <w:pStyle w:val="TableText"/>
              <w:numPr>
                <w:ilvl w:val="0"/>
                <w:numId w:val="16"/>
              </w:numPr>
              <w:ind w:left="315"/>
            </w:pPr>
            <w:r w:rsidRPr="00FE73DE">
              <w:t>Poor loan servicing by customers.</w:t>
            </w:r>
          </w:p>
          <w:p w14:paraId="429E60AC" w14:textId="77777777" w:rsidR="008B62F3" w:rsidRPr="00FE73DE" w:rsidRDefault="008B62F3">
            <w:pPr>
              <w:pStyle w:val="TableText"/>
              <w:numPr>
                <w:ilvl w:val="0"/>
                <w:numId w:val="16"/>
              </w:numPr>
              <w:ind w:left="315"/>
            </w:pPr>
            <w:r w:rsidRPr="00FE73DE">
              <w:t>Fraudulent or improper use of assistance by customers.</w:t>
            </w:r>
          </w:p>
        </w:tc>
      </w:tr>
    </w:tbl>
    <w:p w14:paraId="0C71807A" w14:textId="77777777" w:rsidR="008B62F3" w:rsidRPr="00FE73DE" w:rsidRDefault="008B62F3" w:rsidP="008B62F3"/>
    <w:p w14:paraId="795A8CF4" w14:textId="77777777" w:rsidR="008B62F3" w:rsidRPr="00FE73DE" w:rsidRDefault="008B62F3" w:rsidP="008B62F3"/>
    <w:p w14:paraId="5AB9ACFD" w14:textId="59FA81CA" w:rsidR="003C699D" w:rsidRPr="00FE73DE" w:rsidRDefault="003C699D" w:rsidP="006237E0">
      <w:pPr>
        <w:pStyle w:val="Heading1"/>
        <w:numPr>
          <w:ilvl w:val="0"/>
          <w:numId w:val="0"/>
        </w:numPr>
        <w:ind w:left="720" w:hanging="720"/>
      </w:pPr>
      <w:bookmarkStart w:id="161" w:name="_Toc123734727"/>
      <w:r w:rsidRPr="00FE73DE">
        <w:t xml:space="preserve">Appendix </w:t>
      </w:r>
      <w:r w:rsidR="001C6781">
        <w:t>E</w:t>
      </w:r>
      <w:r w:rsidRPr="00FE73DE">
        <w:t>: Demographic data from surveys</w:t>
      </w:r>
      <w:bookmarkEnd w:id="161"/>
    </w:p>
    <w:p w14:paraId="202E59D4" w14:textId="77777777" w:rsidR="003C699D" w:rsidRPr="00FE73DE" w:rsidRDefault="003C699D" w:rsidP="003C699D">
      <w:r w:rsidRPr="00FE73DE">
        <w:t>This appendix contains the demographic data of survey respondents for both the online Indigenous business survey, and the online delivery partner survey.</w:t>
      </w:r>
    </w:p>
    <w:p w14:paraId="2D38CD6B" w14:textId="77777777" w:rsidR="003C699D" w:rsidRPr="00FE73DE" w:rsidRDefault="003C699D" w:rsidP="0069410A">
      <w:pPr>
        <w:pStyle w:val="Heading2"/>
        <w:numPr>
          <w:ilvl w:val="0"/>
          <w:numId w:val="0"/>
        </w:numPr>
        <w:ind w:left="720" w:hanging="720"/>
      </w:pPr>
      <w:bookmarkStart w:id="162" w:name="_Toc123734728"/>
      <w:r w:rsidRPr="00FE73DE">
        <w:t>Indigenous Business Survey</w:t>
      </w:r>
      <w:bookmarkEnd w:id="162"/>
    </w:p>
    <w:p w14:paraId="30ED9349" w14:textId="6FDBED32" w:rsidR="0061791A" w:rsidRPr="00FE73DE" w:rsidRDefault="0061791A" w:rsidP="0061791A">
      <w:r w:rsidRPr="00FE73DE">
        <w:t xml:space="preserve">The Indigenous </w:t>
      </w:r>
      <w:r>
        <w:t>B</w:t>
      </w:r>
      <w:r w:rsidRPr="00FE73DE">
        <w:t xml:space="preserve">usiness </w:t>
      </w:r>
      <w:r>
        <w:t>S</w:t>
      </w:r>
      <w:r w:rsidRPr="00FE73DE">
        <w:t xml:space="preserve">urvey was publicly circulated on NIAA social media via the NIAA publications team. Individual emails including the survey link were sent by IBA to all business customers who had received support over the evaluation period. The survey was open for </w:t>
      </w:r>
      <w:r w:rsidR="00295C5C">
        <w:t>eight</w:t>
      </w:r>
      <w:r w:rsidRPr="00FE73DE">
        <w:t xml:space="preserve"> weeks to maximise the number of respon</w:t>
      </w:r>
      <w:r>
        <w:t>se</w:t>
      </w:r>
      <w:r w:rsidRPr="00FE73DE">
        <w:t>s.</w:t>
      </w:r>
    </w:p>
    <w:p w14:paraId="772D4C92" w14:textId="62303A00" w:rsidR="003C699D" w:rsidRPr="00FE73DE" w:rsidRDefault="003C699D" w:rsidP="003C699D">
      <w:r w:rsidRPr="00FE73DE">
        <w:t>The Business Survey received 92 responses, which was reduced to 71 following data cleaning. Of those, 64 respondents completed 100</w:t>
      </w:r>
      <w:r w:rsidR="008557E8">
        <w:t>%</w:t>
      </w:r>
      <w:r w:rsidRPr="00FE73DE">
        <w:t xml:space="preserve"> of the survey. The remaining </w:t>
      </w:r>
      <w:r w:rsidR="00295C5C">
        <w:t>seven</w:t>
      </w:r>
      <w:r w:rsidRPr="00FE73DE">
        <w:t xml:space="preserve"> responses have been retained as they answered enough substantive (non-demographic) questions to be useful for analysis. Completion rates for these </w:t>
      </w:r>
      <w:r w:rsidR="00295C5C">
        <w:t>seven</w:t>
      </w:r>
      <w:r w:rsidRPr="00FE73DE">
        <w:t xml:space="preserve"> responses ranged from 43</w:t>
      </w:r>
      <w:r w:rsidR="008557E8">
        <w:t>%</w:t>
      </w:r>
      <w:r w:rsidRPr="00FE73DE">
        <w:t xml:space="preserve"> to 99</w:t>
      </w:r>
      <w:r w:rsidR="008557E8">
        <w:t>%</w:t>
      </w:r>
      <w:r w:rsidRPr="00FE73DE">
        <w:t xml:space="preserve">. A summary of respondent demographic characteristics is presented in </w:t>
      </w:r>
      <w:r w:rsidRPr="00FE73DE">
        <w:fldChar w:fldCharType="begin"/>
      </w:r>
      <w:r w:rsidRPr="00FE73DE">
        <w:instrText xml:space="preserve"> REF _Ref103951381 \h </w:instrText>
      </w:r>
      <w:r w:rsidRPr="00FE73DE">
        <w:fldChar w:fldCharType="separate"/>
      </w:r>
      <w:r w:rsidR="004718C9" w:rsidRPr="00FE73DE">
        <w:t xml:space="preserve">Table </w:t>
      </w:r>
      <w:r w:rsidR="004718C9">
        <w:rPr>
          <w:noProof/>
        </w:rPr>
        <w:t>11</w:t>
      </w:r>
      <w:r w:rsidRPr="00FE73DE">
        <w:fldChar w:fldCharType="end"/>
      </w:r>
      <w:r w:rsidRPr="00FE73DE">
        <w:t>.</w:t>
      </w:r>
    </w:p>
    <w:p w14:paraId="1FDF80EA" w14:textId="39E3E747" w:rsidR="003C699D" w:rsidRPr="00FE73DE" w:rsidRDefault="003C699D" w:rsidP="003C699D">
      <w:pPr>
        <w:pStyle w:val="Caption"/>
        <w:keepNext/>
      </w:pPr>
      <w:bookmarkStart w:id="163" w:name="_Ref103951381"/>
      <w:r w:rsidRPr="00FE73DE">
        <w:t xml:space="preserve">Table </w:t>
      </w:r>
      <w:fldSimple w:instr=" SEQ Table \* ARABIC ">
        <w:r w:rsidR="004718C9">
          <w:rPr>
            <w:noProof/>
          </w:rPr>
          <w:t>11</w:t>
        </w:r>
      </w:fldSimple>
      <w:bookmarkEnd w:id="163"/>
      <w:r w:rsidRPr="00FE73DE">
        <w:t>: Respondent demographics</w:t>
      </w:r>
    </w:p>
    <w:tbl>
      <w:tblPr>
        <w:tblStyle w:val="Summaryboxtablestyle"/>
        <w:tblW w:w="0" w:type="auto"/>
        <w:tblLook w:val="04A0" w:firstRow="1" w:lastRow="0" w:firstColumn="1" w:lastColumn="0" w:noHBand="0" w:noVBand="1"/>
      </w:tblPr>
      <w:tblGrid>
        <w:gridCol w:w="1137"/>
        <w:gridCol w:w="6422"/>
        <w:gridCol w:w="451"/>
        <w:gridCol w:w="880"/>
      </w:tblGrid>
      <w:tr w:rsidR="003C699D" w:rsidRPr="00FE73DE" w14:paraId="531877BF" w14:textId="77777777" w:rsidTr="009F7300">
        <w:trPr>
          <w:cnfStyle w:val="100000000000" w:firstRow="1" w:lastRow="0" w:firstColumn="0" w:lastColumn="0" w:oddVBand="0" w:evenVBand="0" w:oddHBand="0" w:evenHBand="0" w:firstRowFirstColumn="0" w:firstRowLastColumn="0" w:lastRowFirstColumn="0" w:lastRowLastColumn="0"/>
          <w:tblHeader/>
        </w:trPr>
        <w:tc>
          <w:tcPr>
            <w:tcW w:w="0" w:type="auto"/>
            <w:gridSpan w:val="2"/>
            <w:tcBorders>
              <w:bottom w:val="nil"/>
            </w:tcBorders>
          </w:tcPr>
          <w:p w14:paraId="5C615EDB" w14:textId="77777777" w:rsidR="003C699D" w:rsidRPr="00FE73DE" w:rsidRDefault="003C699D" w:rsidP="009F7300">
            <w:pPr>
              <w:spacing w:before="40" w:after="40" w:line="240" w:lineRule="auto"/>
            </w:pPr>
            <w:r w:rsidRPr="00FE73DE">
              <w:t>Characteristics</w:t>
            </w:r>
          </w:p>
        </w:tc>
        <w:tc>
          <w:tcPr>
            <w:tcW w:w="0" w:type="auto"/>
            <w:gridSpan w:val="2"/>
            <w:tcBorders>
              <w:bottom w:val="nil"/>
            </w:tcBorders>
          </w:tcPr>
          <w:p w14:paraId="1E80ED33" w14:textId="77777777" w:rsidR="003C699D" w:rsidRPr="00FE73DE" w:rsidRDefault="003C699D" w:rsidP="009F7300">
            <w:pPr>
              <w:spacing w:before="40" w:after="40" w:line="240" w:lineRule="auto"/>
              <w:jc w:val="center"/>
            </w:pPr>
            <w:r w:rsidRPr="00FE73DE">
              <w:t>Responses</w:t>
            </w:r>
          </w:p>
        </w:tc>
      </w:tr>
      <w:tr w:rsidR="003C699D" w:rsidRPr="00FE73DE" w14:paraId="2FE13E67" w14:textId="77777777" w:rsidTr="009F7300">
        <w:tc>
          <w:tcPr>
            <w:tcW w:w="0" w:type="auto"/>
            <w:vMerge w:val="restart"/>
            <w:tcBorders>
              <w:top w:val="nil"/>
              <w:bottom w:val="nil"/>
            </w:tcBorders>
            <w:vAlign w:val="center"/>
          </w:tcPr>
          <w:p w14:paraId="6CB6B965" w14:textId="77777777" w:rsidR="003C699D" w:rsidRPr="00FE73DE" w:rsidRDefault="003C699D" w:rsidP="009F7300">
            <w:pPr>
              <w:spacing w:before="40" w:after="40" w:line="240" w:lineRule="auto"/>
              <w:jc w:val="left"/>
              <w:rPr>
                <w:b/>
                <w:bCs/>
                <w:sz w:val="20"/>
                <w:szCs w:val="20"/>
              </w:rPr>
            </w:pPr>
            <w:r w:rsidRPr="00FE73DE">
              <w:rPr>
                <w:b/>
                <w:bCs/>
                <w:sz w:val="20"/>
                <w:szCs w:val="20"/>
              </w:rPr>
              <w:t>Age</w:t>
            </w:r>
          </w:p>
        </w:tc>
        <w:tc>
          <w:tcPr>
            <w:tcW w:w="0" w:type="auto"/>
            <w:tcBorders>
              <w:top w:val="nil"/>
              <w:bottom w:val="nil"/>
            </w:tcBorders>
          </w:tcPr>
          <w:p w14:paraId="38F33DD2"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25 - 30 years old</w:t>
            </w:r>
          </w:p>
        </w:tc>
        <w:tc>
          <w:tcPr>
            <w:tcW w:w="0" w:type="auto"/>
            <w:tcBorders>
              <w:top w:val="nil"/>
              <w:bottom w:val="nil"/>
            </w:tcBorders>
          </w:tcPr>
          <w:p w14:paraId="66976AF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0" w:type="auto"/>
            <w:tcBorders>
              <w:top w:val="nil"/>
              <w:bottom w:val="nil"/>
            </w:tcBorders>
          </w:tcPr>
          <w:p w14:paraId="59EE8E98"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4.23%</w:t>
            </w:r>
          </w:p>
        </w:tc>
      </w:tr>
      <w:tr w:rsidR="003C699D" w:rsidRPr="00FE73DE" w14:paraId="75E8F89C"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6F23BF72"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497463F0"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31 - 35 years old</w:t>
            </w:r>
          </w:p>
        </w:tc>
        <w:tc>
          <w:tcPr>
            <w:tcW w:w="0" w:type="auto"/>
            <w:tcBorders>
              <w:top w:val="nil"/>
              <w:bottom w:val="nil"/>
            </w:tcBorders>
          </w:tcPr>
          <w:p w14:paraId="112ABAD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tcPr>
          <w:p w14:paraId="2F4E9CF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5.63%</w:t>
            </w:r>
          </w:p>
        </w:tc>
      </w:tr>
      <w:tr w:rsidR="003C699D" w:rsidRPr="00FE73DE" w14:paraId="7DEB9C40" w14:textId="77777777" w:rsidTr="009F7300">
        <w:tc>
          <w:tcPr>
            <w:tcW w:w="0" w:type="auto"/>
            <w:vMerge/>
            <w:tcBorders>
              <w:top w:val="nil"/>
              <w:bottom w:val="nil"/>
            </w:tcBorders>
            <w:vAlign w:val="center"/>
          </w:tcPr>
          <w:p w14:paraId="0596780E"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78885C77"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36 - 40 years old</w:t>
            </w:r>
          </w:p>
        </w:tc>
        <w:tc>
          <w:tcPr>
            <w:tcW w:w="0" w:type="auto"/>
            <w:tcBorders>
              <w:top w:val="nil"/>
              <w:bottom w:val="nil"/>
            </w:tcBorders>
          </w:tcPr>
          <w:p w14:paraId="225047F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w:t>
            </w:r>
          </w:p>
        </w:tc>
        <w:tc>
          <w:tcPr>
            <w:tcW w:w="0" w:type="auto"/>
            <w:tcBorders>
              <w:top w:val="nil"/>
              <w:bottom w:val="nil"/>
            </w:tcBorders>
          </w:tcPr>
          <w:p w14:paraId="7CE525E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19.72%</w:t>
            </w:r>
          </w:p>
        </w:tc>
      </w:tr>
      <w:tr w:rsidR="003C699D" w:rsidRPr="00FE73DE" w14:paraId="76422712"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52D65057"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02D4F4A6"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41 - 45 years old</w:t>
            </w:r>
          </w:p>
        </w:tc>
        <w:tc>
          <w:tcPr>
            <w:tcW w:w="0" w:type="auto"/>
            <w:tcBorders>
              <w:top w:val="nil"/>
              <w:bottom w:val="nil"/>
            </w:tcBorders>
          </w:tcPr>
          <w:p w14:paraId="3EBA2C0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10</w:t>
            </w:r>
          </w:p>
        </w:tc>
        <w:tc>
          <w:tcPr>
            <w:tcW w:w="0" w:type="auto"/>
            <w:tcBorders>
              <w:top w:val="nil"/>
              <w:bottom w:val="nil"/>
            </w:tcBorders>
          </w:tcPr>
          <w:p w14:paraId="073779A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14.08%</w:t>
            </w:r>
          </w:p>
        </w:tc>
      </w:tr>
      <w:tr w:rsidR="003C699D" w:rsidRPr="00FE73DE" w14:paraId="330B48A5" w14:textId="77777777" w:rsidTr="009F7300">
        <w:tc>
          <w:tcPr>
            <w:tcW w:w="0" w:type="auto"/>
            <w:vMerge/>
            <w:tcBorders>
              <w:top w:val="nil"/>
              <w:bottom w:val="nil"/>
            </w:tcBorders>
            <w:vAlign w:val="center"/>
          </w:tcPr>
          <w:p w14:paraId="62E1DAF8"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0D9A38A2"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46 - 50 years old</w:t>
            </w:r>
          </w:p>
        </w:tc>
        <w:tc>
          <w:tcPr>
            <w:tcW w:w="0" w:type="auto"/>
            <w:tcBorders>
              <w:top w:val="nil"/>
              <w:bottom w:val="nil"/>
            </w:tcBorders>
          </w:tcPr>
          <w:p w14:paraId="707B5ED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0" w:type="auto"/>
            <w:tcBorders>
              <w:top w:val="nil"/>
              <w:bottom w:val="nil"/>
            </w:tcBorders>
          </w:tcPr>
          <w:p w14:paraId="47F23C9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12.68%</w:t>
            </w:r>
          </w:p>
        </w:tc>
      </w:tr>
      <w:tr w:rsidR="003C699D" w:rsidRPr="00FE73DE" w14:paraId="0015EB5E"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52EEA8F9"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28D539CA"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51 - 55 years old</w:t>
            </w:r>
          </w:p>
        </w:tc>
        <w:tc>
          <w:tcPr>
            <w:tcW w:w="0" w:type="auto"/>
            <w:tcBorders>
              <w:top w:val="nil"/>
              <w:bottom w:val="nil"/>
            </w:tcBorders>
          </w:tcPr>
          <w:p w14:paraId="1716D25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11</w:t>
            </w:r>
          </w:p>
        </w:tc>
        <w:tc>
          <w:tcPr>
            <w:tcW w:w="0" w:type="auto"/>
            <w:tcBorders>
              <w:top w:val="nil"/>
              <w:bottom w:val="nil"/>
            </w:tcBorders>
          </w:tcPr>
          <w:p w14:paraId="6190839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15.49%</w:t>
            </w:r>
          </w:p>
        </w:tc>
      </w:tr>
      <w:tr w:rsidR="003C699D" w:rsidRPr="00FE73DE" w14:paraId="195771FA" w14:textId="77777777" w:rsidTr="009F7300">
        <w:tc>
          <w:tcPr>
            <w:tcW w:w="0" w:type="auto"/>
            <w:vMerge/>
            <w:tcBorders>
              <w:top w:val="nil"/>
              <w:bottom w:val="nil"/>
            </w:tcBorders>
            <w:vAlign w:val="center"/>
          </w:tcPr>
          <w:p w14:paraId="63F313A4"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7F457802"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56 - 60 years old</w:t>
            </w:r>
          </w:p>
        </w:tc>
        <w:tc>
          <w:tcPr>
            <w:tcW w:w="0" w:type="auto"/>
            <w:tcBorders>
              <w:top w:val="nil"/>
              <w:bottom w:val="nil"/>
            </w:tcBorders>
          </w:tcPr>
          <w:p w14:paraId="2719CEC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8</w:t>
            </w:r>
          </w:p>
        </w:tc>
        <w:tc>
          <w:tcPr>
            <w:tcW w:w="0" w:type="auto"/>
            <w:tcBorders>
              <w:top w:val="nil"/>
              <w:bottom w:val="nil"/>
            </w:tcBorders>
          </w:tcPr>
          <w:p w14:paraId="241D767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11.27%</w:t>
            </w:r>
          </w:p>
        </w:tc>
      </w:tr>
      <w:tr w:rsidR="003C699D" w:rsidRPr="00FE73DE" w14:paraId="52AA35FF"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single" w:sz="4" w:space="0" w:color="6B818C" w:themeColor="accent5"/>
            </w:tcBorders>
            <w:vAlign w:val="center"/>
          </w:tcPr>
          <w:p w14:paraId="4ABC521F"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35A741F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Over 60 years old</w:t>
            </w:r>
          </w:p>
        </w:tc>
        <w:tc>
          <w:tcPr>
            <w:tcW w:w="0" w:type="auto"/>
            <w:tcBorders>
              <w:top w:val="nil"/>
              <w:bottom w:val="single" w:sz="4" w:space="0" w:color="6B818C" w:themeColor="accent5"/>
            </w:tcBorders>
          </w:tcPr>
          <w:p w14:paraId="6C9B286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12</w:t>
            </w:r>
          </w:p>
        </w:tc>
        <w:tc>
          <w:tcPr>
            <w:tcW w:w="0" w:type="auto"/>
            <w:tcBorders>
              <w:top w:val="nil"/>
              <w:bottom w:val="single" w:sz="4" w:space="0" w:color="6B818C" w:themeColor="accent5"/>
            </w:tcBorders>
          </w:tcPr>
          <w:p w14:paraId="1769D8A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16.90%</w:t>
            </w:r>
          </w:p>
        </w:tc>
      </w:tr>
      <w:tr w:rsidR="003C699D" w:rsidRPr="00FE73DE" w14:paraId="684AECCB" w14:textId="77777777" w:rsidTr="009F7300">
        <w:tc>
          <w:tcPr>
            <w:tcW w:w="0" w:type="auto"/>
            <w:vMerge w:val="restart"/>
            <w:tcBorders>
              <w:top w:val="single" w:sz="4" w:space="0" w:color="6B818C" w:themeColor="accent5"/>
              <w:bottom w:val="nil"/>
            </w:tcBorders>
            <w:vAlign w:val="center"/>
          </w:tcPr>
          <w:p w14:paraId="66E6469C" w14:textId="77777777" w:rsidR="003C699D" w:rsidRPr="00FE73DE" w:rsidRDefault="003C699D" w:rsidP="009F7300">
            <w:pPr>
              <w:spacing w:before="40" w:after="40" w:line="240" w:lineRule="auto"/>
              <w:jc w:val="left"/>
              <w:rPr>
                <w:b/>
                <w:bCs/>
                <w:sz w:val="20"/>
                <w:szCs w:val="20"/>
              </w:rPr>
            </w:pPr>
            <w:r w:rsidRPr="00FE73DE">
              <w:rPr>
                <w:b/>
                <w:bCs/>
                <w:sz w:val="20"/>
                <w:szCs w:val="20"/>
              </w:rPr>
              <w:t>Gender</w:t>
            </w:r>
          </w:p>
        </w:tc>
        <w:tc>
          <w:tcPr>
            <w:tcW w:w="0" w:type="auto"/>
            <w:tcBorders>
              <w:top w:val="single" w:sz="4" w:space="0" w:color="6B818C" w:themeColor="accent5"/>
              <w:bottom w:val="nil"/>
            </w:tcBorders>
          </w:tcPr>
          <w:p w14:paraId="2B2FB9BF"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 identify in some other way (please specify)</w:t>
            </w:r>
          </w:p>
        </w:tc>
        <w:tc>
          <w:tcPr>
            <w:tcW w:w="0" w:type="auto"/>
            <w:tcBorders>
              <w:top w:val="single" w:sz="4" w:space="0" w:color="6B818C" w:themeColor="accent5"/>
              <w:bottom w:val="nil"/>
            </w:tcBorders>
          </w:tcPr>
          <w:p w14:paraId="60F59D8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single" w:sz="4" w:space="0" w:color="6B818C" w:themeColor="accent5"/>
              <w:bottom w:val="nil"/>
            </w:tcBorders>
          </w:tcPr>
          <w:p w14:paraId="49A8B59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1.41%</w:t>
            </w:r>
          </w:p>
        </w:tc>
      </w:tr>
      <w:tr w:rsidR="003C699D" w:rsidRPr="00FE73DE" w14:paraId="2333BC50"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1D6B1585"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302546C4"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Man</w:t>
            </w:r>
          </w:p>
        </w:tc>
        <w:tc>
          <w:tcPr>
            <w:tcW w:w="0" w:type="auto"/>
            <w:tcBorders>
              <w:top w:val="nil"/>
              <w:bottom w:val="nil"/>
            </w:tcBorders>
          </w:tcPr>
          <w:p w14:paraId="2118909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42</w:t>
            </w:r>
          </w:p>
        </w:tc>
        <w:tc>
          <w:tcPr>
            <w:tcW w:w="0" w:type="auto"/>
            <w:tcBorders>
              <w:top w:val="nil"/>
              <w:bottom w:val="nil"/>
            </w:tcBorders>
          </w:tcPr>
          <w:p w14:paraId="466EC97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59.15%</w:t>
            </w:r>
          </w:p>
        </w:tc>
      </w:tr>
      <w:tr w:rsidR="003C699D" w:rsidRPr="00FE73DE" w14:paraId="7EA3A160" w14:textId="77777777" w:rsidTr="009F7300">
        <w:tc>
          <w:tcPr>
            <w:tcW w:w="0" w:type="auto"/>
            <w:vMerge/>
            <w:tcBorders>
              <w:top w:val="nil"/>
              <w:bottom w:val="single" w:sz="4" w:space="0" w:color="6B818C" w:themeColor="accent5"/>
            </w:tcBorders>
            <w:vAlign w:val="center"/>
          </w:tcPr>
          <w:p w14:paraId="12CC19FD"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3B0DB8F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Woman</w:t>
            </w:r>
          </w:p>
        </w:tc>
        <w:tc>
          <w:tcPr>
            <w:tcW w:w="0" w:type="auto"/>
            <w:tcBorders>
              <w:top w:val="nil"/>
              <w:bottom w:val="single" w:sz="4" w:space="0" w:color="6B818C" w:themeColor="accent5"/>
            </w:tcBorders>
          </w:tcPr>
          <w:p w14:paraId="187E464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w:t>
            </w:r>
          </w:p>
        </w:tc>
        <w:tc>
          <w:tcPr>
            <w:tcW w:w="0" w:type="auto"/>
            <w:tcBorders>
              <w:top w:val="nil"/>
              <w:bottom w:val="single" w:sz="4" w:space="0" w:color="6B818C" w:themeColor="accent5"/>
            </w:tcBorders>
          </w:tcPr>
          <w:p w14:paraId="3F5A19F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39.44%</w:t>
            </w:r>
          </w:p>
        </w:tc>
      </w:tr>
      <w:tr w:rsidR="003C699D" w:rsidRPr="00FE73DE" w14:paraId="04D1CB2D"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6B818C" w:themeColor="accent5"/>
              <w:bottom w:val="nil"/>
            </w:tcBorders>
            <w:shd w:val="clear" w:color="auto" w:fill="auto"/>
            <w:vAlign w:val="center"/>
          </w:tcPr>
          <w:p w14:paraId="6672CEFE" w14:textId="77777777" w:rsidR="003C699D" w:rsidRPr="00FE73DE" w:rsidRDefault="003C699D" w:rsidP="009F7300">
            <w:pPr>
              <w:spacing w:before="40" w:after="40" w:line="240" w:lineRule="auto"/>
              <w:jc w:val="left"/>
              <w:rPr>
                <w:b/>
                <w:bCs/>
                <w:sz w:val="20"/>
                <w:szCs w:val="20"/>
              </w:rPr>
            </w:pPr>
            <w:r w:rsidRPr="00FE73DE">
              <w:rPr>
                <w:b/>
                <w:bCs/>
                <w:sz w:val="20"/>
                <w:szCs w:val="20"/>
              </w:rPr>
              <w:t>Role</w:t>
            </w:r>
          </w:p>
        </w:tc>
        <w:tc>
          <w:tcPr>
            <w:tcW w:w="0" w:type="auto"/>
            <w:tcBorders>
              <w:top w:val="single" w:sz="4" w:space="0" w:color="6B818C" w:themeColor="accent5"/>
              <w:bottom w:val="nil"/>
            </w:tcBorders>
          </w:tcPr>
          <w:p w14:paraId="5D7BCE7F"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Chief financial officer</w:t>
            </w:r>
          </w:p>
        </w:tc>
        <w:tc>
          <w:tcPr>
            <w:tcW w:w="0" w:type="auto"/>
            <w:tcBorders>
              <w:top w:val="single" w:sz="4" w:space="0" w:color="6B818C" w:themeColor="accent5"/>
              <w:bottom w:val="nil"/>
            </w:tcBorders>
          </w:tcPr>
          <w:p w14:paraId="71ADD16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single" w:sz="4" w:space="0" w:color="6B818C" w:themeColor="accent5"/>
              <w:bottom w:val="nil"/>
            </w:tcBorders>
          </w:tcPr>
          <w:p w14:paraId="344637A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1.41%</w:t>
            </w:r>
          </w:p>
        </w:tc>
      </w:tr>
      <w:tr w:rsidR="003C699D" w:rsidRPr="00FE73DE" w14:paraId="6C67F483" w14:textId="77777777" w:rsidTr="009F7300">
        <w:tc>
          <w:tcPr>
            <w:tcW w:w="0" w:type="auto"/>
            <w:vMerge/>
            <w:tcBorders>
              <w:top w:val="nil"/>
              <w:bottom w:val="nil"/>
            </w:tcBorders>
            <w:shd w:val="clear" w:color="auto" w:fill="auto"/>
            <w:vAlign w:val="center"/>
          </w:tcPr>
          <w:p w14:paraId="7F6C3817"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75B0B3C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Joint business owner</w:t>
            </w:r>
          </w:p>
        </w:tc>
        <w:tc>
          <w:tcPr>
            <w:tcW w:w="0" w:type="auto"/>
            <w:tcBorders>
              <w:top w:val="nil"/>
              <w:bottom w:val="nil"/>
            </w:tcBorders>
          </w:tcPr>
          <w:p w14:paraId="16EDC90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18</w:t>
            </w:r>
          </w:p>
        </w:tc>
        <w:tc>
          <w:tcPr>
            <w:tcW w:w="0" w:type="auto"/>
            <w:tcBorders>
              <w:top w:val="nil"/>
              <w:bottom w:val="nil"/>
            </w:tcBorders>
          </w:tcPr>
          <w:p w14:paraId="3B454B5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25.35%</w:t>
            </w:r>
          </w:p>
        </w:tc>
      </w:tr>
      <w:tr w:rsidR="003C699D" w:rsidRPr="00FE73DE" w14:paraId="234014FE"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shd w:val="clear" w:color="auto" w:fill="auto"/>
            <w:vAlign w:val="center"/>
          </w:tcPr>
          <w:p w14:paraId="6B1C305C"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3378337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Other (please specify)</w:t>
            </w:r>
          </w:p>
        </w:tc>
        <w:tc>
          <w:tcPr>
            <w:tcW w:w="0" w:type="auto"/>
            <w:tcBorders>
              <w:top w:val="nil"/>
              <w:bottom w:val="nil"/>
            </w:tcBorders>
          </w:tcPr>
          <w:p w14:paraId="255BCB7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tcPr>
          <w:p w14:paraId="4D99E05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7.04%</w:t>
            </w:r>
          </w:p>
        </w:tc>
      </w:tr>
      <w:tr w:rsidR="003C699D" w:rsidRPr="00FE73DE" w14:paraId="117D5D51" w14:textId="77777777" w:rsidTr="009F7300">
        <w:tc>
          <w:tcPr>
            <w:tcW w:w="0" w:type="auto"/>
            <w:vMerge/>
            <w:tcBorders>
              <w:top w:val="nil"/>
              <w:bottom w:val="nil"/>
            </w:tcBorders>
            <w:shd w:val="clear" w:color="auto" w:fill="auto"/>
            <w:vAlign w:val="center"/>
          </w:tcPr>
          <w:p w14:paraId="6C720E44"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6E9A372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Senior manager</w:t>
            </w:r>
          </w:p>
        </w:tc>
        <w:tc>
          <w:tcPr>
            <w:tcW w:w="0" w:type="auto"/>
            <w:tcBorders>
              <w:top w:val="nil"/>
              <w:bottom w:val="nil"/>
            </w:tcBorders>
          </w:tcPr>
          <w:p w14:paraId="2D435F3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tcPr>
          <w:p w14:paraId="0CA783F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5.63%</w:t>
            </w:r>
          </w:p>
        </w:tc>
      </w:tr>
      <w:tr w:rsidR="003C699D" w:rsidRPr="00FE73DE" w14:paraId="317D07DE"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single" w:sz="4" w:space="0" w:color="6B818C" w:themeColor="accent5"/>
            </w:tcBorders>
            <w:shd w:val="clear" w:color="auto" w:fill="auto"/>
            <w:vAlign w:val="center"/>
          </w:tcPr>
          <w:p w14:paraId="117198B6"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4DFC3F01"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Sole business owner</w:t>
            </w:r>
          </w:p>
        </w:tc>
        <w:tc>
          <w:tcPr>
            <w:tcW w:w="0" w:type="auto"/>
            <w:tcBorders>
              <w:top w:val="nil"/>
              <w:bottom w:val="single" w:sz="4" w:space="0" w:color="6B818C" w:themeColor="accent5"/>
            </w:tcBorders>
          </w:tcPr>
          <w:p w14:paraId="6109EEB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43</w:t>
            </w:r>
          </w:p>
        </w:tc>
        <w:tc>
          <w:tcPr>
            <w:tcW w:w="0" w:type="auto"/>
            <w:tcBorders>
              <w:top w:val="nil"/>
              <w:bottom w:val="single" w:sz="4" w:space="0" w:color="6B818C" w:themeColor="accent5"/>
            </w:tcBorders>
          </w:tcPr>
          <w:p w14:paraId="5518BFA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60.56%</w:t>
            </w:r>
          </w:p>
        </w:tc>
      </w:tr>
      <w:tr w:rsidR="003C699D" w:rsidRPr="00FE73DE" w14:paraId="724AE2D4" w14:textId="77777777" w:rsidTr="009F7300">
        <w:tc>
          <w:tcPr>
            <w:tcW w:w="0" w:type="auto"/>
            <w:vMerge w:val="restart"/>
            <w:tcBorders>
              <w:top w:val="single" w:sz="4" w:space="0" w:color="6B818C" w:themeColor="accent5"/>
              <w:bottom w:val="nil"/>
            </w:tcBorders>
            <w:vAlign w:val="center"/>
          </w:tcPr>
          <w:p w14:paraId="24A38AD8" w14:textId="77777777" w:rsidR="003C699D" w:rsidRPr="00FE73DE" w:rsidRDefault="003C699D" w:rsidP="009F7300">
            <w:pPr>
              <w:spacing w:before="40" w:after="40" w:line="240" w:lineRule="auto"/>
              <w:jc w:val="left"/>
              <w:rPr>
                <w:b/>
                <w:bCs/>
                <w:sz w:val="20"/>
                <w:szCs w:val="20"/>
              </w:rPr>
            </w:pPr>
            <w:r w:rsidRPr="00FE73DE">
              <w:rPr>
                <w:b/>
                <w:bCs/>
                <w:sz w:val="20"/>
                <w:szCs w:val="20"/>
              </w:rPr>
              <w:t xml:space="preserve">Length of business operation </w:t>
            </w:r>
          </w:p>
        </w:tc>
        <w:tc>
          <w:tcPr>
            <w:tcW w:w="0" w:type="auto"/>
            <w:tcBorders>
              <w:top w:val="single" w:sz="4" w:space="0" w:color="6B818C" w:themeColor="accent5"/>
              <w:bottom w:val="nil"/>
            </w:tcBorders>
          </w:tcPr>
          <w:p w14:paraId="311246FA"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Less than 1 year</w:t>
            </w:r>
          </w:p>
        </w:tc>
        <w:tc>
          <w:tcPr>
            <w:tcW w:w="0" w:type="auto"/>
            <w:tcBorders>
              <w:top w:val="single" w:sz="4" w:space="0" w:color="6B818C" w:themeColor="accent5"/>
              <w:bottom w:val="nil"/>
            </w:tcBorders>
          </w:tcPr>
          <w:p w14:paraId="2539BBB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single" w:sz="4" w:space="0" w:color="6B818C" w:themeColor="accent5"/>
              <w:bottom w:val="nil"/>
            </w:tcBorders>
          </w:tcPr>
          <w:p w14:paraId="32E4101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7.04%</w:t>
            </w:r>
          </w:p>
        </w:tc>
      </w:tr>
      <w:tr w:rsidR="003C699D" w:rsidRPr="00FE73DE" w14:paraId="32EBF079"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3DECC4FE"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3F4E265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 to 2 years</w:t>
            </w:r>
          </w:p>
        </w:tc>
        <w:tc>
          <w:tcPr>
            <w:tcW w:w="0" w:type="auto"/>
            <w:tcBorders>
              <w:top w:val="nil"/>
              <w:bottom w:val="nil"/>
            </w:tcBorders>
          </w:tcPr>
          <w:p w14:paraId="342241F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tcPr>
          <w:p w14:paraId="214A1A9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7.04%</w:t>
            </w:r>
          </w:p>
        </w:tc>
      </w:tr>
      <w:tr w:rsidR="003C699D" w:rsidRPr="00FE73DE" w14:paraId="1A93EA94" w14:textId="77777777" w:rsidTr="009F7300">
        <w:tc>
          <w:tcPr>
            <w:tcW w:w="0" w:type="auto"/>
            <w:vMerge/>
            <w:tcBorders>
              <w:top w:val="nil"/>
              <w:bottom w:val="nil"/>
            </w:tcBorders>
            <w:vAlign w:val="center"/>
          </w:tcPr>
          <w:p w14:paraId="207519F7"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4771E19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 to 5 years</w:t>
            </w:r>
          </w:p>
        </w:tc>
        <w:tc>
          <w:tcPr>
            <w:tcW w:w="0" w:type="auto"/>
            <w:tcBorders>
              <w:top w:val="nil"/>
              <w:bottom w:val="nil"/>
            </w:tcBorders>
          </w:tcPr>
          <w:p w14:paraId="76E71A1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23</w:t>
            </w:r>
          </w:p>
        </w:tc>
        <w:tc>
          <w:tcPr>
            <w:tcW w:w="0" w:type="auto"/>
            <w:tcBorders>
              <w:top w:val="nil"/>
              <w:bottom w:val="nil"/>
            </w:tcBorders>
          </w:tcPr>
          <w:p w14:paraId="1ADFE65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32.39%</w:t>
            </w:r>
          </w:p>
        </w:tc>
      </w:tr>
      <w:tr w:rsidR="003C699D" w:rsidRPr="00FE73DE" w14:paraId="7A8E4406"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379ADCE0"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4B183E3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 to 10 years</w:t>
            </w:r>
          </w:p>
        </w:tc>
        <w:tc>
          <w:tcPr>
            <w:tcW w:w="0" w:type="auto"/>
            <w:tcBorders>
              <w:top w:val="nil"/>
              <w:bottom w:val="nil"/>
            </w:tcBorders>
          </w:tcPr>
          <w:p w14:paraId="7C1695D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19</w:t>
            </w:r>
          </w:p>
        </w:tc>
        <w:tc>
          <w:tcPr>
            <w:tcW w:w="0" w:type="auto"/>
            <w:tcBorders>
              <w:top w:val="nil"/>
              <w:bottom w:val="nil"/>
            </w:tcBorders>
          </w:tcPr>
          <w:p w14:paraId="097F7A9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26.76%</w:t>
            </w:r>
          </w:p>
        </w:tc>
      </w:tr>
      <w:tr w:rsidR="003C699D" w:rsidRPr="00FE73DE" w14:paraId="32DFD898" w14:textId="77777777" w:rsidTr="009F7300">
        <w:tc>
          <w:tcPr>
            <w:tcW w:w="0" w:type="auto"/>
            <w:vMerge/>
            <w:tcBorders>
              <w:top w:val="nil"/>
              <w:bottom w:val="nil"/>
            </w:tcBorders>
            <w:vAlign w:val="center"/>
          </w:tcPr>
          <w:p w14:paraId="3ED4863A"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7A2E3635"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Greater than 10 years</w:t>
            </w:r>
          </w:p>
        </w:tc>
        <w:tc>
          <w:tcPr>
            <w:tcW w:w="0" w:type="auto"/>
            <w:tcBorders>
              <w:top w:val="nil"/>
              <w:bottom w:val="nil"/>
            </w:tcBorders>
          </w:tcPr>
          <w:p w14:paraId="59E298F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18</w:t>
            </w:r>
          </w:p>
        </w:tc>
        <w:tc>
          <w:tcPr>
            <w:tcW w:w="0" w:type="auto"/>
            <w:tcBorders>
              <w:top w:val="nil"/>
              <w:bottom w:val="nil"/>
            </w:tcBorders>
          </w:tcPr>
          <w:p w14:paraId="65135CE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25.35%</w:t>
            </w:r>
          </w:p>
        </w:tc>
      </w:tr>
      <w:tr w:rsidR="003C699D" w:rsidRPr="00FE73DE" w14:paraId="4E3B568C"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single" w:sz="4" w:space="0" w:color="6B818C" w:themeColor="accent5"/>
            </w:tcBorders>
            <w:vAlign w:val="center"/>
          </w:tcPr>
          <w:p w14:paraId="50850E6B"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1B86F87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Do not recall</w:t>
            </w:r>
          </w:p>
        </w:tc>
        <w:tc>
          <w:tcPr>
            <w:tcW w:w="0" w:type="auto"/>
            <w:tcBorders>
              <w:top w:val="nil"/>
              <w:bottom w:val="single" w:sz="4" w:space="0" w:color="6B818C" w:themeColor="accent5"/>
            </w:tcBorders>
          </w:tcPr>
          <w:p w14:paraId="23F7902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single" w:sz="4" w:space="0" w:color="6B818C" w:themeColor="accent5"/>
            </w:tcBorders>
          </w:tcPr>
          <w:p w14:paraId="6B62F419"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1.41%</w:t>
            </w:r>
          </w:p>
        </w:tc>
      </w:tr>
      <w:tr w:rsidR="003C699D" w:rsidRPr="00FE73DE" w14:paraId="5E96E4DC" w14:textId="77777777" w:rsidTr="009F7300">
        <w:tc>
          <w:tcPr>
            <w:tcW w:w="0" w:type="auto"/>
            <w:vMerge w:val="restart"/>
            <w:tcBorders>
              <w:top w:val="single" w:sz="4" w:space="0" w:color="6B818C" w:themeColor="accent5"/>
              <w:bottom w:val="nil"/>
            </w:tcBorders>
            <w:vAlign w:val="center"/>
          </w:tcPr>
          <w:p w14:paraId="55740F40" w14:textId="77777777" w:rsidR="003C699D" w:rsidRPr="00FE73DE" w:rsidRDefault="003C699D" w:rsidP="009F7300">
            <w:pPr>
              <w:spacing w:before="40" w:after="40" w:line="240" w:lineRule="auto"/>
              <w:jc w:val="left"/>
              <w:rPr>
                <w:b/>
                <w:bCs/>
                <w:sz w:val="20"/>
                <w:szCs w:val="20"/>
              </w:rPr>
            </w:pPr>
            <w:r w:rsidRPr="00FE73DE">
              <w:rPr>
                <w:b/>
                <w:bCs/>
                <w:sz w:val="20"/>
                <w:szCs w:val="20"/>
              </w:rPr>
              <w:t>State / Territory (primary location)</w:t>
            </w:r>
          </w:p>
        </w:tc>
        <w:tc>
          <w:tcPr>
            <w:tcW w:w="0" w:type="auto"/>
            <w:tcBorders>
              <w:top w:val="single" w:sz="4" w:space="0" w:color="6B818C" w:themeColor="accent5"/>
              <w:bottom w:val="nil"/>
            </w:tcBorders>
          </w:tcPr>
          <w:p w14:paraId="6079F4A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ACT</w:t>
            </w:r>
          </w:p>
        </w:tc>
        <w:tc>
          <w:tcPr>
            <w:tcW w:w="0" w:type="auto"/>
            <w:tcBorders>
              <w:top w:val="single" w:sz="4" w:space="0" w:color="6B818C" w:themeColor="accent5"/>
              <w:bottom w:val="nil"/>
            </w:tcBorders>
          </w:tcPr>
          <w:p w14:paraId="41AB5B7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single" w:sz="4" w:space="0" w:color="6B818C" w:themeColor="accent5"/>
              <w:bottom w:val="nil"/>
            </w:tcBorders>
          </w:tcPr>
          <w:p w14:paraId="65E007C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2.82%</w:t>
            </w:r>
          </w:p>
        </w:tc>
      </w:tr>
      <w:tr w:rsidR="003C699D" w:rsidRPr="00FE73DE" w14:paraId="10580036"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5DD6B306"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109EC4A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NSW</w:t>
            </w:r>
          </w:p>
        </w:tc>
        <w:tc>
          <w:tcPr>
            <w:tcW w:w="0" w:type="auto"/>
            <w:tcBorders>
              <w:top w:val="nil"/>
              <w:bottom w:val="nil"/>
            </w:tcBorders>
          </w:tcPr>
          <w:p w14:paraId="35E9E0A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w:t>
            </w:r>
          </w:p>
        </w:tc>
        <w:tc>
          <w:tcPr>
            <w:tcW w:w="0" w:type="auto"/>
            <w:tcBorders>
              <w:top w:val="nil"/>
              <w:bottom w:val="nil"/>
            </w:tcBorders>
          </w:tcPr>
          <w:p w14:paraId="685B444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9.86%</w:t>
            </w:r>
          </w:p>
        </w:tc>
      </w:tr>
      <w:tr w:rsidR="003C699D" w:rsidRPr="00FE73DE" w14:paraId="19F26D0A" w14:textId="77777777" w:rsidTr="009F7300">
        <w:tc>
          <w:tcPr>
            <w:tcW w:w="0" w:type="auto"/>
            <w:vMerge/>
            <w:tcBorders>
              <w:top w:val="nil"/>
              <w:bottom w:val="nil"/>
            </w:tcBorders>
            <w:vAlign w:val="center"/>
          </w:tcPr>
          <w:p w14:paraId="1B0CE0F9"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581F83A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NT</w:t>
            </w:r>
          </w:p>
        </w:tc>
        <w:tc>
          <w:tcPr>
            <w:tcW w:w="0" w:type="auto"/>
            <w:tcBorders>
              <w:top w:val="nil"/>
              <w:bottom w:val="nil"/>
            </w:tcBorders>
          </w:tcPr>
          <w:p w14:paraId="4C0982C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tcPr>
          <w:p w14:paraId="23EB6E4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7.04%</w:t>
            </w:r>
          </w:p>
        </w:tc>
      </w:tr>
      <w:tr w:rsidR="003C699D" w:rsidRPr="00FE73DE" w14:paraId="46B0FA37"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044DEAE8"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3C398AB1"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QLD</w:t>
            </w:r>
          </w:p>
        </w:tc>
        <w:tc>
          <w:tcPr>
            <w:tcW w:w="0" w:type="auto"/>
            <w:tcBorders>
              <w:top w:val="nil"/>
              <w:bottom w:val="nil"/>
            </w:tcBorders>
          </w:tcPr>
          <w:p w14:paraId="068A7BE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18</w:t>
            </w:r>
          </w:p>
        </w:tc>
        <w:tc>
          <w:tcPr>
            <w:tcW w:w="0" w:type="auto"/>
            <w:tcBorders>
              <w:top w:val="nil"/>
              <w:bottom w:val="nil"/>
            </w:tcBorders>
          </w:tcPr>
          <w:p w14:paraId="09C0DB7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25.35%</w:t>
            </w:r>
          </w:p>
        </w:tc>
      </w:tr>
      <w:tr w:rsidR="003C699D" w:rsidRPr="00FE73DE" w14:paraId="2160E5BE" w14:textId="77777777" w:rsidTr="009F7300">
        <w:tc>
          <w:tcPr>
            <w:tcW w:w="0" w:type="auto"/>
            <w:vMerge/>
            <w:tcBorders>
              <w:top w:val="nil"/>
              <w:bottom w:val="nil"/>
            </w:tcBorders>
            <w:vAlign w:val="center"/>
          </w:tcPr>
          <w:p w14:paraId="0E7BE57A"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421F367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SA</w:t>
            </w:r>
          </w:p>
        </w:tc>
        <w:tc>
          <w:tcPr>
            <w:tcW w:w="0" w:type="auto"/>
            <w:tcBorders>
              <w:top w:val="nil"/>
              <w:bottom w:val="nil"/>
            </w:tcBorders>
          </w:tcPr>
          <w:p w14:paraId="42792F1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0" w:type="auto"/>
            <w:tcBorders>
              <w:top w:val="nil"/>
              <w:bottom w:val="nil"/>
            </w:tcBorders>
          </w:tcPr>
          <w:p w14:paraId="3E10B0F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12.68%</w:t>
            </w:r>
          </w:p>
        </w:tc>
      </w:tr>
      <w:tr w:rsidR="003C699D" w:rsidRPr="00FE73DE" w14:paraId="5F2DDCA4"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1D5A7BD9"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334DF4C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TAS</w:t>
            </w:r>
          </w:p>
        </w:tc>
        <w:tc>
          <w:tcPr>
            <w:tcW w:w="0" w:type="auto"/>
            <w:tcBorders>
              <w:top w:val="nil"/>
              <w:bottom w:val="nil"/>
            </w:tcBorders>
          </w:tcPr>
          <w:p w14:paraId="50B4FC1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tcPr>
          <w:p w14:paraId="4A37F138"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5.63%</w:t>
            </w:r>
          </w:p>
        </w:tc>
      </w:tr>
      <w:tr w:rsidR="003C699D" w:rsidRPr="00FE73DE" w14:paraId="66894C7F" w14:textId="77777777" w:rsidTr="009F7300">
        <w:tc>
          <w:tcPr>
            <w:tcW w:w="0" w:type="auto"/>
            <w:vMerge/>
            <w:tcBorders>
              <w:top w:val="nil"/>
              <w:bottom w:val="nil"/>
            </w:tcBorders>
            <w:vAlign w:val="center"/>
          </w:tcPr>
          <w:p w14:paraId="7D765D9C"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40F2284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VIC</w:t>
            </w:r>
          </w:p>
        </w:tc>
        <w:tc>
          <w:tcPr>
            <w:tcW w:w="0" w:type="auto"/>
            <w:tcBorders>
              <w:top w:val="nil"/>
              <w:bottom w:val="nil"/>
            </w:tcBorders>
          </w:tcPr>
          <w:p w14:paraId="2500EAE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w:t>
            </w:r>
          </w:p>
        </w:tc>
        <w:tc>
          <w:tcPr>
            <w:tcW w:w="0" w:type="auto"/>
            <w:tcBorders>
              <w:top w:val="nil"/>
              <w:bottom w:val="nil"/>
            </w:tcBorders>
          </w:tcPr>
          <w:p w14:paraId="2F40DDC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8.45%</w:t>
            </w:r>
          </w:p>
        </w:tc>
      </w:tr>
      <w:tr w:rsidR="003C699D" w:rsidRPr="00FE73DE" w14:paraId="5F0C9A77"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single" w:sz="4" w:space="0" w:color="6B818C" w:themeColor="accent5"/>
            </w:tcBorders>
            <w:vAlign w:val="center"/>
          </w:tcPr>
          <w:p w14:paraId="3C48943B"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476B6B15"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WA</w:t>
            </w:r>
          </w:p>
        </w:tc>
        <w:tc>
          <w:tcPr>
            <w:tcW w:w="0" w:type="auto"/>
            <w:tcBorders>
              <w:top w:val="nil"/>
              <w:bottom w:val="single" w:sz="4" w:space="0" w:color="6B818C" w:themeColor="accent5"/>
            </w:tcBorders>
          </w:tcPr>
          <w:p w14:paraId="7EF7E1B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20</w:t>
            </w:r>
          </w:p>
        </w:tc>
        <w:tc>
          <w:tcPr>
            <w:tcW w:w="0" w:type="auto"/>
            <w:tcBorders>
              <w:top w:val="nil"/>
              <w:bottom w:val="single" w:sz="4" w:space="0" w:color="6B818C" w:themeColor="accent5"/>
            </w:tcBorders>
          </w:tcPr>
          <w:p w14:paraId="069A0DB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28.17%</w:t>
            </w:r>
          </w:p>
        </w:tc>
      </w:tr>
      <w:tr w:rsidR="003C699D" w:rsidRPr="00FE73DE" w14:paraId="1BAC9011" w14:textId="77777777" w:rsidTr="009F7300">
        <w:tc>
          <w:tcPr>
            <w:tcW w:w="0" w:type="auto"/>
            <w:vMerge w:val="restart"/>
            <w:tcBorders>
              <w:top w:val="single" w:sz="4" w:space="0" w:color="6B818C" w:themeColor="accent5"/>
              <w:bottom w:val="nil"/>
            </w:tcBorders>
            <w:vAlign w:val="center"/>
          </w:tcPr>
          <w:p w14:paraId="018EAC8A" w14:textId="77777777" w:rsidR="003C699D" w:rsidRPr="00FE73DE" w:rsidRDefault="003C699D" w:rsidP="009F7300">
            <w:pPr>
              <w:spacing w:before="40" w:after="40" w:line="240" w:lineRule="auto"/>
              <w:jc w:val="left"/>
              <w:rPr>
                <w:b/>
                <w:bCs/>
                <w:sz w:val="20"/>
                <w:szCs w:val="20"/>
              </w:rPr>
            </w:pPr>
            <w:r w:rsidRPr="00FE73DE">
              <w:rPr>
                <w:b/>
                <w:bCs/>
                <w:sz w:val="20"/>
                <w:szCs w:val="20"/>
              </w:rPr>
              <w:t>Business size</w:t>
            </w:r>
          </w:p>
        </w:tc>
        <w:tc>
          <w:tcPr>
            <w:tcW w:w="0" w:type="auto"/>
            <w:tcBorders>
              <w:top w:val="single" w:sz="4" w:space="0" w:color="6B818C" w:themeColor="accent5"/>
              <w:bottom w:val="nil"/>
            </w:tcBorders>
          </w:tcPr>
          <w:p w14:paraId="597DCD6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1 - 4 employees</w:t>
            </w:r>
          </w:p>
        </w:tc>
        <w:tc>
          <w:tcPr>
            <w:tcW w:w="0" w:type="auto"/>
            <w:tcBorders>
              <w:top w:val="single" w:sz="4" w:space="0" w:color="6B818C" w:themeColor="accent5"/>
              <w:bottom w:val="nil"/>
            </w:tcBorders>
          </w:tcPr>
          <w:p w14:paraId="4A3E974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48</w:t>
            </w:r>
          </w:p>
        </w:tc>
        <w:tc>
          <w:tcPr>
            <w:tcW w:w="0" w:type="auto"/>
            <w:tcBorders>
              <w:top w:val="single" w:sz="4" w:space="0" w:color="6B818C" w:themeColor="accent5"/>
              <w:bottom w:val="nil"/>
            </w:tcBorders>
          </w:tcPr>
          <w:p w14:paraId="5E3E6B70"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67.61%</w:t>
            </w:r>
          </w:p>
        </w:tc>
      </w:tr>
      <w:tr w:rsidR="003C699D" w:rsidRPr="00FE73DE" w14:paraId="596FB6D5"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461F90A0"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43FC29A9"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5 - 19 employees</w:t>
            </w:r>
          </w:p>
        </w:tc>
        <w:tc>
          <w:tcPr>
            <w:tcW w:w="0" w:type="auto"/>
            <w:tcBorders>
              <w:top w:val="nil"/>
              <w:bottom w:val="nil"/>
            </w:tcBorders>
          </w:tcPr>
          <w:p w14:paraId="3BD7029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16</w:t>
            </w:r>
          </w:p>
        </w:tc>
        <w:tc>
          <w:tcPr>
            <w:tcW w:w="0" w:type="auto"/>
            <w:tcBorders>
              <w:top w:val="nil"/>
              <w:bottom w:val="nil"/>
            </w:tcBorders>
          </w:tcPr>
          <w:p w14:paraId="428A947F"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22.54%</w:t>
            </w:r>
          </w:p>
        </w:tc>
      </w:tr>
      <w:tr w:rsidR="003C699D" w:rsidRPr="00FE73DE" w14:paraId="13690367" w14:textId="77777777" w:rsidTr="009F7300">
        <w:tc>
          <w:tcPr>
            <w:tcW w:w="0" w:type="auto"/>
            <w:vMerge/>
            <w:tcBorders>
              <w:top w:val="nil"/>
              <w:bottom w:val="single" w:sz="4" w:space="0" w:color="6B818C" w:themeColor="accent5"/>
            </w:tcBorders>
            <w:vAlign w:val="center"/>
          </w:tcPr>
          <w:p w14:paraId="2DC5FC65"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1F70819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20 - 199 employees</w:t>
            </w:r>
          </w:p>
        </w:tc>
        <w:tc>
          <w:tcPr>
            <w:tcW w:w="0" w:type="auto"/>
            <w:tcBorders>
              <w:top w:val="nil"/>
              <w:bottom w:val="single" w:sz="4" w:space="0" w:color="6B818C" w:themeColor="accent5"/>
            </w:tcBorders>
          </w:tcPr>
          <w:p w14:paraId="3A27471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w:t>
            </w:r>
          </w:p>
        </w:tc>
        <w:tc>
          <w:tcPr>
            <w:tcW w:w="0" w:type="auto"/>
            <w:tcBorders>
              <w:top w:val="nil"/>
              <w:bottom w:val="single" w:sz="4" w:space="0" w:color="6B818C" w:themeColor="accent5"/>
            </w:tcBorders>
          </w:tcPr>
          <w:p w14:paraId="0FDFAFD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9.86%</w:t>
            </w:r>
          </w:p>
        </w:tc>
      </w:tr>
      <w:tr w:rsidR="003C699D" w:rsidRPr="00FE73DE" w14:paraId="3C8BE6C2"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6B818C" w:themeColor="accent5"/>
              <w:bottom w:val="nil"/>
            </w:tcBorders>
            <w:shd w:val="clear" w:color="auto" w:fill="auto"/>
            <w:vAlign w:val="center"/>
          </w:tcPr>
          <w:p w14:paraId="3EB4406A" w14:textId="77777777" w:rsidR="003C699D" w:rsidRPr="00FE73DE" w:rsidRDefault="003C699D" w:rsidP="009F7300">
            <w:pPr>
              <w:spacing w:before="40" w:after="40" w:line="240" w:lineRule="auto"/>
              <w:jc w:val="left"/>
              <w:rPr>
                <w:b/>
                <w:bCs/>
                <w:sz w:val="20"/>
                <w:szCs w:val="20"/>
              </w:rPr>
            </w:pPr>
            <w:r w:rsidRPr="00FE73DE">
              <w:rPr>
                <w:b/>
                <w:bCs/>
                <w:sz w:val="20"/>
                <w:szCs w:val="20"/>
              </w:rPr>
              <w:t>Annual turnover</w:t>
            </w:r>
          </w:p>
        </w:tc>
        <w:tc>
          <w:tcPr>
            <w:tcW w:w="0" w:type="auto"/>
            <w:tcBorders>
              <w:top w:val="single" w:sz="4" w:space="0" w:color="6B818C" w:themeColor="accent5"/>
              <w:bottom w:val="nil"/>
            </w:tcBorders>
          </w:tcPr>
          <w:p w14:paraId="2417EC9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Under $50,000</w:t>
            </w:r>
          </w:p>
        </w:tc>
        <w:tc>
          <w:tcPr>
            <w:tcW w:w="0" w:type="auto"/>
            <w:tcBorders>
              <w:top w:val="single" w:sz="4" w:space="0" w:color="6B818C" w:themeColor="accent5"/>
              <w:bottom w:val="nil"/>
            </w:tcBorders>
          </w:tcPr>
          <w:p w14:paraId="44DD0F2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w:t>
            </w:r>
          </w:p>
        </w:tc>
        <w:tc>
          <w:tcPr>
            <w:tcW w:w="0" w:type="auto"/>
            <w:tcBorders>
              <w:top w:val="single" w:sz="4" w:space="0" w:color="6B818C" w:themeColor="accent5"/>
              <w:bottom w:val="nil"/>
            </w:tcBorders>
          </w:tcPr>
          <w:p w14:paraId="6F9B86B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19.72%</w:t>
            </w:r>
          </w:p>
        </w:tc>
      </w:tr>
      <w:tr w:rsidR="003C699D" w:rsidRPr="00FE73DE" w14:paraId="7109BD97" w14:textId="77777777" w:rsidTr="009F7300">
        <w:tc>
          <w:tcPr>
            <w:tcW w:w="0" w:type="auto"/>
            <w:vMerge/>
            <w:tcBorders>
              <w:top w:val="nil"/>
              <w:bottom w:val="nil"/>
            </w:tcBorders>
            <w:shd w:val="clear" w:color="auto" w:fill="auto"/>
            <w:vAlign w:val="center"/>
          </w:tcPr>
          <w:p w14:paraId="5E207704"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1E82CCCA"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$50,001 to $100,000</w:t>
            </w:r>
          </w:p>
        </w:tc>
        <w:tc>
          <w:tcPr>
            <w:tcW w:w="0" w:type="auto"/>
            <w:tcBorders>
              <w:top w:val="nil"/>
              <w:bottom w:val="nil"/>
            </w:tcBorders>
          </w:tcPr>
          <w:p w14:paraId="1AF7304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w:t>
            </w:r>
          </w:p>
        </w:tc>
        <w:tc>
          <w:tcPr>
            <w:tcW w:w="0" w:type="auto"/>
            <w:tcBorders>
              <w:top w:val="nil"/>
              <w:bottom w:val="nil"/>
            </w:tcBorders>
          </w:tcPr>
          <w:p w14:paraId="18041E4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8.45%</w:t>
            </w:r>
          </w:p>
        </w:tc>
      </w:tr>
      <w:tr w:rsidR="003C699D" w:rsidRPr="00FE73DE" w14:paraId="50A6A1B7"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shd w:val="clear" w:color="auto" w:fill="auto"/>
            <w:vAlign w:val="center"/>
          </w:tcPr>
          <w:p w14:paraId="1DBB2E1D"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30E4C38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$100,001 to $200,000</w:t>
            </w:r>
          </w:p>
        </w:tc>
        <w:tc>
          <w:tcPr>
            <w:tcW w:w="0" w:type="auto"/>
            <w:tcBorders>
              <w:top w:val="nil"/>
              <w:bottom w:val="nil"/>
            </w:tcBorders>
          </w:tcPr>
          <w:p w14:paraId="532D3C2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8</w:t>
            </w:r>
          </w:p>
        </w:tc>
        <w:tc>
          <w:tcPr>
            <w:tcW w:w="0" w:type="auto"/>
            <w:tcBorders>
              <w:top w:val="nil"/>
              <w:bottom w:val="nil"/>
            </w:tcBorders>
          </w:tcPr>
          <w:p w14:paraId="096A5E0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11.27%</w:t>
            </w:r>
          </w:p>
        </w:tc>
      </w:tr>
      <w:tr w:rsidR="003C699D" w:rsidRPr="00FE73DE" w14:paraId="68E84444" w14:textId="77777777" w:rsidTr="009F7300">
        <w:tc>
          <w:tcPr>
            <w:tcW w:w="0" w:type="auto"/>
            <w:vMerge/>
            <w:tcBorders>
              <w:top w:val="nil"/>
              <w:bottom w:val="nil"/>
            </w:tcBorders>
            <w:shd w:val="clear" w:color="auto" w:fill="auto"/>
            <w:vAlign w:val="center"/>
          </w:tcPr>
          <w:p w14:paraId="2396BB87"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68A4FFE9"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$200,001 to $500,000</w:t>
            </w:r>
          </w:p>
        </w:tc>
        <w:tc>
          <w:tcPr>
            <w:tcW w:w="0" w:type="auto"/>
            <w:tcBorders>
              <w:top w:val="nil"/>
              <w:bottom w:val="nil"/>
            </w:tcBorders>
          </w:tcPr>
          <w:p w14:paraId="1CFA6DA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w:t>
            </w:r>
          </w:p>
        </w:tc>
        <w:tc>
          <w:tcPr>
            <w:tcW w:w="0" w:type="auto"/>
            <w:tcBorders>
              <w:top w:val="nil"/>
              <w:bottom w:val="nil"/>
            </w:tcBorders>
          </w:tcPr>
          <w:p w14:paraId="4E4C871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19.72%</w:t>
            </w:r>
          </w:p>
        </w:tc>
      </w:tr>
      <w:tr w:rsidR="003C699D" w:rsidRPr="00FE73DE" w14:paraId="256F5246"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shd w:val="clear" w:color="auto" w:fill="auto"/>
            <w:vAlign w:val="center"/>
          </w:tcPr>
          <w:p w14:paraId="318FD1A6"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756AAB3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$500,001 to $1,000,000</w:t>
            </w:r>
          </w:p>
        </w:tc>
        <w:tc>
          <w:tcPr>
            <w:tcW w:w="0" w:type="auto"/>
            <w:tcBorders>
              <w:top w:val="nil"/>
              <w:bottom w:val="nil"/>
            </w:tcBorders>
          </w:tcPr>
          <w:p w14:paraId="1836412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tcPr>
          <w:p w14:paraId="746D700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5.63%</w:t>
            </w:r>
          </w:p>
        </w:tc>
      </w:tr>
      <w:tr w:rsidR="003C699D" w:rsidRPr="00FE73DE" w14:paraId="0ADC4285" w14:textId="77777777" w:rsidTr="009F7300">
        <w:tc>
          <w:tcPr>
            <w:tcW w:w="0" w:type="auto"/>
            <w:vMerge/>
            <w:tcBorders>
              <w:top w:val="nil"/>
              <w:bottom w:val="nil"/>
            </w:tcBorders>
            <w:shd w:val="clear" w:color="auto" w:fill="auto"/>
            <w:vAlign w:val="center"/>
          </w:tcPr>
          <w:p w14:paraId="3AB414FB"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tcPr>
          <w:p w14:paraId="2995BAF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Greater than $1,000,000</w:t>
            </w:r>
          </w:p>
        </w:tc>
        <w:tc>
          <w:tcPr>
            <w:tcW w:w="0" w:type="auto"/>
            <w:tcBorders>
              <w:top w:val="nil"/>
              <w:bottom w:val="nil"/>
            </w:tcBorders>
          </w:tcPr>
          <w:p w14:paraId="7031C6F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22</w:t>
            </w:r>
          </w:p>
        </w:tc>
        <w:tc>
          <w:tcPr>
            <w:tcW w:w="0" w:type="auto"/>
            <w:tcBorders>
              <w:top w:val="nil"/>
              <w:bottom w:val="nil"/>
            </w:tcBorders>
          </w:tcPr>
          <w:p w14:paraId="40AB68B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30.99%</w:t>
            </w:r>
          </w:p>
        </w:tc>
      </w:tr>
      <w:tr w:rsidR="003C699D" w:rsidRPr="00FE73DE" w14:paraId="11BB8D67"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single" w:sz="4" w:space="0" w:color="6B818C" w:themeColor="accent5"/>
            </w:tcBorders>
            <w:shd w:val="clear" w:color="auto" w:fill="auto"/>
            <w:vAlign w:val="center"/>
          </w:tcPr>
          <w:p w14:paraId="3EF0913A"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tcPr>
          <w:p w14:paraId="2E003EA8"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Prefer not to say</w:t>
            </w:r>
          </w:p>
        </w:tc>
        <w:tc>
          <w:tcPr>
            <w:tcW w:w="0" w:type="auto"/>
            <w:tcBorders>
              <w:top w:val="nil"/>
              <w:bottom w:val="single" w:sz="4" w:space="0" w:color="6B818C" w:themeColor="accent5"/>
            </w:tcBorders>
          </w:tcPr>
          <w:p w14:paraId="5A706BA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0" w:type="auto"/>
            <w:tcBorders>
              <w:top w:val="nil"/>
              <w:bottom w:val="single" w:sz="4" w:space="0" w:color="6B818C" w:themeColor="accent5"/>
            </w:tcBorders>
          </w:tcPr>
          <w:p w14:paraId="25DFB1F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4.23%</w:t>
            </w:r>
          </w:p>
        </w:tc>
      </w:tr>
      <w:tr w:rsidR="003C699D" w:rsidRPr="00FE73DE" w14:paraId="43044FC4" w14:textId="77777777" w:rsidTr="009F7300">
        <w:tc>
          <w:tcPr>
            <w:tcW w:w="0" w:type="auto"/>
            <w:vMerge w:val="restart"/>
            <w:tcBorders>
              <w:top w:val="single" w:sz="4" w:space="0" w:color="6B818C" w:themeColor="accent5"/>
              <w:bottom w:val="nil"/>
            </w:tcBorders>
            <w:vAlign w:val="center"/>
          </w:tcPr>
          <w:p w14:paraId="632C6A21" w14:textId="77777777" w:rsidR="003C699D" w:rsidRPr="00FE73DE" w:rsidRDefault="003C699D" w:rsidP="009F7300">
            <w:pPr>
              <w:spacing w:before="40" w:after="40" w:line="240" w:lineRule="auto"/>
              <w:jc w:val="left"/>
              <w:rPr>
                <w:b/>
                <w:bCs/>
                <w:sz w:val="20"/>
                <w:szCs w:val="20"/>
              </w:rPr>
            </w:pPr>
            <w:r w:rsidRPr="00FE73DE">
              <w:rPr>
                <w:b/>
                <w:bCs/>
                <w:sz w:val="20"/>
                <w:szCs w:val="20"/>
              </w:rPr>
              <w:t>Industry sector</w:t>
            </w:r>
          </w:p>
        </w:tc>
        <w:tc>
          <w:tcPr>
            <w:tcW w:w="0" w:type="auto"/>
            <w:tcBorders>
              <w:top w:val="single" w:sz="4" w:space="0" w:color="6B818C" w:themeColor="accent5"/>
              <w:bottom w:val="nil"/>
            </w:tcBorders>
          </w:tcPr>
          <w:p w14:paraId="39F0594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Accommodation and Food Services</w:t>
            </w:r>
          </w:p>
        </w:tc>
        <w:tc>
          <w:tcPr>
            <w:tcW w:w="0" w:type="auto"/>
            <w:tcBorders>
              <w:top w:val="single" w:sz="4" w:space="0" w:color="6B818C" w:themeColor="accent5"/>
              <w:bottom w:val="nil"/>
            </w:tcBorders>
          </w:tcPr>
          <w:p w14:paraId="549E5BE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w:t>
            </w:r>
          </w:p>
        </w:tc>
        <w:tc>
          <w:tcPr>
            <w:tcW w:w="0" w:type="auto"/>
            <w:tcBorders>
              <w:top w:val="single" w:sz="4" w:space="0" w:color="6B818C" w:themeColor="accent5"/>
              <w:bottom w:val="nil"/>
            </w:tcBorders>
          </w:tcPr>
          <w:p w14:paraId="5A38759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8.45%</w:t>
            </w:r>
          </w:p>
        </w:tc>
      </w:tr>
      <w:tr w:rsidR="003C699D" w:rsidRPr="00FE73DE" w14:paraId="6A15AD90"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1774DC3C"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7931AEF4"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Administrative and Support Services</w:t>
            </w:r>
          </w:p>
        </w:tc>
        <w:tc>
          <w:tcPr>
            <w:tcW w:w="0" w:type="auto"/>
            <w:tcBorders>
              <w:top w:val="nil"/>
              <w:bottom w:val="nil"/>
            </w:tcBorders>
          </w:tcPr>
          <w:p w14:paraId="0211B99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nil"/>
              <w:bottom w:val="nil"/>
            </w:tcBorders>
          </w:tcPr>
          <w:p w14:paraId="7D09552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0F9B13A5" w14:textId="77777777" w:rsidTr="009F7300">
        <w:tc>
          <w:tcPr>
            <w:tcW w:w="0" w:type="auto"/>
            <w:vMerge/>
            <w:tcBorders>
              <w:top w:val="nil"/>
              <w:bottom w:val="nil"/>
            </w:tcBorders>
          </w:tcPr>
          <w:p w14:paraId="5CB054C9"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73B19D4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Agriculture, Forestry and Fishing</w:t>
            </w:r>
          </w:p>
        </w:tc>
        <w:tc>
          <w:tcPr>
            <w:tcW w:w="0" w:type="auto"/>
            <w:tcBorders>
              <w:top w:val="nil"/>
              <w:bottom w:val="nil"/>
            </w:tcBorders>
          </w:tcPr>
          <w:p w14:paraId="7FEC7D9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nil"/>
              <w:bottom w:val="nil"/>
            </w:tcBorders>
          </w:tcPr>
          <w:p w14:paraId="2E9B1C5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771B9C4D"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4B4D52D8"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7070014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Arts and Recreation Services</w:t>
            </w:r>
          </w:p>
        </w:tc>
        <w:tc>
          <w:tcPr>
            <w:tcW w:w="0" w:type="auto"/>
            <w:tcBorders>
              <w:top w:val="nil"/>
              <w:bottom w:val="nil"/>
            </w:tcBorders>
          </w:tcPr>
          <w:p w14:paraId="13ED242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nil"/>
              <w:bottom w:val="nil"/>
            </w:tcBorders>
          </w:tcPr>
          <w:p w14:paraId="0B91E56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21640909" w14:textId="77777777" w:rsidTr="009F7300">
        <w:tc>
          <w:tcPr>
            <w:tcW w:w="0" w:type="auto"/>
            <w:vMerge/>
            <w:tcBorders>
              <w:top w:val="nil"/>
              <w:bottom w:val="nil"/>
            </w:tcBorders>
          </w:tcPr>
          <w:p w14:paraId="79483306"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61DA738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Construction</w:t>
            </w:r>
          </w:p>
        </w:tc>
        <w:tc>
          <w:tcPr>
            <w:tcW w:w="0" w:type="auto"/>
            <w:tcBorders>
              <w:top w:val="nil"/>
              <w:bottom w:val="nil"/>
            </w:tcBorders>
          </w:tcPr>
          <w:p w14:paraId="148ECFB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12</w:t>
            </w:r>
          </w:p>
        </w:tc>
        <w:tc>
          <w:tcPr>
            <w:tcW w:w="0" w:type="auto"/>
            <w:tcBorders>
              <w:top w:val="nil"/>
              <w:bottom w:val="nil"/>
            </w:tcBorders>
          </w:tcPr>
          <w:p w14:paraId="45C493B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16.90%</w:t>
            </w:r>
          </w:p>
        </w:tc>
      </w:tr>
      <w:tr w:rsidR="003C699D" w:rsidRPr="00FE73DE" w14:paraId="42978767"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15BB562B"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4EE5766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Education and Training</w:t>
            </w:r>
          </w:p>
        </w:tc>
        <w:tc>
          <w:tcPr>
            <w:tcW w:w="0" w:type="auto"/>
            <w:tcBorders>
              <w:top w:val="nil"/>
              <w:bottom w:val="nil"/>
            </w:tcBorders>
          </w:tcPr>
          <w:p w14:paraId="53FD266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w:t>
            </w:r>
          </w:p>
        </w:tc>
        <w:tc>
          <w:tcPr>
            <w:tcW w:w="0" w:type="auto"/>
            <w:tcBorders>
              <w:top w:val="nil"/>
              <w:bottom w:val="nil"/>
            </w:tcBorders>
          </w:tcPr>
          <w:p w14:paraId="31B6884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8.45%</w:t>
            </w:r>
          </w:p>
        </w:tc>
      </w:tr>
      <w:tr w:rsidR="003C699D" w:rsidRPr="00FE73DE" w14:paraId="203BC6FD" w14:textId="77777777" w:rsidTr="009F7300">
        <w:tc>
          <w:tcPr>
            <w:tcW w:w="0" w:type="auto"/>
            <w:vMerge/>
            <w:tcBorders>
              <w:top w:val="nil"/>
              <w:bottom w:val="nil"/>
            </w:tcBorders>
          </w:tcPr>
          <w:p w14:paraId="4A32524F"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078C7D04"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Electricity, Gas, Water and Waste Services</w:t>
            </w:r>
          </w:p>
        </w:tc>
        <w:tc>
          <w:tcPr>
            <w:tcW w:w="0" w:type="auto"/>
            <w:tcBorders>
              <w:top w:val="nil"/>
              <w:bottom w:val="nil"/>
            </w:tcBorders>
          </w:tcPr>
          <w:p w14:paraId="33A4AD8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nil"/>
            </w:tcBorders>
          </w:tcPr>
          <w:p w14:paraId="4FA24B9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1.41%</w:t>
            </w:r>
          </w:p>
        </w:tc>
      </w:tr>
      <w:tr w:rsidR="003C699D" w:rsidRPr="00FE73DE" w14:paraId="28BBE48B"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304DA28A"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2D615EA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Health Care and Social Assistance</w:t>
            </w:r>
          </w:p>
        </w:tc>
        <w:tc>
          <w:tcPr>
            <w:tcW w:w="0" w:type="auto"/>
            <w:tcBorders>
              <w:top w:val="nil"/>
              <w:bottom w:val="nil"/>
            </w:tcBorders>
          </w:tcPr>
          <w:p w14:paraId="0B79E4D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nil"/>
            </w:tcBorders>
          </w:tcPr>
          <w:p w14:paraId="5E4C1B3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1.41%</w:t>
            </w:r>
          </w:p>
        </w:tc>
      </w:tr>
      <w:tr w:rsidR="003C699D" w:rsidRPr="00FE73DE" w14:paraId="298CFAEB" w14:textId="77777777" w:rsidTr="009F7300">
        <w:tc>
          <w:tcPr>
            <w:tcW w:w="0" w:type="auto"/>
            <w:vMerge/>
            <w:tcBorders>
              <w:top w:val="nil"/>
              <w:bottom w:val="nil"/>
            </w:tcBorders>
          </w:tcPr>
          <w:p w14:paraId="4B3B75BF"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432104A4"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Information Media and Telecommunications</w:t>
            </w:r>
          </w:p>
        </w:tc>
        <w:tc>
          <w:tcPr>
            <w:tcW w:w="0" w:type="auto"/>
            <w:tcBorders>
              <w:top w:val="nil"/>
              <w:bottom w:val="nil"/>
            </w:tcBorders>
          </w:tcPr>
          <w:p w14:paraId="64BBE2C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nil"/>
            </w:tcBorders>
          </w:tcPr>
          <w:p w14:paraId="16F7553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1.41%</w:t>
            </w:r>
          </w:p>
        </w:tc>
      </w:tr>
      <w:tr w:rsidR="003C699D" w:rsidRPr="00FE73DE" w14:paraId="3783D8CD"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2082DE58"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579888B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Manufacturing</w:t>
            </w:r>
          </w:p>
        </w:tc>
        <w:tc>
          <w:tcPr>
            <w:tcW w:w="0" w:type="auto"/>
            <w:tcBorders>
              <w:top w:val="nil"/>
              <w:bottom w:val="nil"/>
            </w:tcBorders>
          </w:tcPr>
          <w:p w14:paraId="11C0ED6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0" w:type="auto"/>
            <w:tcBorders>
              <w:top w:val="nil"/>
              <w:bottom w:val="nil"/>
            </w:tcBorders>
          </w:tcPr>
          <w:p w14:paraId="315F7E7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4.23%</w:t>
            </w:r>
          </w:p>
        </w:tc>
      </w:tr>
      <w:tr w:rsidR="003C699D" w:rsidRPr="00FE73DE" w14:paraId="5BF26B24" w14:textId="77777777" w:rsidTr="009F7300">
        <w:tc>
          <w:tcPr>
            <w:tcW w:w="0" w:type="auto"/>
            <w:vMerge/>
            <w:tcBorders>
              <w:top w:val="nil"/>
              <w:bottom w:val="nil"/>
            </w:tcBorders>
          </w:tcPr>
          <w:p w14:paraId="5820F914"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04004E7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Other Services</w:t>
            </w:r>
          </w:p>
        </w:tc>
        <w:tc>
          <w:tcPr>
            <w:tcW w:w="0" w:type="auto"/>
            <w:tcBorders>
              <w:top w:val="nil"/>
              <w:bottom w:val="nil"/>
            </w:tcBorders>
          </w:tcPr>
          <w:p w14:paraId="1ACF92D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20</w:t>
            </w:r>
          </w:p>
        </w:tc>
        <w:tc>
          <w:tcPr>
            <w:tcW w:w="0" w:type="auto"/>
            <w:tcBorders>
              <w:top w:val="nil"/>
              <w:bottom w:val="nil"/>
            </w:tcBorders>
          </w:tcPr>
          <w:p w14:paraId="2840E08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28.17%</w:t>
            </w:r>
          </w:p>
        </w:tc>
      </w:tr>
      <w:tr w:rsidR="003C699D" w:rsidRPr="00FE73DE" w14:paraId="089C924A"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7E052495"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26596689"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Professional, Scientific and Technical Services</w:t>
            </w:r>
          </w:p>
        </w:tc>
        <w:tc>
          <w:tcPr>
            <w:tcW w:w="0" w:type="auto"/>
            <w:tcBorders>
              <w:top w:val="nil"/>
              <w:bottom w:val="nil"/>
            </w:tcBorders>
          </w:tcPr>
          <w:p w14:paraId="4EBF59B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tcPr>
          <w:p w14:paraId="1DE22B1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7.04%</w:t>
            </w:r>
          </w:p>
        </w:tc>
      </w:tr>
      <w:tr w:rsidR="003C699D" w:rsidRPr="00FE73DE" w14:paraId="7D7AA58B" w14:textId="77777777" w:rsidTr="009F7300">
        <w:tc>
          <w:tcPr>
            <w:tcW w:w="0" w:type="auto"/>
            <w:vMerge/>
            <w:tcBorders>
              <w:top w:val="nil"/>
              <w:bottom w:val="nil"/>
            </w:tcBorders>
          </w:tcPr>
          <w:p w14:paraId="79A4CE70"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4290895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Public Administration and Safety</w:t>
            </w:r>
          </w:p>
        </w:tc>
        <w:tc>
          <w:tcPr>
            <w:tcW w:w="0" w:type="auto"/>
            <w:tcBorders>
              <w:top w:val="nil"/>
              <w:bottom w:val="nil"/>
            </w:tcBorders>
          </w:tcPr>
          <w:p w14:paraId="3DF087D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nil"/>
            </w:tcBorders>
          </w:tcPr>
          <w:p w14:paraId="4F97614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1.41%</w:t>
            </w:r>
          </w:p>
        </w:tc>
      </w:tr>
      <w:tr w:rsidR="003C699D" w:rsidRPr="00FE73DE" w14:paraId="0CE038F8"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652DC8C5"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287C106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Rental, Hiring and Real Estate Services</w:t>
            </w:r>
          </w:p>
        </w:tc>
        <w:tc>
          <w:tcPr>
            <w:tcW w:w="0" w:type="auto"/>
            <w:tcBorders>
              <w:top w:val="nil"/>
              <w:bottom w:val="nil"/>
            </w:tcBorders>
          </w:tcPr>
          <w:p w14:paraId="3A8DE2E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nil"/>
              <w:bottom w:val="nil"/>
            </w:tcBorders>
          </w:tcPr>
          <w:p w14:paraId="7047C86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20FEE492" w14:textId="77777777" w:rsidTr="009F7300">
        <w:tc>
          <w:tcPr>
            <w:tcW w:w="0" w:type="auto"/>
            <w:vMerge/>
            <w:tcBorders>
              <w:top w:val="nil"/>
              <w:bottom w:val="nil"/>
            </w:tcBorders>
          </w:tcPr>
          <w:p w14:paraId="10F626E3"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4E3E8D0F"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Retail Trade</w:t>
            </w:r>
          </w:p>
        </w:tc>
        <w:tc>
          <w:tcPr>
            <w:tcW w:w="0" w:type="auto"/>
            <w:tcBorders>
              <w:top w:val="nil"/>
              <w:bottom w:val="nil"/>
            </w:tcBorders>
          </w:tcPr>
          <w:p w14:paraId="50B653F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tcPr>
          <w:p w14:paraId="7DBEEFB5"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5.63%</w:t>
            </w:r>
          </w:p>
        </w:tc>
      </w:tr>
      <w:tr w:rsidR="003C699D" w:rsidRPr="00FE73DE" w14:paraId="11D04AF0"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6D938B94"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tcPr>
          <w:p w14:paraId="505EA51A"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Transport, Postal and Warehousing</w:t>
            </w:r>
          </w:p>
        </w:tc>
        <w:tc>
          <w:tcPr>
            <w:tcW w:w="0" w:type="auto"/>
            <w:tcBorders>
              <w:top w:val="nil"/>
              <w:bottom w:val="nil"/>
            </w:tcBorders>
          </w:tcPr>
          <w:p w14:paraId="59F0A57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nil"/>
              <w:bottom w:val="nil"/>
            </w:tcBorders>
          </w:tcPr>
          <w:p w14:paraId="0009C4D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57D337BB" w14:textId="77777777" w:rsidTr="009F7300">
        <w:tc>
          <w:tcPr>
            <w:tcW w:w="0" w:type="auto"/>
            <w:vMerge/>
            <w:tcBorders>
              <w:top w:val="nil"/>
              <w:bottom w:val="single" w:sz="4" w:space="0" w:color="6B818C" w:themeColor="accent5"/>
            </w:tcBorders>
          </w:tcPr>
          <w:p w14:paraId="7ED797D3" w14:textId="77777777" w:rsidR="003C699D" w:rsidRPr="00FE73DE" w:rsidRDefault="003C699D" w:rsidP="009F7300">
            <w:pPr>
              <w:spacing w:before="40" w:after="40" w:line="240" w:lineRule="auto"/>
              <w:jc w:val="left"/>
              <w:rPr>
                <w:sz w:val="20"/>
                <w:szCs w:val="20"/>
              </w:rPr>
            </w:pPr>
          </w:p>
        </w:tc>
        <w:tc>
          <w:tcPr>
            <w:tcW w:w="0" w:type="auto"/>
            <w:tcBorders>
              <w:top w:val="nil"/>
              <w:bottom w:val="single" w:sz="4" w:space="0" w:color="6B818C" w:themeColor="accent5"/>
            </w:tcBorders>
          </w:tcPr>
          <w:p w14:paraId="2FE881D1"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Wholesale Trade</w:t>
            </w:r>
          </w:p>
        </w:tc>
        <w:tc>
          <w:tcPr>
            <w:tcW w:w="0" w:type="auto"/>
            <w:tcBorders>
              <w:top w:val="nil"/>
              <w:bottom w:val="single" w:sz="4" w:space="0" w:color="6B818C" w:themeColor="accent5"/>
            </w:tcBorders>
          </w:tcPr>
          <w:p w14:paraId="05C902A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single" w:sz="4" w:space="0" w:color="6B818C" w:themeColor="accent5"/>
            </w:tcBorders>
          </w:tcPr>
          <w:p w14:paraId="0B76637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1.41%</w:t>
            </w:r>
          </w:p>
        </w:tc>
      </w:tr>
      <w:tr w:rsidR="003C699D" w:rsidRPr="00FE73DE" w14:paraId="181CFDCB"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6B818C" w:themeColor="accent5"/>
              <w:bottom w:val="nil"/>
            </w:tcBorders>
            <w:vAlign w:val="center"/>
          </w:tcPr>
          <w:p w14:paraId="5D0DD6CD" w14:textId="77777777" w:rsidR="003C699D" w:rsidRPr="00FE73DE" w:rsidRDefault="003C699D" w:rsidP="009F7300">
            <w:pPr>
              <w:spacing w:before="40" w:after="40" w:line="240" w:lineRule="auto"/>
              <w:jc w:val="left"/>
              <w:rPr>
                <w:b/>
                <w:bCs/>
                <w:sz w:val="20"/>
                <w:szCs w:val="20"/>
              </w:rPr>
            </w:pPr>
            <w:r w:rsidRPr="00FE73DE">
              <w:rPr>
                <w:b/>
                <w:bCs/>
                <w:sz w:val="20"/>
                <w:szCs w:val="20"/>
              </w:rPr>
              <w:t>Regional area*</w:t>
            </w:r>
          </w:p>
        </w:tc>
        <w:tc>
          <w:tcPr>
            <w:tcW w:w="0" w:type="auto"/>
            <w:tcBorders>
              <w:top w:val="single" w:sz="4" w:space="0" w:color="6B818C" w:themeColor="accent5"/>
              <w:bottom w:val="nil"/>
            </w:tcBorders>
            <w:vAlign w:val="bottom"/>
          </w:tcPr>
          <w:p w14:paraId="76F65674"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Major cities of Australia</w:t>
            </w:r>
          </w:p>
        </w:tc>
        <w:tc>
          <w:tcPr>
            <w:tcW w:w="0" w:type="auto"/>
            <w:tcBorders>
              <w:top w:val="single" w:sz="4" w:space="0" w:color="6B818C" w:themeColor="accent5"/>
              <w:bottom w:val="nil"/>
            </w:tcBorders>
            <w:vAlign w:val="bottom"/>
          </w:tcPr>
          <w:p w14:paraId="635F942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34</w:t>
            </w:r>
          </w:p>
        </w:tc>
        <w:tc>
          <w:tcPr>
            <w:tcW w:w="0" w:type="auto"/>
            <w:tcBorders>
              <w:top w:val="single" w:sz="4" w:space="0" w:color="6B818C" w:themeColor="accent5"/>
              <w:bottom w:val="nil"/>
            </w:tcBorders>
            <w:vAlign w:val="bottom"/>
          </w:tcPr>
          <w:p w14:paraId="64C296B8"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47.89%</w:t>
            </w:r>
          </w:p>
        </w:tc>
      </w:tr>
      <w:tr w:rsidR="003C699D" w:rsidRPr="00FE73DE" w14:paraId="7C4B4207" w14:textId="77777777" w:rsidTr="009F7300">
        <w:tc>
          <w:tcPr>
            <w:tcW w:w="0" w:type="auto"/>
            <w:vMerge/>
            <w:tcBorders>
              <w:top w:val="nil"/>
              <w:bottom w:val="nil"/>
            </w:tcBorders>
          </w:tcPr>
          <w:p w14:paraId="2B410C45"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vAlign w:val="bottom"/>
          </w:tcPr>
          <w:p w14:paraId="79807D64"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Inner regional areas of Australia</w:t>
            </w:r>
          </w:p>
        </w:tc>
        <w:tc>
          <w:tcPr>
            <w:tcW w:w="0" w:type="auto"/>
            <w:tcBorders>
              <w:top w:val="nil"/>
              <w:bottom w:val="nil"/>
            </w:tcBorders>
            <w:vAlign w:val="bottom"/>
          </w:tcPr>
          <w:p w14:paraId="51576CB9"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22</w:t>
            </w:r>
          </w:p>
        </w:tc>
        <w:tc>
          <w:tcPr>
            <w:tcW w:w="0" w:type="auto"/>
            <w:tcBorders>
              <w:top w:val="nil"/>
              <w:bottom w:val="nil"/>
            </w:tcBorders>
            <w:vAlign w:val="bottom"/>
          </w:tcPr>
          <w:p w14:paraId="21F2D7B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28.17%</w:t>
            </w:r>
          </w:p>
        </w:tc>
      </w:tr>
      <w:tr w:rsidR="003C699D" w:rsidRPr="00FE73DE" w14:paraId="1CF8CC6E"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6E30F49C"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vAlign w:val="bottom"/>
          </w:tcPr>
          <w:p w14:paraId="6724FE6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Outer regional areas of Australia</w:t>
            </w:r>
          </w:p>
        </w:tc>
        <w:tc>
          <w:tcPr>
            <w:tcW w:w="0" w:type="auto"/>
            <w:tcBorders>
              <w:top w:val="nil"/>
              <w:bottom w:val="nil"/>
            </w:tcBorders>
            <w:vAlign w:val="bottom"/>
          </w:tcPr>
          <w:p w14:paraId="1141A23F"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25</w:t>
            </w:r>
          </w:p>
        </w:tc>
        <w:tc>
          <w:tcPr>
            <w:tcW w:w="0" w:type="auto"/>
            <w:tcBorders>
              <w:top w:val="nil"/>
              <w:bottom w:val="nil"/>
            </w:tcBorders>
            <w:vAlign w:val="bottom"/>
          </w:tcPr>
          <w:p w14:paraId="1DFA0E0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35.21%</w:t>
            </w:r>
          </w:p>
        </w:tc>
      </w:tr>
      <w:tr w:rsidR="003C699D" w:rsidRPr="00FE73DE" w14:paraId="762A4F9B" w14:textId="77777777" w:rsidTr="009F7300">
        <w:tc>
          <w:tcPr>
            <w:tcW w:w="0" w:type="auto"/>
            <w:vMerge/>
            <w:tcBorders>
              <w:top w:val="nil"/>
              <w:bottom w:val="nil"/>
            </w:tcBorders>
          </w:tcPr>
          <w:p w14:paraId="0FC7600C"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vAlign w:val="bottom"/>
          </w:tcPr>
          <w:p w14:paraId="6EBC55C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Remote Australia</w:t>
            </w:r>
          </w:p>
        </w:tc>
        <w:tc>
          <w:tcPr>
            <w:tcW w:w="0" w:type="auto"/>
            <w:tcBorders>
              <w:top w:val="nil"/>
              <w:bottom w:val="nil"/>
            </w:tcBorders>
            <w:vAlign w:val="bottom"/>
          </w:tcPr>
          <w:p w14:paraId="4A3437B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24</w:t>
            </w:r>
          </w:p>
        </w:tc>
        <w:tc>
          <w:tcPr>
            <w:tcW w:w="0" w:type="auto"/>
            <w:tcBorders>
              <w:top w:val="nil"/>
              <w:bottom w:val="nil"/>
            </w:tcBorders>
            <w:vAlign w:val="bottom"/>
          </w:tcPr>
          <w:p w14:paraId="504B5C8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32.39%</w:t>
            </w:r>
          </w:p>
        </w:tc>
      </w:tr>
      <w:tr w:rsidR="003C699D" w:rsidRPr="00FE73DE" w14:paraId="0171A162"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single" w:sz="4" w:space="0" w:color="6B818C" w:themeColor="accent5"/>
            </w:tcBorders>
          </w:tcPr>
          <w:p w14:paraId="503CEAF6" w14:textId="77777777" w:rsidR="003C699D" w:rsidRPr="00FE73DE" w:rsidRDefault="003C699D" w:rsidP="009F7300">
            <w:pPr>
              <w:spacing w:before="40" w:after="40" w:line="240" w:lineRule="auto"/>
              <w:jc w:val="left"/>
              <w:rPr>
                <w:sz w:val="20"/>
                <w:szCs w:val="20"/>
              </w:rPr>
            </w:pPr>
          </w:p>
        </w:tc>
        <w:tc>
          <w:tcPr>
            <w:tcW w:w="0" w:type="auto"/>
            <w:tcBorders>
              <w:top w:val="nil"/>
              <w:bottom w:val="single" w:sz="4" w:space="0" w:color="6B818C" w:themeColor="accent5"/>
            </w:tcBorders>
            <w:vAlign w:val="bottom"/>
          </w:tcPr>
          <w:p w14:paraId="4C0ED0B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Very remote Australia</w:t>
            </w:r>
          </w:p>
        </w:tc>
        <w:tc>
          <w:tcPr>
            <w:tcW w:w="0" w:type="auto"/>
            <w:tcBorders>
              <w:top w:val="nil"/>
              <w:bottom w:val="single" w:sz="4" w:space="0" w:color="6B818C" w:themeColor="accent5"/>
            </w:tcBorders>
            <w:vAlign w:val="bottom"/>
          </w:tcPr>
          <w:p w14:paraId="6F6A8F5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13</w:t>
            </w:r>
          </w:p>
        </w:tc>
        <w:tc>
          <w:tcPr>
            <w:tcW w:w="0" w:type="auto"/>
            <w:tcBorders>
              <w:top w:val="nil"/>
              <w:bottom w:val="single" w:sz="4" w:space="0" w:color="6B818C" w:themeColor="accent5"/>
            </w:tcBorders>
            <w:vAlign w:val="bottom"/>
          </w:tcPr>
          <w:p w14:paraId="6608FA2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16.90%</w:t>
            </w:r>
          </w:p>
        </w:tc>
      </w:tr>
      <w:tr w:rsidR="003C699D" w:rsidRPr="00FE73DE" w14:paraId="6CF93362" w14:textId="77777777" w:rsidTr="009F7300">
        <w:trPr>
          <w:trHeight w:val="288"/>
        </w:trPr>
        <w:tc>
          <w:tcPr>
            <w:tcW w:w="0" w:type="auto"/>
            <w:vMerge w:val="restart"/>
            <w:tcBorders>
              <w:top w:val="single" w:sz="4" w:space="0" w:color="6B818C" w:themeColor="accent5"/>
            </w:tcBorders>
            <w:vAlign w:val="center"/>
          </w:tcPr>
          <w:p w14:paraId="7F48DFB3" w14:textId="77777777" w:rsidR="003C699D" w:rsidRPr="00FE73DE" w:rsidRDefault="003C699D" w:rsidP="009F7300">
            <w:pPr>
              <w:jc w:val="left"/>
              <w:rPr>
                <w:b/>
                <w:bCs/>
                <w:sz w:val="20"/>
                <w:szCs w:val="20"/>
              </w:rPr>
            </w:pPr>
            <w:r w:rsidRPr="00FE73DE">
              <w:rPr>
                <w:b/>
                <w:bCs/>
                <w:sz w:val="20"/>
                <w:szCs w:val="20"/>
              </w:rPr>
              <w:t>Industry affiliation*</w:t>
            </w:r>
          </w:p>
        </w:tc>
        <w:tc>
          <w:tcPr>
            <w:tcW w:w="0" w:type="auto"/>
            <w:tcBorders>
              <w:top w:val="single" w:sz="4" w:space="0" w:color="6B818C" w:themeColor="accent5"/>
            </w:tcBorders>
            <w:noWrap/>
            <w:hideMark/>
          </w:tcPr>
          <w:p w14:paraId="29BAD196" w14:textId="77777777" w:rsidR="003C699D" w:rsidRPr="00FE73DE" w:rsidRDefault="003C699D" w:rsidP="009F7300">
            <w:pPr>
              <w:spacing w:before="40" w:after="40" w:line="240" w:lineRule="auto"/>
              <w:rPr>
                <w:sz w:val="20"/>
                <w:szCs w:val="20"/>
              </w:rPr>
            </w:pPr>
            <w:r w:rsidRPr="00FE73DE">
              <w:rPr>
                <w:sz w:val="20"/>
                <w:szCs w:val="20"/>
              </w:rPr>
              <w:t>Supply Nation</w:t>
            </w:r>
          </w:p>
        </w:tc>
        <w:tc>
          <w:tcPr>
            <w:tcW w:w="0" w:type="auto"/>
            <w:tcBorders>
              <w:top w:val="single" w:sz="4" w:space="0" w:color="6B818C" w:themeColor="accent5"/>
            </w:tcBorders>
            <w:noWrap/>
            <w:hideMark/>
          </w:tcPr>
          <w:p w14:paraId="7F073ABC" w14:textId="77777777" w:rsidR="003C699D" w:rsidRPr="00FE73DE" w:rsidRDefault="003C699D" w:rsidP="009F7300">
            <w:pPr>
              <w:spacing w:before="40" w:after="40" w:line="240" w:lineRule="auto"/>
              <w:jc w:val="right"/>
              <w:rPr>
                <w:sz w:val="20"/>
                <w:szCs w:val="20"/>
              </w:rPr>
            </w:pPr>
            <w:r w:rsidRPr="00FE73DE">
              <w:rPr>
                <w:sz w:val="20"/>
                <w:szCs w:val="20"/>
              </w:rPr>
              <w:t>37</w:t>
            </w:r>
          </w:p>
        </w:tc>
        <w:tc>
          <w:tcPr>
            <w:tcW w:w="0" w:type="auto"/>
            <w:tcBorders>
              <w:top w:val="single" w:sz="4" w:space="0" w:color="6B818C" w:themeColor="accent5"/>
            </w:tcBorders>
            <w:noWrap/>
            <w:vAlign w:val="bottom"/>
            <w:hideMark/>
          </w:tcPr>
          <w:p w14:paraId="536536E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52.11%</w:t>
            </w:r>
          </w:p>
        </w:tc>
      </w:tr>
      <w:tr w:rsidR="003C699D" w:rsidRPr="00FE73DE" w14:paraId="14337971"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2F351829" w14:textId="77777777" w:rsidR="003C699D" w:rsidRPr="00FE73DE" w:rsidRDefault="003C699D" w:rsidP="009F7300">
            <w:pPr>
              <w:rPr>
                <w:i/>
                <w:iCs/>
                <w:sz w:val="20"/>
                <w:szCs w:val="20"/>
              </w:rPr>
            </w:pPr>
          </w:p>
        </w:tc>
        <w:tc>
          <w:tcPr>
            <w:tcW w:w="0" w:type="auto"/>
            <w:noWrap/>
            <w:hideMark/>
          </w:tcPr>
          <w:p w14:paraId="22ECA38E" w14:textId="77777777" w:rsidR="003C699D" w:rsidRPr="00FE73DE" w:rsidRDefault="003C699D" w:rsidP="009F7300">
            <w:pPr>
              <w:spacing w:before="40" w:after="40" w:line="240" w:lineRule="auto"/>
              <w:rPr>
                <w:i/>
                <w:iCs/>
                <w:sz w:val="20"/>
                <w:szCs w:val="20"/>
              </w:rPr>
            </w:pPr>
            <w:r w:rsidRPr="00FE73DE">
              <w:rPr>
                <w:i/>
                <w:iCs/>
                <w:sz w:val="20"/>
                <w:szCs w:val="20"/>
              </w:rPr>
              <w:t>None</w:t>
            </w:r>
          </w:p>
        </w:tc>
        <w:tc>
          <w:tcPr>
            <w:tcW w:w="0" w:type="auto"/>
            <w:noWrap/>
            <w:hideMark/>
          </w:tcPr>
          <w:p w14:paraId="6B4B3D13" w14:textId="77777777" w:rsidR="003C699D" w:rsidRPr="00FE73DE" w:rsidRDefault="003C699D" w:rsidP="009F7300">
            <w:pPr>
              <w:spacing w:before="40" w:after="40" w:line="240" w:lineRule="auto"/>
              <w:jc w:val="right"/>
              <w:rPr>
                <w:i/>
                <w:iCs/>
                <w:sz w:val="20"/>
                <w:szCs w:val="20"/>
              </w:rPr>
            </w:pPr>
            <w:r w:rsidRPr="00FE73DE">
              <w:rPr>
                <w:i/>
                <w:iCs/>
                <w:sz w:val="20"/>
                <w:szCs w:val="20"/>
              </w:rPr>
              <w:t>32</w:t>
            </w:r>
          </w:p>
        </w:tc>
        <w:tc>
          <w:tcPr>
            <w:tcW w:w="0" w:type="auto"/>
            <w:noWrap/>
            <w:vAlign w:val="bottom"/>
            <w:hideMark/>
          </w:tcPr>
          <w:p w14:paraId="4072EE79" w14:textId="77777777" w:rsidR="003C699D" w:rsidRPr="00FE73DE" w:rsidRDefault="003C699D" w:rsidP="009F7300">
            <w:pPr>
              <w:spacing w:before="40" w:after="40" w:line="240" w:lineRule="auto"/>
              <w:jc w:val="right"/>
              <w:rPr>
                <w:i/>
                <w:iCs/>
                <w:sz w:val="20"/>
                <w:szCs w:val="20"/>
              </w:rPr>
            </w:pPr>
            <w:r w:rsidRPr="00FE73DE">
              <w:rPr>
                <w:rFonts w:cs="Calibri"/>
                <w:color w:val="000000"/>
                <w:sz w:val="20"/>
                <w:szCs w:val="20"/>
              </w:rPr>
              <w:t>45.07%</w:t>
            </w:r>
          </w:p>
        </w:tc>
      </w:tr>
      <w:tr w:rsidR="003C699D" w:rsidRPr="00FE73DE" w14:paraId="55F4D2D2" w14:textId="77777777" w:rsidTr="009F7300">
        <w:trPr>
          <w:trHeight w:val="288"/>
        </w:trPr>
        <w:tc>
          <w:tcPr>
            <w:tcW w:w="0" w:type="auto"/>
            <w:vMerge/>
          </w:tcPr>
          <w:p w14:paraId="15C6A398" w14:textId="77777777" w:rsidR="003C699D" w:rsidRPr="00FE73DE" w:rsidRDefault="003C699D" w:rsidP="009F7300">
            <w:pPr>
              <w:rPr>
                <w:sz w:val="20"/>
                <w:szCs w:val="20"/>
              </w:rPr>
            </w:pPr>
          </w:p>
        </w:tc>
        <w:tc>
          <w:tcPr>
            <w:tcW w:w="0" w:type="auto"/>
            <w:noWrap/>
            <w:hideMark/>
          </w:tcPr>
          <w:p w14:paraId="007EB2E6" w14:textId="77777777" w:rsidR="003C699D" w:rsidRPr="00FE73DE" w:rsidRDefault="003C699D" w:rsidP="009F7300">
            <w:pPr>
              <w:spacing w:before="40" w:after="40" w:line="240" w:lineRule="auto"/>
              <w:rPr>
                <w:sz w:val="20"/>
                <w:szCs w:val="20"/>
              </w:rPr>
            </w:pPr>
            <w:r w:rsidRPr="00FE73DE">
              <w:rPr>
                <w:sz w:val="20"/>
                <w:szCs w:val="20"/>
              </w:rPr>
              <w:t>Western Australia Indigenous Business and Employment Hub (Wirra Hub)</w:t>
            </w:r>
          </w:p>
        </w:tc>
        <w:tc>
          <w:tcPr>
            <w:tcW w:w="0" w:type="auto"/>
            <w:noWrap/>
            <w:hideMark/>
          </w:tcPr>
          <w:p w14:paraId="17A1C945" w14:textId="77777777" w:rsidR="003C699D" w:rsidRPr="00FE73DE" w:rsidRDefault="003C699D" w:rsidP="009F7300">
            <w:pPr>
              <w:spacing w:before="40" w:after="40" w:line="240" w:lineRule="auto"/>
              <w:jc w:val="right"/>
              <w:rPr>
                <w:sz w:val="20"/>
                <w:szCs w:val="20"/>
              </w:rPr>
            </w:pPr>
            <w:r w:rsidRPr="00FE73DE">
              <w:rPr>
                <w:sz w:val="20"/>
                <w:szCs w:val="20"/>
              </w:rPr>
              <w:t>9</w:t>
            </w:r>
          </w:p>
        </w:tc>
        <w:tc>
          <w:tcPr>
            <w:tcW w:w="0" w:type="auto"/>
            <w:noWrap/>
            <w:vAlign w:val="bottom"/>
            <w:hideMark/>
          </w:tcPr>
          <w:p w14:paraId="34B319E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12.68%</w:t>
            </w:r>
          </w:p>
        </w:tc>
      </w:tr>
      <w:tr w:rsidR="003C699D" w:rsidRPr="00FE73DE" w14:paraId="2951383F"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2C48B112" w14:textId="77777777" w:rsidR="003C699D" w:rsidRPr="00FE73DE" w:rsidRDefault="003C699D" w:rsidP="009F7300">
            <w:pPr>
              <w:rPr>
                <w:sz w:val="20"/>
                <w:szCs w:val="20"/>
              </w:rPr>
            </w:pPr>
          </w:p>
        </w:tc>
        <w:tc>
          <w:tcPr>
            <w:tcW w:w="0" w:type="auto"/>
            <w:noWrap/>
            <w:hideMark/>
          </w:tcPr>
          <w:p w14:paraId="7BBDDB8C" w14:textId="77777777" w:rsidR="003C699D" w:rsidRPr="00FE73DE" w:rsidRDefault="003C699D" w:rsidP="009F7300">
            <w:pPr>
              <w:spacing w:before="40" w:after="40" w:line="240" w:lineRule="auto"/>
              <w:rPr>
                <w:sz w:val="20"/>
                <w:szCs w:val="20"/>
              </w:rPr>
            </w:pPr>
            <w:r w:rsidRPr="00FE73DE">
              <w:rPr>
                <w:sz w:val="20"/>
                <w:szCs w:val="20"/>
              </w:rPr>
              <w:t>The Circle - First Nations Entrepreneur Hub, Adelaide</w:t>
            </w:r>
          </w:p>
        </w:tc>
        <w:tc>
          <w:tcPr>
            <w:tcW w:w="0" w:type="auto"/>
            <w:noWrap/>
            <w:hideMark/>
          </w:tcPr>
          <w:p w14:paraId="3D9C8C29" w14:textId="77777777" w:rsidR="003C699D" w:rsidRPr="00FE73DE" w:rsidRDefault="003C699D" w:rsidP="009F7300">
            <w:pPr>
              <w:spacing w:before="40" w:after="40" w:line="240" w:lineRule="auto"/>
              <w:jc w:val="right"/>
              <w:rPr>
                <w:sz w:val="20"/>
                <w:szCs w:val="20"/>
              </w:rPr>
            </w:pPr>
            <w:r w:rsidRPr="00FE73DE">
              <w:rPr>
                <w:sz w:val="20"/>
                <w:szCs w:val="20"/>
              </w:rPr>
              <w:t>5</w:t>
            </w:r>
          </w:p>
        </w:tc>
        <w:tc>
          <w:tcPr>
            <w:tcW w:w="0" w:type="auto"/>
            <w:noWrap/>
            <w:vAlign w:val="bottom"/>
            <w:hideMark/>
          </w:tcPr>
          <w:p w14:paraId="39B9D5F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7.04%</w:t>
            </w:r>
          </w:p>
        </w:tc>
      </w:tr>
      <w:tr w:rsidR="003C699D" w:rsidRPr="00FE73DE" w14:paraId="7F30FA96" w14:textId="77777777" w:rsidTr="009F7300">
        <w:trPr>
          <w:trHeight w:val="288"/>
        </w:trPr>
        <w:tc>
          <w:tcPr>
            <w:tcW w:w="0" w:type="auto"/>
            <w:vMerge/>
          </w:tcPr>
          <w:p w14:paraId="2BE79D7B" w14:textId="77777777" w:rsidR="003C699D" w:rsidRPr="00FE73DE" w:rsidRDefault="003C699D" w:rsidP="009F7300">
            <w:pPr>
              <w:rPr>
                <w:sz w:val="20"/>
                <w:szCs w:val="20"/>
              </w:rPr>
            </w:pPr>
          </w:p>
        </w:tc>
        <w:tc>
          <w:tcPr>
            <w:tcW w:w="0" w:type="auto"/>
            <w:noWrap/>
            <w:hideMark/>
          </w:tcPr>
          <w:p w14:paraId="6F91544B" w14:textId="77777777" w:rsidR="003C699D" w:rsidRPr="00FE73DE" w:rsidRDefault="003C699D" w:rsidP="009F7300">
            <w:pPr>
              <w:spacing w:before="40" w:after="40" w:line="240" w:lineRule="auto"/>
              <w:rPr>
                <w:sz w:val="20"/>
                <w:szCs w:val="20"/>
              </w:rPr>
            </w:pPr>
            <w:r w:rsidRPr="00FE73DE">
              <w:rPr>
                <w:sz w:val="20"/>
                <w:szCs w:val="20"/>
              </w:rPr>
              <w:t>Indigenous Business Women’s Network (IWBN)</w:t>
            </w:r>
          </w:p>
        </w:tc>
        <w:tc>
          <w:tcPr>
            <w:tcW w:w="0" w:type="auto"/>
            <w:noWrap/>
            <w:hideMark/>
          </w:tcPr>
          <w:p w14:paraId="355BAE91" w14:textId="77777777" w:rsidR="003C699D" w:rsidRPr="00FE73DE" w:rsidRDefault="003C699D" w:rsidP="009F7300">
            <w:pPr>
              <w:spacing w:before="40" w:after="40" w:line="240" w:lineRule="auto"/>
              <w:jc w:val="right"/>
              <w:rPr>
                <w:sz w:val="20"/>
                <w:szCs w:val="20"/>
              </w:rPr>
            </w:pPr>
            <w:r w:rsidRPr="00FE73DE">
              <w:rPr>
                <w:sz w:val="20"/>
                <w:szCs w:val="20"/>
              </w:rPr>
              <w:t>3</w:t>
            </w:r>
          </w:p>
        </w:tc>
        <w:tc>
          <w:tcPr>
            <w:tcW w:w="0" w:type="auto"/>
            <w:noWrap/>
            <w:vAlign w:val="bottom"/>
            <w:hideMark/>
          </w:tcPr>
          <w:p w14:paraId="1944CB1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4.23%</w:t>
            </w:r>
          </w:p>
        </w:tc>
      </w:tr>
      <w:tr w:rsidR="003C699D" w:rsidRPr="00FE73DE" w14:paraId="4A9C6093"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150A51A5" w14:textId="77777777" w:rsidR="003C699D" w:rsidRPr="00FE73DE" w:rsidRDefault="003C699D" w:rsidP="009F7300">
            <w:pPr>
              <w:rPr>
                <w:sz w:val="20"/>
                <w:szCs w:val="20"/>
              </w:rPr>
            </w:pPr>
          </w:p>
        </w:tc>
        <w:tc>
          <w:tcPr>
            <w:tcW w:w="0" w:type="auto"/>
            <w:noWrap/>
            <w:hideMark/>
          </w:tcPr>
          <w:p w14:paraId="47EAD1E0" w14:textId="77777777" w:rsidR="003C699D" w:rsidRPr="00FE73DE" w:rsidRDefault="003C699D" w:rsidP="009F7300">
            <w:pPr>
              <w:spacing w:before="40" w:after="40" w:line="240" w:lineRule="auto"/>
              <w:rPr>
                <w:sz w:val="20"/>
                <w:szCs w:val="20"/>
              </w:rPr>
            </w:pPr>
            <w:r w:rsidRPr="00FE73DE">
              <w:rPr>
                <w:sz w:val="20"/>
                <w:szCs w:val="20"/>
              </w:rPr>
              <w:t>NSW Indigenous Business Chamber of Commerce (NSWICC)</w:t>
            </w:r>
          </w:p>
        </w:tc>
        <w:tc>
          <w:tcPr>
            <w:tcW w:w="0" w:type="auto"/>
            <w:noWrap/>
            <w:hideMark/>
          </w:tcPr>
          <w:p w14:paraId="16825B4A" w14:textId="77777777" w:rsidR="003C699D" w:rsidRPr="00FE73DE" w:rsidRDefault="003C699D" w:rsidP="009F7300">
            <w:pPr>
              <w:spacing w:before="40" w:after="40" w:line="240" w:lineRule="auto"/>
              <w:jc w:val="right"/>
              <w:rPr>
                <w:sz w:val="20"/>
                <w:szCs w:val="20"/>
              </w:rPr>
            </w:pPr>
            <w:r w:rsidRPr="00FE73DE">
              <w:rPr>
                <w:sz w:val="20"/>
                <w:szCs w:val="20"/>
              </w:rPr>
              <w:t>3</w:t>
            </w:r>
          </w:p>
        </w:tc>
        <w:tc>
          <w:tcPr>
            <w:tcW w:w="0" w:type="auto"/>
            <w:noWrap/>
            <w:vAlign w:val="bottom"/>
            <w:hideMark/>
          </w:tcPr>
          <w:p w14:paraId="21F4E25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4.23%</w:t>
            </w:r>
          </w:p>
        </w:tc>
      </w:tr>
      <w:tr w:rsidR="003C699D" w:rsidRPr="00FE73DE" w14:paraId="5BDD14EA" w14:textId="77777777" w:rsidTr="009F7300">
        <w:trPr>
          <w:trHeight w:val="288"/>
        </w:trPr>
        <w:tc>
          <w:tcPr>
            <w:tcW w:w="0" w:type="auto"/>
            <w:vMerge/>
          </w:tcPr>
          <w:p w14:paraId="6C31C4FC" w14:textId="77777777" w:rsidR="003C699D" w:rsidRPr="00FE73DE" w:rsidRDefault="003C699D" w:rsidP="009F7300">
            <w:pPr>
              <w:rPr>
                <w:sz w:val="20"/>
                <w:szCs w:val="20"/>
              </w:rPr>
            </w:pPr>
          </w:p>
        </w:tc>
        <w:tc>
          <w:tcPr>
            <w:tcW w:w="0" w:type="auto"/>
            <w:noWrap/>
            <w:hideMark/>
          </w:tcPr>
          <w:p w14:paraId="4C5EF2BB" w14:textId="77777777" w:rsidR="003C699D" w:rsidRPr="00FE73DE" w:rsidRDefault="003C699D" w:rsidP="009F7300">
            <w:pPr>
              <w:spacing w:before="40" w:after="40" w:line="240" w:lineRule="auto"/>
              <w:rPr>
                <w:sz w:val="20"/>
                <w:szCs w:val="20"/>
              </w:rPr>
            </w:pPr>
            <w:r w:rsidRPr="00FE73DE">
              <w:rPr>
                <w:sz w:val="20"/>
                <w:szCs w:val="20"/>
              </w:rPr>
              <w:t>NT Indigenous Business Network (NTIBN)</w:t>
            </w:r>
          </w:p>
        </w:tc>
        <w:tc>
          <w:tcPr>
            <w:tcW w:w="0" w:type="auto"/>
            <w:noWrap/>
            <w:hideMark/>
          </w:tcPr>
          <w:p w14:paraId="7192BB15" w14:textId="77777777" w:rsidR="003C699D" w:rsidRPr="00FE73DE" w:rsidRDefault="003C699D" w:rsidP="009F7300">
            <w:pPr>
              <w:spacing w:before="40" w:after="40" w:line="240" w:lineRule="auto"/>
              <w:jc w:val="right"/>
              <w:rPr>
                <w:sz w:val="20"/>
                <w:szCs w:val="20"/>
              </w:rPr>
            </w:pPr>
            <w:r w:rsidRPr="00FE73DE">
              <w:rPr>
                <w:sz w:val="20"/>
                <w:szCs w:val="20"/>
              </w:rPr>
              <w:t>3</w:t>
            </w:r>
          </w:p>
        </w:tc>
        <w:tc>
          <w:tcPr>
            <w:tcW w:w="0" w:type="auto"/>
            <w:noWrap/>
            <w:vAlign w:val="bottom"/>
            <w:hideMark/>
          </w:tcPr>
          <w:p w14:paraId="25201BF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4.23%</w:t>
            </w:r>
          </w:p>
        </w:tc>
      </w:tr>
      <w:tr w:rsidR="003C699D" w:rsidRPr="00FE73DE" w14:paraId="290AF589"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4B783477" w14:textId="77777777" w:rsidR="003C699D" w:rsidRPr="00FE73DE" w:rsidRDefault="003C699D" w:rsidP="009F7300">
            <w:pPr>
              <w:rPr>
                <w:sz w:val="20"/>
                <w:szCs w:val="20"/>
              </w:rPr>
            </w:pPr>
          </w:p>
        </w:tc>
        <w:tc>
          <w:tcPr>
            <w:tcW w:w="0" w:type="auto"/>
            <w:noWrap/>
            <w:hideMark/>
          </w:tcPr>
          <w:p w14:paraId="5D81A2CE" w14:textId="77777777" w:rsidR="003C699D" w:rsidRPr="00FE73DE" w:rsidRDefault="003C699D" w:rsidP="009F7300">
            <w:pPr>
              <w:spacing w:before="40" w:after="40" w:line="240" w:lineRule="auto"/>
              <w:rPr>
                <w:sz w:val="20"/>
                <w:szCs w:val="20"/>
              </w:rPr>
            </w:pPr>
            <w:r w:rsidRPr="00FE73DE">
              <w:rPr>
                <w:sz w:val="20"/>
                <w:szCs w:val="20"/>
              </w:rPr>
              <w:t xml:space="preserve">Other </w:t>
            </w:r>
          </w:p>
        </w:tc>
        <w:tc>
          <w:tcPr>
            <w:tcW w:w="0" w:type="auto"/>
            <w:noWrap/>
            <w:hideMark/>
          </w:tcPr>
          <w:p w14:paraId="514F900D" w14:textId="77777777" w:rsidR="003C699D" w:rsidRPr="00FE73DE" w:rsidRDefault="003C699D" w:rsidP="009F7300">
            <w:pPr>
              <w:spacing w:before="40" w:after="40" w:line="240" w:lineRule="auto"/>
              <w:jc w:val="right"/>
              <w:rPr>
                <w:sz w:val="20"/>
                <w:szCs w:val="20"/>
              </w:rPr>
            </w:pPr>
            <w:r w:rsidRPr="00FE73DE">
              <w:rPr>
                <w:sz w:val="20"/>
                <w:szCs w:val="20"/>
              </w:rPr>
              <w:t>2</w:t>
            </w:r>
          </w:p>
        </w:tc>
        <w:tc>
          <w:tcPr>
            <w:tcW w:w="0" w:type="auto"/>
            <w:noWrap/>
            <w:vAlign w:val="bottom"/>
            <w:hideMark/>
          </w:tcPr>
          <w:p w14:paraId="74562D0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6957BA07" w14:textId="77777777" w:rsidTr="009F7300">
        <w:trPr>
          <w:trHeight w:val="288"/>
        </w:trPr>
        <w:tc>
          <w:tcPr>
            <w:tcW w:w="0" w:type="auto"/>
            <w:vMerge/>
          </w:tcPr>
          <w:p w14:paraId="247A4A09" w14:textId="77777777" w:rsidR="003C699D" w:rsidRPr="00FE73DE" w:rsidRDefault="003C699D" w:rsidP="009F7300">
            <w:pPr>
              <w:rPr>
                <w:sz w:val="20"/>
                <w:szCs w:val="20"/>
              </w:rPr>
            </w:pPr>
          </w:p>
        </w:tc>
        <w:tc>
          <w:tcPr>
            <w:tcW w:w="0" w:type="auto"/>
            <w:noWrap/>
            <w:hideMark/>
          </w:tcPr>
          <w:p w14:paraId="0276F6C4" w14:textId="77777777" w:rsidR="003C699D" w:rsidRPr="00FE73DE" w:rsidRDefault="003C699D" w:rsidP="009F7300">
            <w:pPr>
              <w:spacing w:before="40" w:after="40" w:line="240" w:lineRule="auto"/>
              <w:rPr>
                <w:sz w:val="20"/>
                <w:szCs w:val="20"/>
              </w:rPr>
            </w:pPr>
            <w:r w:rsidRPr="00FE73DE">
              <w:rPr>
                <w:sz w:val="20"/>
                <w:szCs w:val="20"/>
              </w:rPr>
              <w:t>Yarpa NSW Indigenous Business and Employment Board Hub (Yarpa Hub)</w:t>
            </w:r>
          </w:p>
        </w:tc>
        <w:tc>
          <w:tcPr>
            <w:tcW w:w="0" w:type="auto"/>
            <w:noWrap/>
            <w:hideMark/>
          </w:tcPr>
          <w:p w14:paraId="28E57939" w14:textId="77777777" w:rsidR="003C699D" w:rsidRPr="00FE73DE" w:rsidRDefault="003C699D" w:rsidP="009F7300">
            <w:pPr>
              <w:spacing w:before="40" w:after="40" w:line="240" w:lineRule="auto"/>
              <w:jc w:val="right"/>
              <w:rPr>
                <w:sz w:val="20"/>
                <w:szCs w:val="20"/>
              </w:rPr>
            </w:pPr>
            <w:r w:rsidRPr="00FE73DE">
              <w:rPr>
                <w:sz w:val="20"/>
                <w:szCs w:val="20"/>
              </w:rPr>
              <w:t>2</w:t>
            </w:r>
          </w:p>
        </w:tc>
        <w:tc>
          <w:tcPr>
            <w:tcW w:w="0" w:type="auto"/>
            <w:noWrap/>
            <w:vAlign w:val="bottom"/>
            <w:hideMark/>
          </w:tcPr>
          <w:p w14:paraId="06684625"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77255B30"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65888E69" w14:textId="77777777" w:rsidR="003C699D" w:rsidRPr="00FE73DE" w:rsidRDefault="003C699D" w:rsidP="009F7300">
            <w:pPr>
              <w:rPr>
                <w:sz w:val="20"/>
                <w:szCs w:val="20"/>
              </w:rPr>
            </w:pPr>
          </w:p>
        </w:tc>
        <w:tc>
          <w:tcPr>
            <w:tcW w:w="0" w:type="auto"/>
            <w:noWrap/>
            <w:hideMark/>
          </w:tcPr>
          <w:p w14:paraId="42CC3340" w14:textId="77777777" w:rsidR="003C699D" w:rsidRPr="00FE73DE" w:rsidRDefault="003C699D" w:rsidP="009F7300">
            <w:pPr>
              <w:spacing w:before="40" w:after="40" w:line="240" w:lineRule="auto"/>
              <w:rPr>
                <w:sz w:val="20"/>
                <w:szCs w:val="20"/>
              </w:rPr>
            </w:pPr>
            <w:r w:rsidRPr="00FE73DE">
              <w:rPr>
                <w:sz w:val="20"/>
                <w:szCs w:val="20"/>
              </w:rPr>
              <w:t>Aboriginal Business Industry Chamber of South Australia (ABICSA)</w:t>
            </w:r>
          </w:p>
        </w:tc>
        <w:tc>
          <w:tcPr>
            <w:tcW w:w="0" w:type="auto"/>
            <w:noWrap/>
            <w:hideMark/>
          </w:tcPr>
          <w:p w14:paraId="2ED707AD" w14:textId="77777777" w:rsidR="003C699D" w:rsidRPr="00FE73DE" w:rsidRDefault="003C699D" w:rsidP="009F7300">
            <w:pPr>
              <w:spacing w:before="40" w:after="40" w:line="240" w:lineRule="auto"/>
              <w:jc w:val="right"/>
              <w:rPr>
                <w:sz w:val="20"/>
                <w:szCs w:val="20"/>
              </w:rPr>
            </w:pPr>
            <w:r w:rsidRPr="00FE73DE">
              <w:rPr>
                <w:sz w:val="20"/>
                <w:szCs w:val="20"/>
              </w:rPr>
              <w:t>2</w:t>
            </w:r>
          </w:p>
        </w:tc>
        <w:tc>
          <w:tcPr>
            <w:tcW w:w="0" w:type="auto"/>
            <w:noWrap/>
            <w:vAlign w:val="bottom"/>
            <w:hideMark/>
          </w:tcPr>
          <w:p w14:paraId="0A4E412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2.82%</w:t>
            </w:r>
          </w:p>
        </w:tc>
      </w:tr>
      <w:tr w:rsidR="003C699D" w:rsidRPr="00FE73DE" w14:paraId="2DA76A10" w14:textId="77777777" w:rsidTr="009F7300">
        <w:trPr>
          <w:trHeight w:val="288"/>
        </w:trPr>
        <w:tc>
          <w:tcPr>
            <w:tcW w:w="0" w:type="auto"/>
            <w:vMerge/>
          </w:tcPr>
          <w:p w14:paraId="6F283639" w14:textId="77777777" w:rsidR="003C699D" w:rsidRPr="00FE73DE" w:rsidRDefault="003C699D" w:rsidP="009F7300">
            <w:pPr>
              <w:rPr>
                <w:sz w:val="20"/>
                <w:szCs w:val="20"/>
              </w:rPr>
            </w:pPr>
          </w:p>
        </w:tc>
        <w:tc>
          <w:tcPr>
            <w:tcW w:w="0" w:type="auto"/>
            <w:noWrap/>
            <w:hideMark/>
          </w:tcPr>
          <w:p w14:paraId="74B51739" w14:textId="77777777" w:rsidR="003C699D" w:rsidRPr="00FE73DE" w:rsidRDefault="003C699D" w:rsidP="009F7300">
            <w:pPr>
              <w:spacing w:before="40" w:after="40" w:line="240" w:lineRule="auto"/>
              <w:rPr>
                <w:sz w:val="20"/>
                <w:szCs w:val="20"/>
              </w:rPr>
            </w:pPr>
            <w:r w:rsidRPr="00FE73DE">
              <w:rPr>
                <w:sz w:val="20"/>
                <w:szCs w:val="20"/>
              </w:rPr>
              <w:t>South East Queensland Indigenous Chamber of Commerce (SEQICC)</w:t>
            </w:r>
          </w:p>
        </w:tc>
        <w:tc>
          <w:tcPr>
            <w:tcW w:w="0" w:type="auto"/>
            <w:noWrap/>
            <w:hideMark/>
          </w:tcPr>
          <w:p w14:paraId="6248E2E9" w14:textId="77777777" w:rsidR="003C699D" w:rsidRPr="00FE73DE" w:rsidRDefault="003C699D" w:rsidP="009F7300">
            <w:pPr>
              <w:spacing w:before="40" w:after="40" w:line="240" w:lineRule="auto"/>
              <w:jc w:val="right"/>
              <w:rPr>
                <w:sz w:val="20"/>
                <w:szCs w:val="20"/>
              </w:rPr>
            </w:pPr>
            <w:r w:rsidRPr="00FE73DE">
              <w:rPr>
                <w:sz w:val="20"/>
                <w:szCs w:val="20"/>
              </w:rPr>
              <w:t>2</w:t>
            </w:r>
          </w:p>
        </w:tc>
        <w:tc>
          <w:tcPr>
            <w:tcW w:w="0" w:type="auto"/>
            <w:noWrap/>
            <w:vAlign w:val="bottom"/>
            <w:hideMark/>
          </w:tcPr>
          <w:p w14:paraId="2135F291" w14:textId="77777777" w:rsidR="003C699D" w:rsidRPr="00FE73DE" w:rsidRDefault="003C699D" w:rsidP="009F7300">
            <w:pPr>
              <w:spacing w:before="40" w:after="40" w:line="240" w:lineRule="auto"/>
              <w:jc w:val="right"/>
              <w:rPr>
                <w:sz w:val="20"/>
                <w:szCs w:val="20"/>
              </w:rPr>
            </w:pPr>
            <w:r w:rsidRPr="00FE73DE">
              <w:rPr>
                <w:rFonts w:cs="Calibri"/>
                <w:color w:val="000000"/>
              </w:rPr>
              <w:t>2.82%</w:t>
            </w:r>
          </w:p>
        </w:tc>
      </w:tr>
      <w:tr w:rsidR="003C699D" w:rsidRPr="00FE73DE" w14:paraId="6EFFABBF"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0A9CA2EF" w14:textId="77777777" w:rsidR="003C699D" w:rsidRPr="00FE73DE" w:rsidRDefault="003C699D" w:rsidP="009F7300">
            <w:pPr>
              <w:rPr>
                <w:sz w:val="20"/>
                <w:szCs w:val="20"/>
              </w:rPr>
            </w:pPr>
          </w:p>
        </w:tc>
        <w:tc>
          <w:tcPr>
            <w:tcW w:w="0" w:type="auto"/>
            <w:noWrap/>
            <w:hideMark/>
          </w:tcPr>
          <w:p w14:paraId="36236A5D" w14:textId="77777777" w:rsidR="003C699D" w:rsidRPr="00FE73DE" w:rsidRDefault="003C699D" w:rsidP="009F7300">
            <w:pPr>
              <w:spacing w:before="40" w:after="40" w:line="240" w:lineRule="auto"/>
              <w:rPr>
                <w:sz w:val="20"/>
                <w:szCs w:val="20"/>
              </w:rPr>
            </w:pPr>
            <w:r w:rsidRPr="00FE73DE">
              <w:rPr>
                <w:sz w:val="20"/>
                <w:szCs w:val="20"/>
              </w:rPr>
              <w:t>First Australians Chamber of Commerce and Industry (FACCI)</w:t>
            </w:r>
          </w:p>
        </w:tc>
        <w:tc>
          <w:tcPr>
            <w:tcW w:w="0" w:type="auto"/>
            <w:noWrap/>
            <w:hideMark/>
          </w:tcPr>
          <w:p w14:paraId="07B44CD4" w14:textId="77777777" w:rsidR="003C699D" w:rsidRPr="00FE73DE" w:rsidRDefault="003C699D" w:rsidP="009F7300">
            <w:pPr>
              <w:spacing w:before="40" w:after="40" w:line="240" w:lineRule="auto"/>
              <w:jc w:val="right"/>
              <w:rPr>
                <w:sz w:val="20"/>
                <w:szCs w:val="20"/>
              </w:rPr>
            </w:pPr>
            <w:r w:rsidRPr="00FE73DE">
              <w:rPr>
                <w:sz w:val="20"/>
                <w:szCs w:val="20"/>
              </w:rPr>
              <w:t>2</w:t>
            </w:r>
          </w:p>
        </w:tc>
        <w:tc>
          <w:tcPr>
            <w:tcW w:w="0" w:type="auto"/>
            <w:noWrap/>
            <w:vAlign w:val="bottom"/>
            <w:hideMark/>
          </w:tcPr>
          <w:p w14:paraId="2AF408BB" w14:textId="77777777" w:rsidR="003C699D" w:rsidRPr="00FE73DE" w:rsidRDefault="003C699D" w:rsidP="009F7300">
            <w:pPr>
              <w:spacing w:before="40" w:after="40" w:line="240" w:lineRule="auto"/>
              <w:jc w:val="right"/>
              <w:rPr>
                <w:sz w:val="20"/>
                <w:szCs w:val="20"/>
              </w:rPr>
            </w:pPr>
            <w:r w:rsidRPr="00FE73DE">
              <w:rPr>
                <w:rFonts w:cs="Calibri"/>
                <w:color w:val="000000"/>
              </w:rPr>
              <w:t>2.82%</w:t>
            </w:r>
          </w:p>
        </w:tc>
      </w:tr>
      <w:tr w:rsidR="003C699D" w:rsidRPr="00FE73DE" w14:paraId="400B9060" w14:textId="77777777" w:rsidTr="009F7300">
        <w:trPr>
          <w:trHeight w:val="288"/>
        </w:trPr>
        <w:tc>
          <w:tcPr>
            <w:tcW w:w="0" w:type="auto"/>
            <w:vMerge/>
          </w:tcPr>
          <w:p w14:paraId="616CB8F8" w14:textId="77777777" w:rsidR="003C699D" w:rsidRPr="00FE73DE" w:rsidRDefault="003C699D" w:rsidP="009F7300">
            <w:pPr>
              <w:rPr>
                <w:sz w:val="20"/>
                <w:szCs w:val="20"/>
              </w:rPr>
            </w:pPr>
          </w:p>
        </w:tc>
        <w:tc>
          <w:tcPr>
            <w:tcW w:w="0" w:type="auto"/>
            <w:noWrap/>
            <w:hideMark/>
          </w:tcPr>
          <w:p w14:paraId="2300E23B" w14:textId="77777777" w:rsidR="003C699D" w:rsidRPr="00FE73DE" w:rsidRDefault="003C699D" w:rsidP="009F7300">
            <w:pPr>
              <w:spacing w:before="40" w:after="40" w:line="240" w:lineRule="auto"/>
              <w:rPr>
                <w:sz w:val="20"/>
                <w:szCs w:val="20"/>
              </w:rPr>
            </w:pPr>
            <w:r w:rsidRPr="00FE73DE">
              <w:rPr>
                <w:sz w:val="20"/>
                <w:szCs w:val="20"/>
              </w:rPr>
              <w:t>Kinaway Chamber of Commerce Victoria Ltd</w:t>
            </w:r>
          </w:p>
        </w:tc>
        <w:tc>
          <w:tcPr>
            <w:tcW w:w="0" w:type="auto"/>
            <w:noWrap/>
            <w:hideMark/>
          </w:tcPr>
          <w:p w14:paraId="73F3A6A1" w14:textId="77777777" w:rsidR="003C699D" w:rsidRPr="00FE73DE" w:rsidRDefault="003C699D" w:rsidP="009F7300">
            <w:pPr>
              <w:spacing w:before="40" w:after="40" w:line="240" w:lineRule="auto"/>
              <w:jc w:val="right"/>
              <w:rPr>
                <w:sz w:val="20"/>
                <w:szCs w:val="20"/>
              </w:rPr>
            </w:pPr>
            <w:r w:rsidRPr="00FE73DE">
              <w:rPr>
                <w:sz w:val="20"/>
                <w:szCs w:val="20"/>
              </w:rPr>
              <w:t>2</w:t>
            </w:r>
          </w:p>
        </w:tc>
        <w:tc>
          <w:tcPr>
            <w:tcW w:w="0" w:type="auto"/>
            <w:noWrap/>
            <w:vAlign w:val="bottom"/>
            <w:hideMark/>
          </w:tcPr>
          <w:p w14:paraId="654C6D57" w14:textId="77777777" w:rsidR="003C699D" w:rsidRPr="00FE73DE" w:rsidRDefault="003C699D" w:rsidP="009F7300">
            <w:pPr>
              <w:spacing w:before="40" w:after="40" w:line="240" w:lineRule="auto"/>
              <w:jc w:val="right"/>
              <w:rPr>
                <w:sz w:val="20"/>
                <w:szCs w:val="20"/>
              </w:rPr>
            </w:pPr>
            <w:r w:rsidRPr="00FE73DE">
              <w:rPr>
                <w:rFonts w:cs="Calibri"/>
                <w:color w:val="000000"/>
              </w:rPr>
              <w:t>2.82%</w:t>
            </w:r>
          </w:p>
        </w:tc>
      </w:tr>
      <w:tr w:rsidR="003C699D" w:rsidRPr="00FE73DE" w14:paraId="591F67A8" w14:textId="77777777" w:rsidTr="009F7300">
        <w:trPr>
          <w:cnfStyle w:val="000000010000" w:firstRow="0" w:lastRow="0" w:firstColumn="0" w:lastColumn="0" w:oddVBand="0" w:evenVBand="0" w:oddHBand="0" w:evenHBand="1" w:firstRowFirstColumn="0" w:firstRowLastColumn="0" w:lastRowFirstColumn="0" w:lastRowLastColumn="0"/>
          <w:trHeight w:val="288"/>
        </w:trPr>
        <w:tc>
          <w:tcPr>
            <w:tcW w:w="0" w:type="auto"/>
            <w:vMerge/>
          </w:tcPr>
          <w:p w14:paraId="16AE90B0" w14:textId="77777777" w:rsidR="003C699D" w:rsidRPr="00FE73DE" w:rsidRDefault="003C699D" w:rsidP="009F7300">
            <w:pPr>
              <w:rPr>
                <w:sz w:val="20"/>
                <w:szCs w:val="20"/>
              </w:rPr>
            </w:pPr>
          </w:p>
        </w:tc>
        <w:tc>
          <w:tcPr>
            <w:tcW w:w="0" w:type="auto"/>
            <w:noWrap/>
            <w:hideMark/>
          </w:tcPr>
          <w:p w14:paraId="41F1734C" w14:textId="77777777" w:rsidR="003C699D" w:rsidRPr="00FE73DE" w:rsidRDefault="003C699D" w:rsidP="009F7300">
            <w:pPr>
              <w:spacing w:before="40" w:after="40" w:line="240" w:lineRule="auto"/>
              <w:rPr>
                <w:sz w:val="20"/>
                <w:szCs w:val="20"/>
              </w:rPr>
            </w:pPr>
            <w:r w:rsidRPr="00FE73DE">
              <w:rPr>
                <w:sz w:val="20"/>
                <w:szCs w:val="20"/>
              </w:rPr>
              <w:t>Townsville Region Indigenous Business Network (TRIBN)</w:t>
            </w:r>
          </w:p>
        </w:tc>
        <w:tc>
          <w:tcPr>
            <w:tcW w:w="0" w:type="auto"/>
            <w:noWrap/>
            <w:hideMark/>
          </w:tcPr>
          <w:p w14:paraId="66E10FC3" w14:textId="77777777" w:rsidR="003C699D" w:rsidRPr="00FE73DE" w:rsidRDefault="003C699D" w:rsidP="009F7300">
            <w:pPr>
              <w:spacing w:before="40" w:after="40" w:line="240" w:lineRule="auto"/>
              <w:jc w:val="right"/>
              <w:rPr>
                <w:sz w:val="20"/>
                <w:szCs w:val="20"/>
              </w:rPr>
            </w:pPr>
            <w:r w:rsidRPr="00FE73DE">
              <w:rPr>
                <w:sz w:val="20"/>
                <w:szCs w:val="20"/>
              </w:rPr>
              <w:t>1</w:t>
            </w:r>
          </w:p>
        </w:tc>
        <w:tc>
          <w:tcPr>
            <w:tcW w:w="0" w:type="auto"/>
            <w:noWrap/>
            <w:vAlign w:val="bottom"/>
            <w:hideMark/>
          </w:tcPr>
          <w:p w14:paraId="63268DEB" w14:textId="77777777" w:rsidR="003C699D" w:rsidRPr="00FE73DE" w:rsidRDefault="003C699D" w:rsidP="009F7300">
            <w:pPr>
              <w:spacing w:before="40" w:after="40" w:line="240" w:lineRule="auto"/>
              <w:jc w:val="right"/>
              <w:rPr>
                <w:sz w:val="20"/>
                <w:szCs w:val="20"/>
              </w:rPr>
            </w:pPr>
            <w:r w:rsidRPr="00FE73DE">
              <w:rPr>
                <w:rFonts w:cs="Calibri"/>
                <w:color w:val="000000"/>
              </w:rPr>
              <w:t>1.41%</w:t>
            </w:r>
          </w:p>
        </w:tc>
      </w:tr>
    </w:tbl>
    <w:p w14:paraId="24D87877" w14:textId="77777777" w:rsidR="003C699D" w:rsidRPr="00FE73DE" w:rsidRDefault="003C699D" w:rsidP="00131A63">
      <w:pPr>
        <w:pStyle w:val="TableNote"/>
      </w:pPr>
      <w:r w:rsidRPr="00FE73DE">
        <w:t>*Respondents were able to select more than one answer for these questions. Therefore, the percentages provided indicates the proportion of total respondents (n=71) that selected each option.</w:t>
      </w:r>
    </w:p>
    <w:p w14:paraId="1F923E4E" w14:textId="77777777" w:rsidR="003C699D" w:rsidRPr="00FE73DE" w:rsidRDefault="003C699D" w:rsidP="003C699D">
      <w:pPr>
        <w:pStyle w:val="Heading4"/>
      </w:pPr>
      <w:r w:rsidRPr="00FE73DE">
        <w:t>IBA customers</w:t>
      </w:r>
    </w:p>
    <w:p w14:paraId="486CFE58" w14:textId="5DEB1F2C" w:rsidR="003C699D" w:rsidRPr="00FE73DE" w:rsidRDefault="003C699D" w:rsidP="003C699D">
      <w:r w:rsidRPr="00FE73DE">
        <w:t xml:space="preserve">The demographic data provides a snapshot of the 30 respondents who had been IBA customers (see </w:t>
      </w:r>
      <w:r w:rsidRPr="00FE73DE">
        <w:fldChar w:fldCharType="begin"/>
      </w:r>
      <w:r w:rsidRPr="00FE73DE">
        <w:instrText xml:space="preserve"> REF _Ref104191495 \h </w:instrText>
      </w:r>
      <w:r w:rsidRPr="00FE73DE">
        <w:fldChar w:fldCharType="separate"/>
      </w:r>
      <w:r w:rsidR="004718C9" w:rsidRPr="00FE73DE">
        <w:t xml:space="preserve">Table </w:t>
      </w:r>
      <w:r w:rsidR="004718C9">
        <w:rPr>
          <w:noProof/>
        </w:rPr>
        <w:t>12</w:t>
      </w:r>
      <w:r w:rsidRPr="00FE73DE">
        <w:fldChar w:fldCharType="end"/>
      </w:r>
      <w:r w:rsidRPr="00FE73DE">
        <w:t>). Notably, of the respondents who had been IBA customers, 63</w:t>
      </w:r>
      <w:r w:rsidR="008557E8">
        <w:t>%</w:t>
      </w:r>
      <w:r w:rsidRPr="00FE73DE">
        <w:t xml:space="preserve"> (n=19) were male, 60</w:t>
      </w:r>
      <w:r w:rsidR="008557E8">
        <w:t>%</w:t>
      </w:r>
      <w:r w:rsidRPr="00FE73DE" w:rsidDel="000C00D9">
        <w:t xml:space="preserve"> </w:t>
      </w:r>
      <w:r w:rsidRPr="00FE73DE">
        <w:t>(n=18) were over the age of 50, 70</w:t>
      </w:r>
      <w:r w:rsidR="008557E8">
        <w:t>%</w:t>
      </w:r>
      <w:r w:rsidRPr="00FE73DE">
        <w:t xml:space="preserve"> (n=21) were from businesses that had been operating for more than </w:t>
      </w:r>
      <w:r w:rsidR="00295C5C">
        <w:t>five</w:t>
      </w:r>
      <w:r w:rsidRPr="00FE73DE">
        <w:t xml:space="preserve"> years, 36.7</w:t>
      </w:r>
      <w:r w:rsidR="008557E8">
        <w:t>%</w:t>
      </w:r>
      <w:r w:rsidRPr="00FE73DE">
        <w:t xml:space="preserve"> (n=11) were from Western Australia, 50</w:t>
      </w:r>
      <w:r w:rsidR="008557E8">
        <w:t>%</w:t>
      </w:r>
      <w:r w:rsidRPr="00FE73DE" w:rsidDel="000C00D9">
        <w:t xml:space="preserve"> </w:t>
      </w:r>
      <w:r w:rsidRPr="00FE73DE">
        <w:t>(n=15) were from business with a turnover of more than $500,000 per year, and 51.9% (n=14)</w:t>
      </w:r>
      <w:r w:rsidRPr="00FE73DE">
        <w:rPr>
          <w:rStyle w:val="FootnoteReference"/>
        </w:rPr>
        <w:footnoteReference w:id="74"/>
      </w:r>
      <w:r w:rsidRPr="00FE73DE">
        <w:t xml:space="preserve"> were from businesses in the ‘start-up’ or ‘growth’ phase.</w:t>
      </w:r>
    </w:p>
    <w:p w14:paraId="18663ECD" w14:textId="61A4E3F4" w:rsidR="003C699D" w:rsidRPr="00FE73DE" w:rsidRDefault="003C699D" w:rsidP="003C699D">
      <w:pPr>
        <w:pStyle w:val="Caption"/>
        <w:keepNext/>
      </w:pPr>
      <w:bookmarkStart w:id="164" w:name="_Ref104191495"/>
      <w:r w:rsidRPr="00FE73DE">
        <w:t xml:space="preserve">Table </w:t>
      </w:r>
      <w:fldSimple w:instr=" SEQ Table \* ARABIC ">
        <w:r w:rsidR="004718C9">
          <w:rPr>
            <w:noProof/>
          </w:rPr>
          <w:t>12</w:t>
        </w:r>
      </w:fldSimple>
      <w:bookmarkEnd w:id="164"/>
      <w:r w:rsidRPr="00FE73DE">
        <w:t>: IBA customer demographics</w:t>
      </w:r>
    </w:p>
    <w:tbl>
      <w:tblPr>
        <w:tblStyle w:val="Summaryboxtablestyle"/>
        <w:tblW w:w="5000" w:type="pct"/>
        <w:tblLook w:val="04A0" w:firstRow="1" w:lastRow="0" w:firstColumn="1" w:lastColumn="0" w:noHBand="0" w:noVBand="1"/>
      </w:tblPr>
      <w:tblGrid>
        <w:gridCol w:w="2925"/>
        <w:gridCol w:w="4507"/>
        <w:gridCol w:w="494"/>
        <w:gridCol w:w="964"/>
      </w:tblGrid>
      <w:tr w:rsidR="003C699D" w:rsidRPr="00FE73DE" w14:paraId="4D78649D" w14:textId="77777777" w:rsidTr="009F7300">
        <w:trPr>
          <w:cnfStyle w:val="100000000000" w:firstRow="1" w:lastRow="0" w:firstColumn="0" w:lastColumn="0" w:oddVBand="0" w:evenVBand="0" w:oddHBand="0" w:evenHBand="0" w:firstRowFirstColumn="0" w:firstRowLastColumn="0" w:lastRowFirstColumn="0" w:lastRowLastColumn="0"/>
          <w:tblHeader/>
        </w:trPr>
        <w:tc>
          <w:tcPr>
            <w:tcW w:w="4180" w:type="pct"/>
            <w:gridSpan w:val="2"/>
            <w:tcBorders>
              <w:bottom w:val="nil"/>
            </w:tcBorders>
          </w:tcPr>
          <w:p w14:paraId="2584073B" w14:textId="77777777" w:rsidR="003C699D" w:rsidRPr="00FE73DE" w:rsidRDefault="003C699D" w:rsidP="009F7300">
            <w:pPr>
              <w:spacing w:before="40" w:after="40" w:line="240" w:lineRule="auto"/>
            </w:pPr>
            <w:r w:rsidRPr="00FE73DE">
              <w:t>Characteristics</w:t>
            </w:r>
          </w:p>
        </w:tc>
        <w:tc>
          <w:tcPr>
            <w:tcW w:w="820" w:type="pct"/>
            <w:gridSpan w:val="2"/>
            <w:tcBorders>
              <w:bottom w:val="nil"/>
            </w:tcBorders>
          </w:tcPr>
          <w:p w14:paraId="55162438" w14:textId="77777777" w:rsidR="003C699D" w:rsidRPr="00FE73DE" w:rsidRDefault="003C699D" w:rsidP="009F7300">
            <w:pPr>
              <w:spacing w:before="40" w:after="40" w:line="240" w:lineRule="auto"/>
              <w:jc w:val="center"/>
            </w:pPr>
            <w:r w:rsidRPr="00FE73DE">
              <w:t>Responses</w:t>
            </w:r>
          </w:p>
        </w:tc>
      </w:tr>
      <w:tr w:rsidR="003C699D" w:rsidRPr="00FE73DE" w14:paraId="4F50D993" w14:textId="77777777" w:rsidTr="009F7300">
        <w:tc>
          <w:tcPr>
            <w:tcW w:w="1645" w:type="pct"/>
            <w:vMerge w:val="restart"/>
            <w:tcBorders>
              <w:top w:val="nil"/>
              <w:bottom w:val="nil"/>
            </w:tcBorders>
            <w:vAlign w:val="center"/>
          </w:tcPr>
          <w:p w14:paraId="1EB8C6EF" w14:textId="77777777" w:rsidR="003C699D" w:rsidRPr="00FE73DE" w:rsidRDefault="003C699D" w:rsidP="009F7300">
            <w:pPr>
              <w:spacing w:before="40" w:after="40" w:line="240" w:lineRule="auto"/>
              <w:jc w:val="left"/>
              <w:rPr>
                <w:b/>
                <w:bCs/>
                <w:sz w:val="20"/>
                <w:szCs w:val="20"/>
              </w:rPr>
            </w:pPr>
            <w:r w:rsidRPr="00FE73DE">
              <w:rPr>
                <w:b/>
                <w:bCs/>
                <w:sz w:val="20"/>
                <w:szCs w:val="20"/>
              </w:rPr>
              <w:t>Age</w:t>
            </w:r>
          </w:p>
        </w:tc>
        <w:tc>
          <w:tcPr>
            <w:tcW w:w="2535" w:type="pct"/>
            <w:tcBorders>
              <w:top w:val="nil"/>
              <w:bottom w:val="nil"/>
            </w:tcBorders>
            <w:vAlign w:val="bottom"/>
          </w:tcPr>
          <w:p w14:paraId="31B487E1"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25 - 30 years old</w:t>
            </w:r>
          </w:p>
        </w:tc>
        <w:tc>
          <w:tcPr>
            <w:tcW w:w="278" w:type="pct"/>
            <w:tcBorders>
              <w:top w:val="nil"/>
              <w:bottom w:val="nil"/>
            </w:tcBorders>
            <w:vAlign w:val="bottom"/>
          </w:tcPr>
          <w:p w14:paraId="75CDA065"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6C8F44D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6.67%</w:t>
            </w:r>
          </w:p>
        </w:tc>
      </w:tr>
      <w:tr w:rsidR="003C699D" w:rsidRPr="00FE73DE" w14:paraId="38463EE7"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6BB7C4C6"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404E11C"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31 - 35 years old</w:t>
            </w:r>
          </w:p>
        </w:tc>
        <w:tc>
          <w:tcPr>
            <w:tcW w:w="278" w:type="pct"/>
            <w:tcBorders>
              <w:top w:val="nil"/>
              <w:bottom w:val="nil"/>
            </w:tcBorders>
            <w:vAlign w:val="bottom"/>
          </w:tcPr>
          <w:p w14:paraId="4A3CA85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nil"/>
              <w:bottom w:val="nil"/>
            </w:tcBorders>
            <w:vAlign w:val="bottom"/>
          </w:tcPr>
          <w:p w14:paraId="1413022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3.33%</w:t>
            </w:r>
          </w:p>
        </w:tc>
      </w:tr>
      <w:tr w:rsidR="003C699D" w:rsidRPr="00FE73DE" w14:paraId="47087F12" w14:textId="77777777" w:rsidTr="009F7300">
        <w:tc>
          <w:tcPr>
            <w:tcW w:w="1645" w:type="pct"/>
            <w:vMerge/>
            <w:tcBorders>
              <w:top w:val="nil"/>
              <w:bottom w:val="nil"/>
            </w:tcBorders>
            <w:vAlign w:val="center"/>
          </w:tcPr>
          <w:p w14:paraId="79E7E840"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50C5D244"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36 - 40 years old</w:t>
            </w:r>
          </w:p>
        </w:tc>
        <w:tc>
          <w:tcPr>
            <w:tcW w:w="278" w:type="pct"/>
            <w:tcBorders>
              <w:top w:val="nil"/>
              <w:bottom w:val="nil"/>
            </w:tcBorders>
            <w:vAlign w:val="bottom"/>
          </w:tcPr>
          <w:p w14:paraId="50204DA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024FB61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6.67%</w:t>
            </w:r>
          </w:p>
        </w:tc>
      </w:tr>
      <w:tr w:rsidR="003C699D" w:rsidRPr="00FE73DE" w14:paraId="6A100B21"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2BFFA7AA"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9CFF23D"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41 - 45 years old</w:t>
            </w:r>
          </w:p>
        </w:tc>
        <w:tc>
          <w:tcPr>
            <w:tcW w:w="278" w:type="pct"/>
            <w:tcBorders>
              <w:top w:val="nil"/>
              <w:bottom w:val="nil"/>
            </w:tcBorders>
            <w:vAlign w:val="bottom"/>
          </w:tcPr>
          <w:p w14:paraId="098CBA9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542" w:type="pct"/>
            <w:tcBorders>
              <w:top w:val="nil"/>
              <w:bottom w:val="nil"/>
            </w:tcBorders>
            <w:vAlign w:val="bottom"/>
          </w:tcPr>
          <w:p w14:paraId="76DF280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13.33%</w:t>
            </w:r>
          </w:p>
        </w:tc>
      </w:tr>
      <w:tr w:rsidR="003C699D" w:rsidRPr="00FE73DE" w14:paraId="759F9551" w14:textId="77777777" w:rsidTr="009F7300">
        <w:tc>
          <w:tcPr>
            <w:tcW w:w="1645" w:type="pct"/>
            <w:vMerge/>
            <w:tcBorders>
              <w:top w:val="nil"/>
              <w:bottom w:val="nil"/>
            </w:tcBorders>
            <w:vAlign w:val="center"/>
          </w:tcPr>
          <w:p w14:paraId="0487E8CD"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6CFAC4F4"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46 - 50 years old</w:t>
            </w:r>
          </w:p>
        </w:tc>
        <w:tc>
          <w:tcPr>
            <w:tcW w:w="278" w:type="pct"/>
            <w:tcBorders>
              <w:top w:val="nil"/>
              <w:bottom w:val="nil"/>
            </w:tcBorders>
            <w:vAlign w:val="bottom"/>
          </w:tcPr>
          <w:p w14:paraId="6B62C59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474322E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59E0BF6A"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06303F9D"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4050ED4"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51 - 55 years old</w:t>
            </w:r>
          </w:p>
        </w:tc>
        <w:tc>
          <w:tcPr>
            <w:tcW w:w="278" w:type="pct"/>
            <w:tcBorders>
              <w:top w:val="nil"/>
              <w:bottom w:val="nil"/>
            </w:tcBorders>
            <w:vAlign w:val="bottom"/>
          </w:tcPr>
          <w:p w14:paraId="5116959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w:t>
            </w:r>
          </w:p>
        </w:tc>
        <w:tc>
          <w:tcPr>
            <w:tcW w:w="542" w:type="pct"/>
            <w:tcBorders>
              <w:top w:val="nil"/>
              <w:bottom w:val="nil"/>
            </w:tcBorders>
            <w:vAlign w:val="bottom"/>
          </w:tcPr>
          <w:p w14:paraId="6A765D28"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20.00%</w:t>
            </w:r>
          </w:p>
        </w:tc>
      </w:tr>
      <w:tr w:rsidR="003C699D" w:rsidRPr="00FE73DE" w14:paraId="3E93EB70" w14:textId="77777777" w:rsidTr="009F7300">
        <w:tc>
          <w:tcPr>
            <w:tcW w:w="1645" w:type="pct"/>
            <w:vMerge/>
            <w:tcBorders>
              <w:top w:val="nil"/>
              <w:bottom w:val="nil"/>
            </w:tcBorders>
            <w:vAlign w:val="center"/>
          </w:tcPr>
          <w:p w14:paraId="1E1C3754"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3B83419F" w14:textId="77777777" w:rsidR="003C699D" w:rsidRPr="00FE73DE" w:rsidRDefault="003C699D" w:rsidP="009F7300">
            <w:pPr>
              <w:spacing w:before="40" w:after="40" w:line="240" w:lineRule="auto"/>
              <w:jc w:val="left"/>
              <w:rPr>
                <w:sz w:val="20"/>
                <w:szCs w:val="20"/>
              </w:rPr>
            </w:pPr>
            <w:r w:rsidRPr="00FE73DE">
              <w:rPr>
                <w:rFonts w:cs="Calibri"/>
                <w:color w:val="000000"/>
                <w:sz w:val="20"/>
                <w:szCs w:val="20"/>
              </w:rPr>
              <w:t>56 - 60 years old</w:t>
            </w:r>
          </w:p>
        </w:tc>
        <w:tc>
          <w:tcPr>
            <w:tcW w:w="278" w:type="pct"/>
            <w:tcBorders>
              <w:top w:val="nil"/>
              <w:bottom w:val="nil"/>
            </w:tcBorders>
            <w:vAlign w:val="bottom"/>
          </w:tcPr>
          <w:p w14:paraId="35793BC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542" w:type="pct"/>
            <w:tcBorders>
              <w:top w:val="nil"/>
              <w:bottom w:val="nil"/>
            </w:tcBorders>
            <w:vAlign w:val="bottom"/>
          </w:tcPr>
          <w:p w14:paraId="06F6A13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16.67%</w:t>
            </w:r>
          </w:p>
        </w:tc>
      </w:tr>
      <w:tr w:rsidR="003C699D" w:rsidRPr="00FE73DE" w14:paraId="13C91344"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single" w:sz="4" w:space="0" w:color="6B818C" w:themeColor="accent5"/>
            </w:tcBorders>
            <w:vAlign w:val="center"/>
          </w:tcPr>
          <w:p w14:paraId="4BBBF876" w14:textId="77777777" w:rsidR="003C699D" w:rsidRPr="00FE73DE" w:rsidRDefault="003C699D" w:rsidP="009F7300">
            <w:pPr>
              <w:spacing w:before="40" w:after="40" w:line="240" w:lineRule="auto"/>
              <w:jc w:val="left"/>
              <w:rPr>
                <w:b/>
                <w:bCs/>
                <w:sz w:val="20"/>
                <w:szCs w:val="20"/>
              </w:rPr>
            </w:pPr>
          </w:p>
        </w:tc>
        <w:tc>
          <w:tcPr>
            <w:tcW w:w="2535" w:type="pct"/>
            <w:tcBorders>
              <w:top w:val="nil"/>
              <w:bottom w:val="single" w:sz="4" w:space="0" w:color="6B818C" w:themeColor="accent5"/>
            </w:tcBorders>
            <w:vAlign w:val="bottom"/>
          </w:tcPr>
          <w:p w14:paraId="0537995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Over 60 years old</w:t>
            </w:r>
          </w:p>
        </w:tc>
        <w:tc>
          <w:tcPr>
            <w:tcW w:w="278" w:type="pct"/>
            <w:tcBorders>
              <w:top w:val="nil"/>
              <w:bottom w:val="single" w:sz="4" w:space="0" w:color="6B818C" w:themeColor="accent5"/>
            </w:tcBorders>
            <w:vAlign w:val="bottom"/>
          </w:tcPr>
          <w:p w14:paraId="41035E1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w:t>
            </w:r>
          </w:p>
        </w:tc>
        <w:tc>
          <w:tcPr>
            <w:tcW w:w="542" w:type="pct"/>
            <w:tcBorders>
              <w:top w:val="nil"/>
              <w:bottom w:val="single" w:sz="4" w:space="0" w:color="6B818C" w:themeColor="accent5"/>
            </w:tcBorders>
            <w:vAlign w:val="bottom"/>
          </w:tcPr>
          <w:p w14:paraId="393DD2B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23.33%</w:t>
            </w:r>
          </w:p>
        </w:tc>
      </w:tr>
      <w:tr w:rsidR="003C699D" w:rsidRPr="00FE73DE" w14:paraId="1BFC9639" w14:textId="77777777" w:rsidTr="009F7300">
        <w:tc>
          <w:tcPr>
            <w:tcW w:w="1645" w:type="pct"/>
            <w:vMerge w:val="restart"/>
            <w:tcBorders>
              <w:top w:val="single" w:sz="4" w:space="0" w:color="6B818C" w:themeColor="accent5"/>
              <w:bottom w:val="nil"/>
            </w:tcBorders>
            <w:vAlign w:val="center"/>
          </w:tcPr>
          <w:p w14:paraId="23F4E34F" w14:textId="77777777" w:rsidR="003C699D" w:rsidRPr="00FE73DE" w:rsidRDefault="003C699D" w:rsidP="009F7300">
            <w:pPr>
              <w:spacing w:before="40" w:after="40" w:line="240" w:lineRule="auto"/>
              <w:jc w:val="left"/>
              <w:rPr>
                <w:b/>
                <w:bCs/>
                <w:sz w:val="20"/>
                <w:szCs w:val="20"/>
              </w:rPr>
            </w:pPr>
            <w:r w:rsidRPr="00FE73DE">
              <w:rPr>
                <w:b/>
                <w:bCs/>
                <w:sz w:val="20"/>
                <w:szCs w:val="20"/>
              </w:rPr>
              <w:t>Gender</w:t>
            </w:r>
          </w:p>
        </w:tc>
        <w:tc>
          <w:tcPr>
            <w:tcW w:w="2535" w:type="pct"/>
            <w:tcBorders>
              <w:top w:val="single" w:sz="4" w:space="0" w:color="6B818C" w:themeColor="accent5"/>
              <w:bottom w:val="nil"/>
            </w:tcBorders>
            <w:vAlign w:val="bottom"/>
          </w:tcPr>
          <w:p w14:paraId="04C10BB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Man</w:t>
            </w:r>
          </w:p>
        </w:tc>
        <w:tc>
          <w:tcPr>
            <w:tcW w:w="278" w:type="pct"/>
            <w:tcBorders>
              <w:top w:val="single" w:sz="4" w:space="0" w:color="6B818C" w:themeColor="accent5"/>
              <w:bottom w:val="nil"/>
            </w:tcBorders>
            <w:vAlign w:val="bottom"/>
          </w:tcPr>
          <w:p w14:paraId="7CEC3AC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19</w:t>
            </w:r>
          </w:p>
        </w:tc>
        <w:tc>
          <w:tcPr>
            <w:tcW w:w="542" w:type="pct"/>
            <w:tcBorders>
              <w:top w:val="single" w:sz="4" w:space="0" w:color="6B818C" w:themeColor="accent5"/>
              <w:bottom w:val="nil"/>
            </w:tcBorders>
            <w:vAlign w:val="bottom"/>
          </w:tcPr>
          <w:p w14:paraId="0D9804C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63.33%</w:t>
            </w:r>
          </w:p>
        </w:tc>
      </w:tr>
      <w:tr w:rsidR="003C699D" w:rsidRPr="00FE73DE" w14:paraId="1C069109"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441BBE35"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775CC54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Woman</w:t>
            </w:r>
          </w:p>
        </w:tc>
        <w:tc>
          <w:tcPr>
            <w:tcW w:w="278" w:type="pct"/>
            <w:tcBorders>
              <w:top w:val="nil"/>
              <w:bottom w:val="nil"/>
            </w:tcBorders>
            <w:vAlign w:val="bottom"/>
          </w:tcPr>
          <w:p w14:paraId="3D082BD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11</w:t>
            </w:r>
          </w:p>
        </w:tc>
        <w:tc>
          <w:tcPr>
            <w:tcW w:w="542" w:type="pct"/>
            <w:tcBorders>
              <w:top w:val="nil"/>
              <w:bottom w:val="nil"/>
            </w:tcBorders>
            <w:vAlign w:val="bottom"/>
          </w:tcPr>
          <w:p w14:paraId="7D8615F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36.67%</w:t>
            </w:r>
          </w:p>
        </w:tc>
      </w:tr>
      <w:tr w:rsidR="003C699D" w:rsidRPr="00FE73DE" w14:paraId="6D1A5F32" w14:textId="77777777" w:rsidTr="009F7300">
        <w:tc>
          <w:tcPr>
            <w:tcW w:w="1645" w:type="pct"/>
            <w:vMerge w:val="restart"/>
            <w:tcBorders>
              <w:top w:val="single" w:sz="4" w:space="0" w:color="6B818C" w:themeColor="accent5"/>
              <w:bottom w:val="nil"/>
            </w:tcBorders>
            <w:shd w:val="clear" w:color="auto" w:fill="auto"/>
            <w:vAlign w:val="center"/>
          </w:tcPr>
          <w:p w14:paraId="42F6BF24" w14:textId="77777777" w:rsidR="003C699D" w:rsidRPr="00FE73DE" w:rsidRDefault="003C699D" w:rsidP="009F7300">
            <w:pPr>
              <w:spacing w:before="40" w:after="40" w:line="240" w:lineRule="auto"/>
              <w:jc w:val="left"/>
              <w:rPr>
                <w:b/>
                <w:bCs/>
                <w:sz w:val="20"/>
                <w:szCs w:val="20"/>
              </w:rPr>
            </w:pPr>
            <w:r w:rsidRPr="00FE73DE">
              <w:rPr>
                <w:b/>
                <w:bCs/>
                <w:sz w:val="20"/>
                <w:szCs w:val="20"/>
              </w:rPr>
              <w:t>Role</w:t>
            </w:r>
          </w:p>
        </w:tc>
        <w:tc>
          <w:tcPr>
            <w:tcW w:w="2535" w:type="pct"/>
            <w:tcBorders>
              <w:top w:val="single" w:sz="4" w:space="0" w:color="6B818C" w:themeColor="accent5"/>
              <w:bottom w:val="nil"/>
            </w:tcBorders>
            <w:vAlign w:val="bottom"/>
          </w:tcPr>
          <w:p w14:paraId="0F0F9CC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Chief financial officer</w:t>
            </w:r>
          </w:p>
        </w:tc>
        <w:tc>
          <w:tcPr>
            <w:tcW w:w="278" w:type="pct"/>
            <w:tcBorders>
              <w:top w:val="single" w:sz="4" w:space="0" w:color="6B818C" w:themeColor="accent5"/>
              <w:bottom w:val="nil"/>
            </w:tcBorders>
            <w:vAlign w:val="bottom"/>
          </w:tcPr>
          <w:p w14:paraId="64FD2EF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single" w:sz="4" w:space="0" w:color="6B818C" w:themeColor="accent5"/>
              <w:bottom w:val="nil"/>
            </w:tcBorders>
            <w:vAlign w:val="bottom"/>
          </w:tcPr>
          <w:p w14:paraId="5FFFA2E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3.33%</w:t>
            </w:r>
          </w:p>
        </w:tc>
      </w:tr>
      <w:tr w:rsidR="003C699D" w:rsidRPr="00FE73DE" w14:paraId="4CC55150"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shd w:val="clear" w:color="auto" w:fill="auto"/>
            <w:vAlign w:val="center"/>
          </w:tcPr>
          <w:p w14:paraId="27C30018"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7EE7672A"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Joint business owner</w:t>
            </w:r>
          </w:p>
        </w:tc>
        <w:tc>
          <w:tcPr>
            <w:tcW w:w="278" w:type="pct"/>
            <w:tcBorders>
              <w:top w:val="nil"/>
              <w:bottom w:val="nil"/>
            </w:tcBorders>
            <w:vAlign w:val="bottom"/>
          </w:tcPr>
          <w:p w14:paraId="0E6DBD4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542" w:type="pct"/>
            <w:tcBorders>
              <w:top w:val="nil"/>
              <w:bottom w:val="nil"/>
            </w:tcBorders>
            <w:vAlign w:val="bottom"/>
          </w:tcPr>
          <w:p w14:paraId="230332E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30.00%</w:t>
            </w:r>
          </w:p>
        </w:tc>
      </w:tr>
      <w:tr w:rsidR="003C699D" w:rsidRPr="00FE73DE" w14:paraId="29FA8766" w14:textId="77777777" w:rsidTr="009F7300">
        <w:tc>
          <w:tcPr>
            <w:tcW w:w="1645" w:type="pct"/>
            <w:vMerge/>
            <w:tcBorders>
              <w:top w:val="nil"/>
              <w:bottom w:val="nil"/>
            </w:tcBorders>
            <w:shd w:val="clear" w:color="auto" w:fill="auto"/>
            <w:vAlign w:val="center"/>
          </w:tcPr>
          <w:p w14:paraId="48CD5223"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7D4EE0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Other (please specify)</w:t>
            </w:r>
          </w:p>
        </w:tc>
        <w:tc>
          <w:tcPr>
            <w:tcW w:w="278" w:type="pct"/>
            <w:tcBorders>
              <w:top w:val="nil"/>
              <w:bottom w:val="nil"/>
            </w:tcBorders>
            <w:vAlign w:val="bottom"/>
          </w:tcPr>
          <w:p w14:paraId="0EBBFF7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542" w:type="pct"/>
            <w:tcBorders>
              <w:top w:val="nil"/>
              <w:bottom w:val="nil"/>
            </w:tcBorders>
            <w:vAlign w:val="bottom"/>
          </w:tcPr>
          <w:p w14:paraId="5D448DA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16.67%</w:t>
            </w:r>
          </w:p>
        </w:tc>
      </w:tr>
      <w:tr w:rsidR="003C699D" w:rsidRPr="00FE73DE" w14:paraId="7EF866CB"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shd w:val="clear" w:color="auto" w:fill="auto"/>
            <w:vAlign w:val="center"/>
          </w:tcPr>
          <w:p w14:paraId="0B291E16"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4373F72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Senior manager</w:t>
            </w:r>
          </w:p>
        </w:tc>
        <w:tc>
          <w:tcPr>
            <w:tcW w:w="278" w:type="pct"/>
            <w:tcBorders>
              <w:top w:val="nil"/>
              <w:bottom w:val="nil"/>
            </w:tcBorders>
            <w:vAlign w:val="bottom"/>
          </w:tcPr>
          <w:p w14:paraId="52DD5FB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11AEEE4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6B337D62" w14:textId="77777777" w:rsidTr="009F7300">
        <w:tc>
          <w:tcPr>
            <w:tcW w:w="1645" w:type="pct"/>
            <w:vMerge/>
            <w:tcBorders>
              <w:top w:val="nil"/>
              <w:bottom w:val="single" w:sz="4" w:space="0" w:color="6B818C" w:themeColor="accent5"/>
            </w:tcBorders>
            <w:shd w:val="clear" w:color="auto" w:fill="auto"/>
            <w:vAlign w:val="center"/>
          </w:tcPr>
          <w:p w14:paraId="1A8C78C1" w14:textId="77777777" w:rsidR="003C699D" w:rsidRPr="00FE73DE" w:rsidRDefault="003C699D" w:rsidP="009F7300">
            <w:pPr>
              <w:spacing w:before="40" w:after="40" w:line="240" w:lineRule="auto"/>
              <w:jc w:val="left"/>
              <w:rPr>
                <w:b/>
                <w:bCs/>
                <w:sz w:val="20"/>
                <w:szCs w:val="20"/>
              </w:rPr>
            </w:pPr>
          </w:p>
        </w:tc>
        <w:tc>
          <w:tcPr>
            <w:tcW w:w="2535" w:type="pct"/>
            <w:tcBorders>
              <w:top w:val="nil"/>
              <w:bottom w:val="single" w:sz="4" w:space="0" w:color="6B818C" w:themeColor="accent5"/>
            </w:tcBorders>
            <w:vAlign w:val="bottom"/>
          </w:tcPr>
          <w:p w14:paraId="1A013319"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Sole business owner</w:t>
            </w:r>
          </w:p>
        </w:tc>
        <w:tc>
          <w:tcPr>
            <w:tcW w:w="278" w:type="pct"/>
            <w:tcBorders>
              <w:top w:val="nil"/>
              <w:bottom w:val="single" w:sz="4" w:space="0" w:color="6B818C" w:themeColor="accent5"/>
            </w:tcBorders>
            <w:vAlign w:val="bottom"/>
          </w:tcPr>
          <w:p w14:paraId="3B11F54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12</w:t>
            </w:r>
          </w:p>
        </w:tc>
        <w:tc>
          <w:tcPr>
            <w:tcW w:w="542" w:type="pct"/>
            <w:tcBorders>
              <w:top w:val="nil"/>
              <w:bottom w:val="single" w:sz="4" w:space="0" w:color="6B818C" w:themeColor="accent5"/>
            </w:tcBorders>
            <w:vAlign w:val="bottom"/>
          </w:tcPr>
          <w:p w14:paraId="3AFBDBF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40.00%</w:t>
            </w:r>
          </w:p>
        </w:tc>
      </w:tr>
      <w:tr w:rsidR="003C699D" w:rsidRPr="00FE73DE" w14:paraId="39C15677"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val="restart"/>
            <w:tcBorders>
              <w:top w:val="single" w:sz="4" w:space="0" w:color="6B818C" w:themeColor="accent5"/>
              <w:bottom w:val="nil"/>
            </w:tcBorders>
            <w:vAlign w:val="center"/>
          </w:tcPr>
          <w:p w14:paraId="315DF7D6" w14:textId="77777777" w:rsidR="003C699D" w:rsidRPr="00FE73DE" w:rsidRDefault="003C699D" w:rsidP="009F7300">
            <w:pPr>
              <w:spacing w:before="40" w:after="40" w:line="240" w:lineRule="auto"/>
              <w:jc w:val="left"/>
              <w:rPr>
                <w:b/>
                <w:bCs/>
                <w:sz w:val="20"/>
                <w:szCs w:val="20"/>
              </w:rPr>
            </w:pPr>
            <w:r w:rsidRPr="00FE73DE">
              <w:rPr>
                <w:b/>
                <w:bCs/>
                <w:sz w:val="20"/>
                <w:szCs w:val="20"/>
              </w:rPr>
              <w:t xml:space="preserve">Length of business operation </w:t>
            </w:r>
          </w:p>
        </w:tc>
        <w:tc>
          <w:tcPr>
            <w:tcW w:w="2535" w:type="pct"/>
            <w:tcBorders>
              <w:top w:val="single" w:sz="4" w:space="0" w:color="6B818C" w:themeColor="accent5"/>
              <w:bottom w:val="nil"/>
            </w:tcBorders>
            <w:vAlign w:val="bottom"/>
          </w:tcPr>
          <w:p w14:paraId="7CF9A17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Less than 1 year</w:t>
            </w:r>
          </w:p>
        </w:tc>
        <w:tc>
          <w:tcPr>
            <w:tcW w:w="278" w:type="pct"/>
            <w:tcBorders>
              <w:top w:val="single" w:sz="4" w:space="0" w:color="6B818C" w:themeColor="accent5"/>
              <w:bottom w:val="nil"/>
            </w:tcBorders>
            <w:vAlign w:val="bottom"/>
          </w:tcPr>
          <w:p w14:paraId="0FB4FC9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single" w:sz="4" w:space="0" w:color="6B818C" w:themeColor="accent5"/>
              <w:bottom w:val="nil"/>
            </w:tcBorders>
            <w:vAlign w:val="bottom"/>
          </w:tcPr>
          <w:p w14:paraId="2D4B387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6.67%</w:t>
            </w:r>
          </w:p>
        </w:tc>
      </w:tr>
      <w:tr w:rsidR="003C699D" w:rsidRPr="00FE73DE" w14:paraId="1DE3B631" w14:textId="77777777" w:rsidTr="009F7300">
        <w:tc>
          <w:tcPr>
            <w:tcW w:w="1645" w:type="pct"/>
            <w:vMerge/>
            <w:tcBorders>
              <w:top w:val="nil"/>
              <w:bottom w:val="nil"/>
            </w:tcBorders>
            <w:vAlign w:val="center"/>
          </w:tcPr>
          <w:p w14:paraId="491EE008"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408573B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 to 2 years</w:t>
            </w:r>
          </w:p>
        </w:tc>
        <w:tc>
          <w:tcPr>
            <w:tcW w:w="278" w:type="pct"/>
            <w:tcBorders>
              <w:top w:val="nil"/>
              <w:bottom w:val="nil"/>
            </w:tcBorders>
            <w:vAlign w:val="bottom"/>
          </w:tcPr>
          <w:p w14:paraId="5AB5010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6CF569A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6.67%</w:t>
            </w:r>
          </w:p>
        </w:tc>
      </w:tr>
      <w:tr w:rsidR="003C699D" w:rsidRPr="00FE73DE" w14:paraId="657CA31C"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43D12D06"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4AB9140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 to 5 years</w:t>
            </w:r>
          </w:p>
        </w:tc>
        <w:tc>
          <w:tcPr>
            <w:tcW w:w="278" w:type="pct"/>
            <w:tcBorders>
              <w:top w:val="nil"/>
              <w:bottom w:val="nil"/>
            </w:tcBorders>
            <w:vAlign w:val="bottom"/>
          </w:tcPr>
          <w:p w14:paraId="39410F2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542" w:type="pct"/>
            <w:tcBorders>
              <w:top w:val="nil"/>
              <w:bottom w:val="nil"/>
            </w:tcBorders>
            <w:vAlign w:val="bottom"/>
          </w:tcPr>
          <w:p w14:paraId="0FEF2C2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16.67%</w:t>
            </w:r>
          </w:p>
        </w:tc>
      </w:tr>
      <w:tr w:rsidR="003C699D" w:rsidRPr="00FE73DE" w14:paraId="7542FE01" w14:textId="77777777" w:rsidTr="009F7300">
        <w:tc>
          <w:tcPr>
            <w:tcW w:w="1645" w:type="pct"/>
            <w:vMerge/>
            <w:tcBorders>
              <w:top w:val="nil"/>
              <w:bottom w:val="nil"/>
            </w:tcBorders>
            <w:vAlign w:val="center"/>
          </w:tcPr>
          <w:p w14:paraId="798A610E"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4CBA47E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 to 10 years</w:t>
            </w:r>
          </w:p>
        </w:tc>
        <w:tc>
          <w:tcPr>
            <w:tcW w:w="278" w:type="pct"/>
            <w:tcBorders>
              <w:top w:val="nil"/>
              <w:bottom w:val="nil"/>
            </w:tcBorders>
            <w:vAlign w:val="bottom"/>
          </w:tcPr>
          <w:p w14:paraId="21653F7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542" w:type="pct"/>
            <w:tcBorders>
              <w:top w:val="nil"/>
              <w:bottom w:val="nil"/>
            </w:tcBorders>
            <w:vAlign w:val="bottom"/>
          </w:tcPr>
          <w:p w14:paraId="444063D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30.00%</w:t>
            </w:r>
          </w:p>
        </w:tc>
      </w:tr>
      <w:tr w:rsidR="003C699D" w:rsidRPr="00FE73DE" w14:paraId="6326CCB4"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26175078"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6776D8D8"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Greater than 10 years</w:t>
            </w:r>
          </w:p>
        </w:tc>
        <w:tc>
          <w:tcPr>
            <w:tcW w:w="278" w:type="pct"/>
            <w:tcBorders>
              <w:top w:val="nil"/>
              <w:bottom w:val="nil"/>
            </w:tcBorders>
            <w:vAlign w:val="bottom"/>
          </w:tcPr>
          <w:p w14:paraId="5569BAB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12</w:t>
            </w:r>
          </w:p>
        </w:tc>
        <w:tc>
          <w:tcPr>
            <w:tcW w:w="542" w:type="pct"/>
            <w:tcBorders>
              <w:top w:val="nil"/>
              <w:bottom w:val="nil"/>
            </w:tcBorders>
            <w:vAlign w:val="bottom"/>
          </w:tcPr>
          <w:p w14:paraId="542D266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40.00%</w:t>
            </w:r>
          </w:p>
        </w:tc>
      </w:tr>
      <w:tr w:rsidR="003C699D" w:rsidRPr="00FE73DE" w14:paraId="0906E934" w14:textId="77777777" w:rsidTr="009F7300">
        <w:tc>
          <w:tcPr>
            <w:tcW w:w="1645" w:type="pct"/>
            <w:vMerge w:val="restart"/>
            <w:tcBorders>
              <w:top w:val="single" w:sz="4" w:space="0" w:color="6B818C" w:themeColor="accent5"/>
              <w:bottom w:val="nil"/>
            </w:tcBorders>
            <w:vAlign w:val="center"/>
          </w:tcPr>
          <w:p w14:paraId="6287F153" w14:textId="77777777" w:rsidR="003C699D" w:rsidRPr="00FE73DE" w:rsidRDefault="003C699D" w:rsidP="009F7300">
            <w:pPr>
              <w:spacing w:before="40" w:after="40" w:line="240" w:lineRule="auto"/>
              <w:jc w:val="left"/>
              <w:rPr>
                <w:b/>
                <w:bCs/>
                <w:sz w:val="20"/>
                <w:szCs w:val="20"/>
              </w:rPr>
            </w:pPr>
            <w:r w:rsidRPr="00FE73DE">
              <w:rPr>
                <w:b/>
                <w:bCs/>
                <w:sz w:val="20"/>
                <w:szCs w:val="20"/>
              </w:rPr>
              <w:t>State / Territory (primary location)</w:t>
            </w:r>
          </w:p>
        </w:tc>
        <w:tc>
          <w:tcPr>
            <w:tcW w:w="2535" w:type="pct"/>
            <w:tcBorders>
              <w:top w:val="single" w:sz="4" w:space="0" w:color="6B818C" w:themeColor="accent5"/>
              <w:bottom w:val="nil"/>
            </w:tcBorders>
            <w:vAlign w:val="bottom"/>
          </w:tcPr>
          <w:p w14:paraId="1441F87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NSW</w:t>
            </w:r>
          </w:p>
        </w:tc>
        <w:tc>
          <w:tcPr>
            <w:tcW w:w="278" w:type="pct"/>
            <w:tcBorders>
              <w:top w:val="single" w:sz="4" w:space="0" w:color="6B818C" w:themeColor="accent5"/>
              <w:bottom w:val="nil"/>
            </w:tcBorders>
            <w:vAlign w:val="bottom"/>
          </w:tcPr>
          <w:p w14:paraId="41E6862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single" w:sz="4" w:space="0" w:color="6B818C" w:themeColor="accent5"/>
              <w:bottom w:val="nil"/>
            </w:tcBorders>
            <w:vAlign w:val="bottom"/>
          </w:tcPr>
          <w:p w14:paraId="43B4C56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6.67%</w:t>
            </w:r>
          </w:p>
        </w:tc>
      </w:tr>
      <w:tr w:rsidR="003C699D" w:rsidRPr="00FE73DE" w14:paraId="435C954C"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692D1401"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165595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NT</w:t>
            </w:r>
          </w:p>
        </w:tc>
        <w:tc>
          <w:tcPr>
            <w:tcW w:w="278" w:type="pct"/>
            <w:tcBorders>
              <w:top w:val="nil"/>
              <w:bottom w:val="nil"/>
            </w:tcBorders>
            <w:vAlign w:val="bottom"/>
          </w:tcPr>
          <w:p w14:paraId="2820EC1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120E22E0"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43A9D23A" w14:textId="77777777" w:rsidTr="009F7300">
        <w:tc>
          <w:tcPr>
            <w:tcW w:w="1645" w:type="pct"/>
            <w:vMerge/>
            <w:tcBorders>
              <w:top w:val="nil"/>
              <w:bottom w:val="nil"/>
            </w:tcBorders>
            <w:vAlign w:val="center"/>
          </w:tcPr>
          <w:p w14:paraId="51D8635B"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75687B0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QLD</w:t>
            </w:r>
          </w:p>
        </w:tc>
        <w:tc>
          <w:tcPr>
            <w:tcW w:w="278" w:type="pct"/>
            <w:tcBorders>
              <w:top w:val="nil"/>
              <w:bottom w:val="nil"/>
            </w:tcBorders>
            <w:vAlign w:val="bottom"/>
          </w:tcPr>
          <w:p w14:paraId="444423F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542" w:type="pct"/>
            <w:tcBorders>
              <w:top w:val="nil"/>
              <w:bottom w:val="nil"/>
            </w:tcBorders>
            <w:vAlign w:val="bottom"/>
          </w:tcPr>
          <w:p w14:paraId="0523A62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13.33%</w:t>
            </w:r>
          </w:p>
        </w:tc>
      </w:tr>
      <w:tr w:rsidR="003C699D" w:rsidRPr="00FE73DE" w14:paraId="1109BF06"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64F2CD6A"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51BF4D4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SA</w:t>
            </w:r>
          </w:p>
        </w:tc>
        <w:tc>
          <w:tcPr>
            <w:tcW w:w="278" w:type="pct"/>
            <w:tcBorders>
              <w:top w:val="nil"/>
              <w:bottom w:val="nil"/>
            </w:tcBorders>
            <w:vAlign w:val="bottom"/>
          </w:tcPr>
          <w:p w14:paraId="33035FC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w:t>
            </w:r>
          </w:p>
        </w:tc>
        <w:tc>
          <w:tcPr>
            <w:tcW w:w="542" w:type="pct"/>
            <w:tcBorders>
              <w:top w:val="nil"/>
              <w:bottom w:val="nil"/>
            </w:tcBorders>
            <w:vAlign w:val="bottom"/>
          </w:tcPr>
          <w:p w14:paraId="237D17E0"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23.33%</w:t>
            </w:r>
          </w:p>
        </w:tc>
      </w:tr>
      <w:tr w:rsidR="003C699D" w:rsidRPr="00FE73DE" w14:paraId="5B01C2E7" w14:textId="77777777" w:rsidTr="009F7300">
        <w:tc>
          <w:tcPr>
            <w:tcW w:w="1645" w:type="pct"/>
            <w:vMerge/>
            <w:tcBorders>
              <w:top w:val="nil"/>
              <w:bottom w:val="nil"/>
            </w:tcBorders>
            <w:vAlign w:val="center"/>
          </w:tcPr>
          <w:p w14:paraId="3DF20A11"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979138F"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VIC</w:t>
            </w:r>
          </w:p>
        </w:tc>
        <w:tc>
          <w:tcPr>
            <w:tcW w:w="278" w:type="pct"/>
            <w:tcBorders>
              <w:top w:val="nil"/>
              <w:bottom w:val="nil"/>
            </w:tcBorders>
            <w:vAlign w:val="bottom"/>
          </w:tcPr>
          <w:p w14:paraId="04EFFF3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061E7F2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6F326BCE"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6D9F04C9"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887904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WA</w:t>
            </w:r>
          </w:p>
        </w:tc>
        <w:tc>
          <w:tcPr>
            <w:tcW w:w="278" w:type="pct"/>
            <w:tcBorders>
              <w:top w:val="nil"/>
              <w:bottom w:val="nil"/>
            </w:tcBorders>
            <w:vAlign w:val="bottom"/>
          </w:tcPr>
          <w:p w14:paraId="53B7A86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11</w:t>
            </w:r>
          </w:p>
        </w:tc>
        <w:tc>
          <w:tcPr>
            <w:tcW w:w="542" w:type="pct"/>
            <w:tcBorders>
              <w:top w:val="nil"/>
              <w:bottom w:val="nil"/>
            </w:tcBorders>
            <w:vAlign w:val="bottom"/>
          </w:tcPr>
          <w:p w14:paraId="47C517E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36.67%</w:t>
            </w:r>
          </w:p>
        </w:tc>
      </w:tr>
      <w:tr w:rsidR="003C699D" w:rsidRPr="00FE73DE" w14:paraId="7D76DB0B" w14:textId="77777777" w:rsidTr="009F7300">
        <w:tc>
          <w:tcPr>
            <w:tcW w:w="1645" w:type="pct"/>
            <w:vMerge w:val="restart"/>
            <w:tcBorders>
              <w:top w:val="single" w:sz="4" w:space="0" w:color="6B818C" w:themeColor="accent5"/>
              <w:bottom w:val="nil"/>
            </w:tcBorders>
            <w:vAlign w:val="center"/>
          </w:tcPr>
          <w:p w14:paraId="7C5E9FD7" w14:textId="77777777" w:rsidR="003C699D" w:rsidRPr="00FE73DE" w:rsidRDefault="003C699D" w:rsidP="009F7300">
            <w:pPr>
              <w:spacing w:before="40" w:after="40" w:line="240" w:lineRule="auto"/>
              <w:jc w:val="left"/>
              <w:rPr>
                <w:b/>
                <w:bCs/>
                <w:sz w:val="20"/>
                <w:szCs w:val="20"/>
              </w:rPr>
            </w:pPr>
            <w:r w:rsidRPr="00FE73DE">
              <w:rPr>
                <w:b/>
                <w:bCs/>
                <w:sz w:val="20"/>
                <w:szCs w:val="20"/>
              </w:rPr>
              <w:t>Business size</w:t>
            </w:r>
          </w:p>
        </w:tc>
        <w:tc>
          <w:tcPr>
            <w:tcW w:w="2535" w:type="pct"/>
            <w:tcBorders>
              <w:top w:val="single" w:sz="4" w:space="0" w:color="6B818C" w:themeColor="accent5"/>
              <w:bottom w:val="nil"/>
            </w:tcBorders>
            <w:vAlign w:val="bottom"/>
          </w:tcPr>
          <w:p w14:paraId="5526EB6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1 - 4 employees</w:t>
            </w:r>
          </w:p>
        </w:tc>
        <w:tc>
          <w:tcPr>
            <w:tcW w:w="278" w:type="pct"/>
            <w:tcBorders>
              <w:top w:val="single" w:sz="4" w:space="0" w:color="6B818C" w:themeColor="accent5"/>
              <w:bottom w:val="nil"/>
            </w:tcBorders>
            <w:vAlign w:val="bottom"/>
          </w:tcPr>
          <w:p w14:paraId="512272D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15</w:t>
            </w:r>
          </w:p>
        </w:tc>
        <w:tc>
          <w:tcPr>
            <w:tcW w:w="542" w:type="pct"/>
            <w:tcBorders>
              <w:top w:val="single" w:sz="4" w:space="0" w:color="6B818C" w:themeColor="accent5"/>
              <w:bottom w:val="nil"/>
            </w:tcBorders>
            <w:vAlign w:val="bottom"/>
          </w:tcPr>
          <w:p w14:paraId="319D5FF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50.00%</w:t>
            </w:r>
          </w:p>
        </w:tc>
      </w:tr>
      <w:tr w:rsidR="003C699D" w:rsidRPr="00FE73DE" w14:paraId="6D31D8E4"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vAlign w:val="center"/>
          </w:tcPr>
          <w:p w14:paraId="53BE392B"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43A41058"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20 - 199 employees</w:t>
            </w:r>
          </w:p>
        </w:tc>
        <w:tc>
          <w:tcPr>
            <w:tcW w:w="278" w:type="pct"/>
            <w:tcBorders>
              <w:top w:val="nil"/>
              <w:bottom w:val="nil"/>
            </w:tcBorders>
            <w:vAlign w:val="bottom"/>
          </w:tcPr>
          <w:p w14:paraId="0813E52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w:t>
            </w:r>
          </w:p>
        </w:tc>
        <w:tc>
          <w:tcPr>
            <w:tcW w:w="542" w:type="pct"/>
            <w:tcBorders>
              <w:top w:val="nil"/>
              <w:bottom w:val="nil"/>
            </w:tcBorders>
            <w:vAlign w:val="bottom"/>
          </w:tcPr>
          <w:p w14:paraId="7E49B85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20.00%</w:t>
            </w:r>
          </w:p>
        </w:tc>
      </w:tr>
      <w:tr w:rsidR="003C699D" w:rsidRPr="00FE73DE" w14:paraId="7BD33BF9" w14:textId="77777777" w:rsidTr="009F7300">
        <w:tc>
          <w:tcPr>
            <w:tcW w:w="1645" w:type="pct"/>
            <w:vMerge/>
            <w:tcBorders>
              <w:top w:val="nil"/>
              <w:bottom w:val="single" w:sz="4" w:space="0" w:color="6B818C" w:themeColor="accent5"/>
            </w:tcBorders>
            <w:vAlign w:val="center"/>
          </w:tcPr>
          <w:p w14:paraId="2C5A8343" w14:textId="77777777" w:rsidR="003C699D" w:rsidRPr="00FE73DE" w:rsidRDefault="003C699D" w:rsidP="009F7300">
            <w:pPr>
              <w:spacing w:before="40" w:after="40" w:line="240" w:lineRule="auto"/>
              <w:jc w:val="left"/>
              <w:rPr>
                <w:b/>
                <w:bCs/>
                <w:sz w:val="20"/>
                <w:szCs w:val="20"/>
              </w:rPr>
            </w:pPr>
          </w:p>
        </w:tc>
        <w:tc>
          <w:tcPr>
            <w:tcW w:w="2535" w:type="pct"/>
            <w:tcBorders>
              <w:top w:val="nil"/>
              <w:bottom w:val="single" w:sz="4" w:space="0" w:color="6B818C" w:themeColor="accent5"/>
            </w:tcBorders>
            <w:vAlign w:val="bottom"/>
          </w:tcPr>
          <w:p w14:paraId="276A727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5 - 19 employees</w:t>
            </w:r>
          </w:p>
        </w:tc>
        <w:tc>
          <w:tcPr>
            <w:tcW w:w="278" w:type="pct"/>
            <w:tcBorders>
              <w:top w:val="nil"/>
              <w:bottom w:val="single" w:sz="4" w:space="0" w:color="6B818C" w:themeColor="accent5"/>
            </w:tcBorders>
            <w:vAlign w:val="bottom"/>
          </w:tcPr>
          <w:p w14:paraId="39B6F46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542" w:type="pct"/>
            <w:tcBorders>
              <w:top w:val="nil"/>
              <w:bottom w:val="single" w:sz="4" w:space="0" w:color="6B818C" w:themeColor="accent5"/>
            </w:tcBorders>
            <w:vAlign w:val="bottom"/>
          </w:tcPr>
          <w:p w14:paraId="3ACA3EA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30.00%</w:t>
            </w:r>
          </w:p>
        </w:tc>
      </w:tr>
      <w:tr w:rsidR="003C699D" w:rsidRPr="00FE73DE" w14:paraId="5C69A60C"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val="restart"/>
            <w:tcBorders>
              <w:top w:val="single" w:sz="4" w:space="0" w:color="6B818C" w:themeColor="accent5"/>
            </w:tcBorders>
            <w:shd w:val="clear" w:color="auto" w:fill="auto"/>
            <w:vAlign w:val="center"/>
          </w:tcPr>
          <w:p w14:paraId="71B0CA72" w14:textId="77777777" w:rsidR="003C699D" w:rsidRPr="00FE73DE" w:rsidRDefault="003C699D" w:rsidP="009F7300">
            <w:pPr>
              <w:spacing w:before="40" w:after="40" w:line="240" w:lineRule="auto"/>
              <w:jc w:val="left"/>
              <w:rPr>
                <w:b/>
                <w:bCs/>
                <w:sz w:val="20"/>
                <w:szCs w:val="20"/>
              </w:rPr>
            </w:pPr>
            <w:r w:rsidRPr="00FE73DE">
              <w:rPr>
                <w:b/>
                <w:bCs/>
                <w:sz w:val="20"/>
                <w:szCs w:val="20"/>
              </w:rPr>
              <w:t>Annual turnover</w:t>
            </w:r>
          </w:p>
        </w:tc>
        <w:tc>
          <w:tcPr>
            <w:tcW w:w="2535" w:type="pct"/>
            <w:tcBorders>
              <w:top w:val="single" w:sz="4" w:space="0" w:color="6B818C" w:themeColor="accent5"/>
              <w:bottom w:val="nil"/>
            </w:tcBorders>
            <w:vAlign w:val="bottom"/>
          </w:tcPr>
          <w:p w14:paraId="26537585"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Under $50,000</w:t>
            </w:r>
          </w:p>
        </w:tc>
        <w:tc>
          <w:tcPr>
            <w:tcW w:w="278" w:type="pct"/>
            <w:tcBorders>
              <w:top w:val="single" w:sz="4" w:space="0" w:color="6B818C" w:themeColor="accent5"/>
              <w:bottom w:val="nil"/>
            </w:tcBorders>
            <w:vAlign w:val="bottom"/>
          </w:tcPr>
          <w:p w14:paraId="6AD03DC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single" w:sz="4" w:space="0" w:color="6B818C" w:themeColor="accent5"/>
              <w:bottom w:val="nil"/>
            </w:tcBorders>
            <w:vAlign w:val="bottom"/>
          </w:tcPr>
          <w:p w14:paraId="51DE68D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5F175F30" w14:textId="77777777" w:rsidTr="009F7300">
        <w:tc>
          <w:tcPr>
            <w:tcW w:w="1645" w:type="pct"/>
            <w:vMerge/>
            <w:shd w:val="clear" w:color="auto" w:fill="auto"/>
            <w:vAlign w:val="center"/>
          </w:tcPr>
          <w:p w14:paraId="5C140A4D"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7DC140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$50,001 to $100,000</w:t>
            </w:r>
          </w:p>
        </w:tc>
        <w:tc>
          <w:tcPr>
            <w:tcW w:w="278" w:type="pct"/>
            <w:tcBorders>
              <w:top w:val="nil"/>
              <w:bottom w:val="nil"/>
            </w:tcBorders>
            <w:vAlign w:val="bottom"/>
          </w:tcPr>
          <w:p w14:paraId="20F9F5A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3052446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4E9479D3"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shd w:val="clear" w:color="auto" w:fill="auto"/>
            <w:vAlign w:val="center"/>
          </w:tcPr>
          <w:p w14:paraId="1EAB959F"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3797BEC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$100,001 to $200,000</w:t>
            </w:r>
          </w:p>
        </w:tc>
        <w:tc>
          <w:tcPr>
            <w:tcW w:w="278" w:type="pct"/>
            <w:tcBorders>
              <w:top w:val="nil"/>
              <w:bottom w:val="nil"/>
            </w:tcBorders>
            <w:vAlign w:val="bottom"/>
          </w:tcPr>
          <w:p w14:paraId="537F36E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526A2ED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6.67%</w:t>
            </w:r>
          </w:p>
        </w:tc>
      </w:tr>
      <w:tr w:rsidR="003C699D" w:rsidRPr="00FE73DE" w14:paraId="5FCE3BEF" w14:textId="77777777" w:rsidTr="009F7300">
        <w:tc>
          <w:tcPr>
            <w:tcW w:w="1645" w:type="pct"/>
            <w:vMerge/>
            <w:shd w:val="clear" w:color="auto" w:fill="auto"/>
            <w:vAlign w:val="center"/>
          </w:tcPr>
          <w:p w14:paraId="31126D91"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2B022C51"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$200,001 to $500,000</w:t>
            </w:r>
          </w:p>
        </w:tc>
        <w:tc>
          <w:tcPr>
            <w:tcW w:w="278" w:type="pct"/>
            <w:tcBorders>
              <w:top w:val="nil"/>
              <w:bottom w:val="nil"/>
            </w:tcBorders>
            <w:vAlign w:val="bottom"/>
          </w:tcPr>
          <w:p w14:paraId="0D6AF4B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542" w:type="pct"/>
            <w:tcBorders>
              <w:top w:val="nil"/>
              <w:bottom w:val="nil"/>
            </w:tcBorders>
            <w:vAlign w:val="bottom"/>
          </w:tcPr>
          <w:p w14:paraId="5B3A1F4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16.67%</w:t>
            </w:r>
          </w:p>
        </w:tc>
      </w:tr>
      <w:tr w:rsidR="003C699D" w:rsidRPr="00FE73DE" w14:paraId="19E667AD"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shd w:val="clear" w:color="auto" w:fill="auto"/>
            <w:vAlign w:val="center"/>
          </w:tcPr>
          <w:p w14:paraId="05DE1D90"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3520D9B5"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$500,001 to $1,000,000</w:t>
            </w:r>
          </w:p>
        </w:tc>
        <w:tc>
          <w:tcPr>
            <w:tcW w:w="278" w:type="pct"/>
            <w:tcBorders>
              <w:top w:val="nil"/>
              <w:bottom w:val="nil"/>
            </w:tcBorders>
            <w:vAlign w:val="bottom"/>
          </w:tcPr>
          <w:p w14:paraId="484CB7A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422ED67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10.00%</w:t>
            </w:r>
          </w:p>
        </w:tc>
      </w:tr>
      <w:tr w:rsidR="003C699D" w:rsidRPr="00FE73DE" w14:paraId="674160E8" w14:textId="77777777" w:rsidTr="009F7300">
        <w:tc>
          <w:tcPr>
            <w:tcW w:w="1645" w:type="pct"/>
            <w:vMerge/>
            <w:shd w:val="clear" w:color="auto" w:fill="auto"/>
            <w:vAlign w:val="center"/>
          </w:tcPr>
          <w:p w14:paraId="37242686" w14:textId="77777777" w:rsidR="003C699D" w:rsidRPr="00FE73DE" w:rsidRDefault="003C699D" w:rsidP="009F7300">
            <w:pPr>
              <w:spacing w:before="40" w:after="40" w:line="240" w:lineRule="auto"/>
              <w:jc w:val="left"/>
              <w:rPr>
                <w:b/>
                <w:bCs/>
                <w:sz w:val="20"/>
                <w:szCs w:val="20"/>
              </w:rPr>
            </w:pPr>
          </w:p>
        </w:tc>
        <w:tc>
          <w:tcPr>
            <w:tcW w:w="2535" w:type="pct"/>
            <w:tcBorders>
              <w:top w:val="nil"/>
              <w:bottom w:val="nil"/>
            </w:tcBorders>
            <w:vAlign w:val="bottom"/>
          </w:tcPr>
          <w:p w14:paraId="00E6B1E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Greater than $1,000,000</w:t>
            </w:r>
          </w:p>
        </w:tc>
        <w:tc>
          <w:tcPr>
            <w:tcW w:w="278" w:type="pct"/>
            <w:tcBorders>
              <w:top w:val="nil"/>
              <w:bottom w:val="nil"/>
            </w:tcBorders>
            <w:vAlign w:val="bottom"/>
          </w:tcPr>
          <w:p w14:paraId="2D42DE5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12</w:t>
            </w:r>
          </w:p>
        </w:tc>
        <w:tc>
          <w:tcPr>
            <w:tcW w:w="542" w:type="pct"/>
            <w:tcBorders>
              <w:top w:val="nil"/>
              <w:bottom w:val="nil"/>
            </w:tcBorders>
            <w:vAlign w:val="bottom"/>
          </w:tcPr>
          <w:p w14:paraId="795905D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40.00%</w:t>
            </w:r>
          </w:p>
        </w:tc>
      </w:tr>
      <w:tr w:rsidR="003C699D" w:rsidRPr="00FE73DE" w14:paraId="3C8EB59B"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bottom w:val="single" w:sz="4" w:space="0" w:color="6B818C" w:themeColor="accent5"/>
            </w:tcBorders>
            <w:shd w:val="clear" w:color="auto" w:fill="auto"/>
            <w:vAlign w:val="center"/>
          </w:tcPr>
          <w:p w14:paraId="522F8011" w14:textId="77777777" w:rsidR="003C699D" w:rsidRPr="00FE73DE" w:rsidRDefault="003C699D" w:rsidP="009F7300">
            <w:pPr>
              <w:spacing w:before="40" w:after="40" w:line="240" w:lineRule="auto"/>
              <w:jc w:val="left"/>
              <w:rPr>
                <w:b/>
                <w:bCs/>
                <w:sz w:val="20"/>
                <w:szCs w:val="20"/>
              </w:rPr>
            </w:pPr>
          </w:p>
        </w:tc>
        <w:tc>
          <w:tcPr>
            <w:tcW w:w="2535" w:type="pct"/>
            <w:tcBorders>
              <w:top w:val="nil"/>
              <w:bottom w:val="single" w:sz="4" w:space="0" w:color="6B818C" w:themeColor="accent5"/>
            </w:tcBorders>
          </w:tcPr>
          <w:p w14:paraId="0350F993" w14:textId="77777777" w:rsidR="003C699D" w:rsidRPr="00FE73DE" w:rsidRDefault="003C699D" w:rsidP="009F7300">
            <w:pPr>
              <w:spacing w:before="40" w:after="40" w:line="240" w:lineRule="auto"/>
              <w:jc w:val="left"/>
              <w:rPr>
                <w:rFonts w:cs="Calibri"/>
                <w:color w:val="000000"/>
                <w:sz w:val="20"/>
                <w:szCs w:val="18"/>
              </w:rPr>
            </w:pPr>
            <w:r w:rsidRPr="00FE73DE">
              <w:rPr>
                <w:sz w:val="20"/>
                <w:szCs w:val="18"/>
              </w:rPr>
              <w:t>Prefer not to say</w:t>
            </w:r>
          </w:p>
        </w:tc>
        <w:tc>
          <w:tcPr>
            <w:tcW w:w="278" w:type="pct"/>
            <w:tcBorders>
              <w:top w:val="nil"/>
              <w:bottom w:val="single" w:sz="4" w:space="0" w:color="6B818C" w:themeColor="accent5"/>
            </w:tcBorders>
          </w:tcPr>
          <w:p w14:paraId="5483375F" w14:textId="77777777" w:rsidR="003C699D" w:rsidRPr="00FE73DE" w:rsidRDefault="003C699D" w:rsidP="009F7300">
            <w:pPr>
              <w:spacing w:before="40" w:after="40" w:line="240" w:lineRule="auto"/>
              <w:jc w:val="right"/>
              <w:rPr>
                <w:rFonts w:cs="Calibri"/>
                <w:color w:val="000000"/>
                <w:sz w:val="20"/>
                <w:szCs w:val="18"/>
              </w:rPr>
            </w:pPr>
            <w:r w:rsidRPr="00FE73DE">
              <w:rPr>
                <w:sz w:val="20"/>
                <w:szCs w:val="18"/>
              </w:rPr>
              <w:t>2</w:t>
            </w:r>
          </w:p>
        </w:tc>
        <w:tc>
          <w:tcPr>
            <w:tcW w:w="542" w:type="pct"/>
            <w:tcBorders>
              <w:top w:val="nil"/>
              <w:bottom w:val="single" w:sz="4" w:space="0" w:color="6B818C" w:themeColor="accent5"/>
            </w:tcBorders>
          </w:tcPr>
          <w:p w14:paraId="48F00F7B" w14:textId="77777777" w:rsidR="003C699D" w:rsidRPr="00FE73DE" w:rsidRDefault="003C699D" w:rsidP="009F7300">
            <w:pPr>
              <w:spacing w:before="40" w:after="40" w:line="240" w:lineRule="auto"/>
              <w:jc w:val="right"/>
              <w:rPr>
                <w:rFonts w:cs="Calibri"/>
                <w:color w:val="000000"/>
                <w:sz w:val="20"/>
                <w:szCs w:val="18"/>
              </w:rPr>
            </w:pPr>
            <w:r w:rsidRPr="00FE73DE">
              <w:rPr>
                <w:sz w:val="20"/>
                <w:szCs w:val="18"/>
              </w:rPr>
              <w:t>6.67%</w:t>
            </w:r>
          </w:p>
        </w:tc>
      </w:tr>
      <w:tr w:rsidR="003C699D" w:rsidRPr="00FE73DE" w14:paraId="62BB5273" w14:textId="77777777" w:rsidTr="009F7300">
        <w:tc>
          <w:tcPr>
            <w:tcW w:w="1645" w:type="pct"/>
            <w:vMerge w:val="restart"/>
            <w:tcBorders>
              <w:top w:val="single" w:sz="4" w:space="0" w:color="6B818C" w:themeColor="accent5"/>
              <w:bottom w:val="nil"/>
            </w:tcBorders>
            <w:vAlign w:val="center"/>
          </w:tcPr>
          <w:p w14:paraId="49D9BF91" w14:textId="77777777" w:rsidR="003C699D" w:rsidRPr="00FE73DE" w:rsidRDefault="003C699D" w:rsidP="009F7300">
            <w:pPr>
              <w:spacing w:before="40" w:after="40" w:line="240" w:lineRule="auto"/>
              <w:jc w:val="left"/>
              <w:rPr>
                <w:b/>
                <w:bCs/>
                <w:sz w:val="20"/>
                <w:szCs w:val="20"/>
              </w:rPr>
            </w:pPr>
            <w:r w:rsidRPr="00FE73DE">
              <w:rPr>
                <w:b/>
                <w:bCs/>
                <w:sz w:val="20"/>
                <w:szCs w:val="20"/>
              </w:rPr>
              <w:t>Industry sector</w:t>
            </w:r>
          </w:p>
        </w:tc>
        <w:tc>
          <w:tcPr>
            <w:tcW w:w="2535" w:type="pct"/>
            <w:tcBorders>
              <w:top w:val="single" w:sz="4" w:space="0" w:color="6B818C" w:themeColor="accent5"/>
              <w:bottom w:val="nil"/>
            </w:tcBorders>
            <w:vAlign w:val="bottom"/>
          </w:tcPr>
          <w:p w14:paraId="419709B9"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Accommodation and Food Services</w:t>
            </w:r>
          </w:p>
        </w:tc>
        <w:tc>
          <w:tcPr>
            <w:tcW w:w="278" w:type="pct"/>
            <w:tcBorders>
              <w:top w:val="single" w:sz="4" w:space="0" w:color="6B818C" w:themeColor="accent5"/>
              <w:bottom w:val="nil"/>
            </w:tcBorders>
            <w:vAlign w:val="bottom"/>
          </w:tcPr>
          <w:p w14:paraId="5A5CD53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single" w:sz="4" w:space="0" w:color="6B818C" w:themeColor="accent5"/>
              <w:bottom w:val="nil"/>
            </w:tcBorders>
            <w:vAlign w:val="bottom"/>
          </w:tcPr>
          <w:p w14:paraId="366BDAF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6.67%</w:t>
            </w:r>
          </w:p>
        </w:tc>
      </w:tr>
      <w:tr w:rsidR="003C699D" w:rsidRPr="00FE73DE" w14:paraId="37E5EF50"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tcPr>
          <w:p w14:paraId="4756EC21"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6CAD8C78"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Administrative and Support Services</w:t>
            </w:r>
          </w:p>
        </w:tc>
        <w:tc>
          <w:tcPr>
            <w:tcW w:w="278" w:type="pct"/>
            <w:tcBorders>
              <w:top w:val="nil"/>
              <w:bottom w:val="nil"/>
            </w:tcBorders>
            <w:vAlign w:val="bottom"/>
          </w:tcPr>
          <w:p w14:paraId="58F2D9A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nil"/>
              <w:bottom w:val="nil"/>
            </w:tcBorders>
            <w:vAlign w:val="bottom"/>
          </w:tcPr>
          <w:p w14:paraId="77955B8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3.33%</w:t>
            </w:r>
          </w:p>
        </w:tc>
      </w:tr>
      <w:tr w:rsidR="003C699D" w:rsidRPr="00FE73DE" w14:paraId="0A3D66F6" w14:textId="77777777" w:rsidTr="009F7300">
        <w:tc>
          <w:tcPr>
            <w:tcW w:w="1645" w:type="pct"/>
            <w:vMerge/>
            <w:tcBorders>
              <w:top w:val="nil"/>
              <w:bottom w:val="nil"/>
            </w:tcBorders>
          </w:tcPr>
          <w:p w14:paraId="0B1AA7CF"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18A4583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Arts and Recreation Services</w:t>
            </w:r>
          </w:p>
        </w:tc>
        <w:tc>
          <w:tcPr>
            <w:tcW w:w="278" w:type="pct"/>
            <w:tcBorders>
              <w:top w:val="nil"/>
              <w:bottom w:val="nil"/>
            </w:tcBorders>
            <w:vAlign w:val="bottom"/>
          </w:tcPr>
          <w:p w14:paraId="73D8E94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nil"/>
              <w:bottom w:val="nil"/>
            </w:tcBorders>
            <w:vAlign w:val="bottom"/>
          </w:tcPr>
          <w:p w14:paraId="637B3F6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3.33%</w:t>
            </w:r>
          </w:p>
        </w:tc>
      </w:tr>
      <w:tr w:rsidR="003C699D" w:rsidRPr="00FE73DE" w14:paraId="1A6D7F0D"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tcPr>
          <w:p w14:paraId="70A3927A"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4E374B7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Construction</w:t>
            </w:r>
          </w:p>
        </w:tc>
        <w:tc>
          <w:tcPr>
            <w:tcW w:w="278" w:type="pct"/>
            <w:tcBorders>
              <w:top w:val="nil"/>
              <w:bottom w:val="nil"/>
            </w:tcBorders>
            <w:vAlign w:val="bottom"/>
          </w:tcPr>
          <w:p w14:paraId="3A577C95"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542" w:type="pct"/>
            <w:tcBorders>
              <w:top w:val="nil"/>
              <w:bottom w:val="nil"/>
            </w:tcBorders>
            <w:vAlign w:val="bottom"/>
          </w:tcPr>
          <w:p w14:paraId="4953443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10.00%</w:t>
            </w:r>
          </w:p>
        </w:tc>
      </w:tr>
      <w:tr w:rsidR="003C699D" w:rsidRPr="00FE73DE" w14:paraId="7E495062" w14:textId="77777777" w:rsidTr="009F7300">
        <w:tc>
          <w:tcPr>
            <w:tcW w:w="1645" w:type="pct"/>
            <w:vMerge/>
            <w:tcBorders>
              <w:top w:val="nil"/>
              <w:bottom w:val="nil"/>
            </w:tcBorders>
          </w:tcPr>
          <w:p w14:paraId="75AFD39C"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75560938"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Education and Training</w:t>
            </w:r>
          </w:p>
        </w:tc>
        <w:tc>
          <w:tcPr>
            <w:tcW w:w="278" w:type="pct"/>
            <w:tcBorders>
              <w:top w:val="nil"/>
              <w:bottom w:val="nil"/>
            </w:tcBorders>
            <w:vAlign w:val="bottom"/>
          </w:tcPr>
          <w:p w14:paraId="00ACABC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nil"/>
              <w:bottom w:val="nil"/>
            </w:tcBorders>
            <w:vAlign w:val="bottom"/>
          </w:tcPr>
          <w:p w14:paraId="7B476DB9"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3.33%</w:t>
            </w:r>
          </w:p>
        </w:tc>
      </w:tr>
      <w:tr w:rsidR="003C699D" w:rsidRPr="00FE73DE" w14:paraId="29652CD8"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tcPr>
          <w:p w14:paraId="5D9DC6D8"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08E2476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Electricity, Gas, Water and Waste Services</w:t>
            </w:r>
          </w:p>
        </w:tc>
        <w:tc>
          <w:tcPr>
            <w:tcW w:w="278" w:type="pct"/>
            <w:tcBorders>
              <w:top w:val="nil"/>
              <w:bottom w:val="nil"/>
            </w:tcBorders>
            <w:vAlign w:val="bottom"/>
          </w:tcPr>
          <w:p w14:paraId="6BDAFD35"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nil"/>
              <w:bottom w:val="nil"/>
            </w:tcBorders>
            <w:vAlign w:val="bottom"/>
          </w:tcPr>
          <w:p w14:paraId="4B30C79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3.33%</w:t>
            </w:r>
          </w:p>
        </w:tc>
      </w:tr>
      <w:tr w:rsidR="003C699D" w:rsidRPr="00FE73DE" w14:paraId="0FD989A8" w14:textId="77777777" w:rsidTr="009F7300">
        <w:tc>
          <w:tcPr>
            <w:tcW w:w="1645" w:type="pct"/>
            <w:vMerge/>
            <w:tcBorders>
              <w:top w:val="nil"/>
              <w:bottom w:val="nil"/>
            </w:tcBorders>
          </w:tcPr>
          <w:p w14:paraId="2976172A"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32635EA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Manufacturing</w:t>
            </w:r>
          </w:p>
        </w:tc>
        <w:tc>
          <w:tcPr>
            <w:tcW w:w="278" w:type="pct"/>
            <w:tcBorders>
              <w:top w:val="nil"/>
              <w:bottom w:val="nil"/>
            </w:tcBorders>
            <w:vAlign w:val="bottom"/>
          </w:tcPr>
          <w:p w14:paraId="29340A6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4C811A4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6.67%</w:t>
            </w:r>
          </w:p>
        </w:tc>
      </w:tr>
      <w:tr w:rsidR="003C699D" w:rsidRPr="00FE73DE" w14:paraId="308C1277"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tcPr>
          <w:p w14:paraId="2782BB8A"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5D6157E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Other Services</w:t>
            </w:r>
          </w:p>
        </w:tc>
        <w:tc>
          <w:tcPr>
            <w:tcW w:w="278" w:type="pct"/>
            <w:tcBorders>
              <w:top w:val="nil"/>
              <w:bottom w:val="nil"/>
            </w:tcBorders>
            <w:vAlign w:val="bottom"/>
          </w:tcPr>
          <w:p w14:paraId="7A7515C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11</w:t>
            </w:r>
          </w:p>
        </w:tc>
        <w:tc>
          <w:tcPr>
            <w:tcW w:w="542" w:type="pct"/>
            <w:tcBorders>
              <w:top w:val="nil"/>
              <w:bottom w:val="nil"/>
            </w:tcBorders>
            <w:vAlign w:val="bottom"/>
          </w:tcPr>
          <w:p w14:paraId="78D222C0"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36.67%</w:t>
            </w:r>
          </w:p>
        </w:tc>
      </w:tr>
      <w:tr w:rsidR="003C699D" w:rsidRPr="00FE73DE" w14:paraId="012165FB" w14:textId="77777777" w:rsidTr="009F7300">
        <w:tc>
          <w:tcPr>
            <w:tcW w:w="1645" w:type="pct"/>
            <w:vMerge/>
            <w:tcBorders>
              <w:top w:val="nil"/>
              <w:bottom w:val="nil"/>
            </w:tcBorders>
          </w:tcPr>
          <w:p w14:paraId="08AD3CAB"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78FD330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Professional, Scientific and Technical Services</w:t>
            </w:r>
          </w:p>
        </w:tc>
        <w:tc>
          <w:tcPr>
            <w:tcW w:w="278" w:type="pct"/>
            <w:tcBorders>
              <w:top w:val="nil"/>
              <w:bottom w:val="nil"/>
            </w:tcBorders>
            <w:vAlign w:val="bottom"/>
          </w:tcPr>
          <w:p w14:paraId="249A80C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564A72C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6.67%</w:t>
            </w:r>
          </w:p>
        </w:tc>
      </w:tr>
      <w:tr w:rsidR="003C699D" w:rsidRPr="00FE73DE" w14:paraId="1282AC9B"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tcPr>
          <w:p w14:paraId="7951F811"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58A6929F"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Public Administration and Safety</w:t>
            </w:r>
          </w:p>
        </w:tc>
        <w:tc>
          <w:tcPr>
            <w:tcW w:w="278" w:type="pct"/>
            <w:tcBorders>
              <w:top w:val="nil"/>
              <w:bottom w:val="nil"/>
            </w:tcBorders>
            <w:vAlign w:val="bottom"/>
          </w:tcPr>
          <w:p w14:paraId="0953B91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542" w:type="pct"/>
            <w:tcBorders>
              <w:top w:val="nil"/>
              <w:bottom w:val="nil"/>
            </w:tcBorders>
            <w:vAlign w:val="bottom"/>
          </w:tcPr>
          <w:p w14:paraId="6BF0DE0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3.33%</w:t>
            </w:r>
          </w:p>
        </w:tc>
      </w:tr>
      <w:tr w:rsidR="003C699D" w:rsidRPr="00FE73DE" w14:paraId="4E511D05" w14:textId="77777777" w:rsidTr="009F7300">
        <w:tc>
          <w:tcPr>
            <w:tcW w:w="1645" w:type="pct"/>
            <w:vMerge/>
            <w:tcBorders>
              <w:top w:val="nil"/>
              <w:bottom w:val="nil"/>
            </w:tcBorders>
          </w:tcPr>
          <w:p w14:paraId="3A2465BD"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215FDCA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Rental, Hiring and Real Estate Services</w:t>
            </w:r>
          </w:p>
        </w:tc>
        <w:tc>
          <w:tcPr>
            <w:tcW w:w="278" w:type="pct"/>
            <w:tcBorders>
              <w:top w:val="nil"/>
              <w:bottom w:val="nil"/>
            </w:tcBorders>
            <w:vAlign w:val="bottom"/>
          </w:tcPr>
          <w:p w14:paraId="75A1AA97"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561A6993"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6.67%</w:t>
            </w:r>
          </w:p>
        </w:tc>
      </w:tr>
      <w:tr w:rsidR="003C699D" w:rsidRPr="00FE73DE" w14:paraId="5487B7F6"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top w:val="nil"/>
              <w:bottom w:val="nil"/>
            </w:tcBorders>
          </w:tcPr>
          <w:p w14:paraId="18D322E2"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76EDF85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Retail Trade</w:t>
            </w:r>
          </w:p>
        </w:tc>
        <w:tc>
          <w:tcPr>
            <w:tcW w:w="278" w:type="pct"/>
            <w:tcBorders>
              <w:top w:val="nil"/>
              <w:bottom w:val="nil"/>
            </w:tcBorders>
            <w:vAlign w:val="bottom"/>
          </w:tcPr>
          <w:p w14:paraId="225C087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542" w:type="pct"/>
            <w:tcBorders>
              <w:top w:val="nil"/>
              <w:bottom w:val="nil"/>
            </w:tcBorders>
            <w:vAlign w:val="bottom"/>
          </w:tcPr>
          <w:p w14:paraId="3FBD197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6.67%</w:t>
            </w:r>
          </w:p>
        </w:tc>
      </w:tr>
      <w:tr w:rsidR="003C699D" w:rsidRPr="00FE73DE" w14:paraId="78984600" w14:textId="77777777" w:rsidTr="009F7300">
        <w:tc>
          <w:tcPr>
            <w:tcW w:w="0" w:type="pct"/>
            <w:vMerge/>
            <w:tcBorders>
              <w:top w:val="nil"/>
              <w:bottom w:val="nil"/>
            </w:tcBorders>
          </w:tcPr>
          <w:p w14:paraId="75A93341" w14:textId="77777777" w:rsidR="003C699D" w:rsidRPr="00FE73DE" w:rsidRDefault="003C699D" w:rsidP="009F7300">
            <w:pPr>
              <w:spacing w:before="40" w:after="40" w:line="240" w:lineRule="auto"/>
              <w:jc w:val="left"/>
              <w:rPr>
                <w:sz w:val="20"/>
                <w:szCs w:val="20"/>
              </w:rPr>
            </w:pPr>
          </w:p>
        </w:tc>
        <w:tc>
          <w:tcPr>
            <w:tcW w:w="0" w:type="pct"/>
            <w:tcBorders>
              <w:top w:val="nil"/>
              <w:bottom w:val="nil"/>
            </w:tcBorders>
            <w:vAlign w:val="bottom"/>
          </w:tcPr>
          <w:p w14:paraId="77202B1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Transport, Postal and Warehousing</w:t>
            </w:r>
          </w:p>
        </w:tc>
        <w:tc>
          <w:tcPr>
            <w:tcW w:w="0" w:type="pct"/>
            <w:tcBorders>
              <w:top w:val="nil"/>
              <w:bottom w:val="nil"/>
            </w:tcBorders>
            <w:vAlign w:val="bottom"/>
          </w:tcPr>
          <w:p w14:paraId="2822E3F5"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pct"/>
            <w:tcBorders>
              <w:top w:val="nil"/>
              <w:bottom w:val="nil"/>
            </w:tcBorders>
            <w:vAlign w:val="bottom"/>
          </w:tcPr>
          <w:p w14:paraId="5D90018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3.33%</w:t>
            </w:r>
          </w:p>
        </w:tc>
      </w:tr>
      <w:tr w:rsidR="003C699D" w:rsidRPr="00FE73DE" w14:paraId="28F88FA5"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val="restart"/>
            <w:tcBorders>
              <w:top w:val="nil"/>
            </w:tcBorders>
          </w:tcPr>
          <w:p w14:paraId="04C26EA8" w14:textId="77777777" w:rsidR="003C699D" w:rsidRPr="00FE73DE" w:rsidRDefault="003C699D" w:rsidP="009F7300">
            <w:pPr>
              <w:spacing w:before="40" w:after="40" w:line="240" w:lineRule="auto"/>
              <w:jc w:val="left"/>
              <w:rPr>
                <w:sz w:val="20"/>
                <w:szCs w:val="20"/>
              </w:rPr>
            </w:pPr>
            <w:r w:rsidRPr="00FE73DE">
              <w:rPr>
                <w:sz w:val="20"/>
                <w:szCs w:val="20"/>
              </w:rPr>
              <w:t>Regional area*</w:t>
            </w:r>
          </w:p>
        </w:tc>
        <w:tc>
          <w:tcPr>
            <w:tcW w:w="2535" w:type="pct"/>
            <w:tcBorders>
              <w:top w:val="nil"/>
              <w:bottom w:val="nil"/>
            </w:tcBorders>
            <w:vAlign w:val="bottom"/>
          </w:tcPr>
          <w:p w14:paraId="321BD1D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Major cities of Australia</w:t>
            </w:r>
          </w:p>
        </w:tc>
        <w:tc>
          <w:tcPr>
            <w:tcW w:w="278" w:type="pct"/>
            <w:tcBorders>
              <w:top w:val="nil"/>
              <w:bottom w:val="nil"/>
            </w:tcBorders>
            <w:vAlign w:val="bottom"/>
          </w:tcPr>
          <w:p w14:paraId="704ED2E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14</w:t>
            </w:r>
          </w:p>
        </w:tc>
        <w:tc>
          <w:tcPr>
            <w:tcW w:w="542" w:type="pct"/>
            <w:tcBorders>
              <w:top w:val="nil"/>
              <w:bottom w:val="nil"/>
            </w:tcBorders>
            <w:vAlign w:val="bottom"/>
          </w:tcPr>
          <w:p w14:paraId="1AFE4DBA"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46.67%</w:t>
            </w:r>
          </w:p>
        </w:tc>
      </w:tr>
      <w:tr w:rsidR="003C699D" w:rsidRPr="00FE73DE" w14:paraId="21A2F7B3" w14:textId="77777777" w:rsidTr="009F7300">
        <w:tc>
          <w:tcPr>
            <w:tcW w:w="1645" w:type="pct"/>
            <w:vMerge/>
          </w:tcPr>
          <w:p w14:paraId="62AB73D2"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6687390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Inner regional areas of Australia</w:t>
            </w:r>
          </w:p>
        </w:tc>
        <w:tc>
          <w:tcPr>
            <w:tcW w:w="278" w:type="pct"/>
            <w:tcBorders>
              <w:top w:val="nil"/>
              <w:bottom w:val="nil"/>
            </w:tcBorders>
            <w:vAlign w:val="bottom"/>
          </w:tcPr>
          <w:p w14:paraId="6CA4619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8</w:t>
            </w:r>
          </w:p>
        </w:tc>
        <w:tc>
          <w:tcPr>
            <w:tcW w:w="542" w:type="pct"/>
            <w:tcBorders>
              <w:top w:val="nil"/>
              <w:bottom w:val="nil"/>
            </w:tcBorders>
            <w:vAlign w:val="bottom"/>
          </w:tcPr>
          <w:p w14:paraId="793FDA3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26.67%</w:t>
            </w:r>
          </w:p>
        </w:tc>
      </w:tr>
      <w:tr w:rsidR="003C699D" w:rsidRPr="00FE73DE" w14:paraId="7B4BEA53"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Pr>
          <w:p w14:paraId="04055CC8"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5CC5147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Outer regional areas of Australia</w:t>
            </w:r>
          </w:p>
        </w:tc>
        <w:tc>
          <w:tcPr>
            <w:tcW w:w="278" w:type="pct"/>
            <w:tcBorders>
              <w:top w:val="nil"/>
              <w:bottom w:val="nil"/>
            </w:tcBorders>
            <w:vAlign w:val="bottom"/>
          </w:tcPr>
          <w:p w14:paraId="0FAEC85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w:t>
            </w:r>
          </w:p>
        </w:tc>
        <w:tc>
          <w:tcPr>
            <w:tcW w:w="542" w:type="pct"/>
            <w:tcBorders>
              <w:top w:val="nil"/>
              <w:bottom w:val="nil"/>
            </w:tcBorders>
            <w:vAlign w:val="bottom"/>
          </w:tcPr>
          <w:p w14:paraId="3F4954E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23.33%</w:t>
            </w:r>
          </w:p>
        </w:tc>
      </w:tr>
      <w:tr w:rsidR="003C699D" w:rsidRPr="00FE73DE" w14:paraId="70FE4631" w14:textId="77777777" w:rsidTr="009F7300">
        <w:tc>
          <w:tcPr>
            <w:tcW w:w="1645" w:type="pct"/>
            <w:vMerge/>
          </w:tcPr>
          <w:p w14:paraId="2A697760"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2B157638"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Remote Australia</w:t>
            </w:r>
          </w:p>
        </w:tc>
        <w:tc>
          <w:tcPr>
            <w:tcW w:w="278" w:type="pct"/>
            <w:tcBorders>
              <w:top w:val="nil"/>
              <w:bottom w:val="nil"/>
            </w:tcBorders>
            <w:vAlign w:val="bottom"/>
          </w:tcPr>
          <w:p w14:paraId="7164FBBC"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11</w:t>
            </w:r>
          </w:p>
        </w:tc>
        <w:tc>
          <w:tcPr>
            <w:tcW w:w="542" w:type="pct"/>
            <w:tcBorders>
              <w:top w:val="nil"/>
              <w:bottom w:val="nil"/>
            </w:tcBorders>
            <w:vAlign w:val="bottom"/>
          </w:tcPr>
          <w:p w14:paraId="4A1A60B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36.67%</w:t>
            </w:r>
          </w:p>
        </w:tc>
      </w:tr>
      <w:tr w:rsidR="003C699D" w:rsidRPr="00FE73DE" w14:paraId="4C50C577" w14:textId="77777777" w:rsidTr="009F7300">
        <w:trPr>
          <w:cnfStyle w:val="000000010000" w:firstRow="0" w:lastRow="0" w:firstColumn="0" w:lastColumn="0" w:oddVBand="0" w:evenVBand="0" w:oddHBand="0" w:evenHBand="1" w:firstRowFirstColumn="0" w:firstRowLastColumn="0" w:lastRowFirstColumn="0" w:lastRowLastColumn="0"/>
        </w:trPr>
        <w:tc>
          <w:tcPr>
            <w:tcW w:w="1645" w:type="pct"/>
            <w:vMerge/>
            <w:tcBorders>
              <w:bottom w:val="nil"/>
            </w:tcBorders>
          </w:tcPr>
          <w:p w14:paraId="65D7B897" w14:textId="77777777" w:rsidR="003C699D" w:rsidRPr="00FE73DE" w:rsidRDefault="003C699D" w:rsidP="009F7300">
            <w:pPr>
              <w:spacing w:before="40" w:after="40" w:line="240" w:lineRule="auto"/>
              <w:jc w:val="left"/>
              <w:rPr>
                <w:sz w:val="20"/>
                <w:szCs w:val="20"/>
              </w:rPr>
            </w:pPr>
          </w:p>
        </w:tc>
        <w:tc>
          <w:tcPr>
            <w:tcW w:w="2535" w:type="pct"/>
            <w:tcBorders>
              <w:top w:val="nil"/>
              <w:bottom w:val="nil"/>
            </w:tcBorders>
            <w:vAlign w:val="bottom"/>
          </w:tcPr>
          <w:p w14:paraId="1FD15D3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Very remote Australia</w:t>
            </w:r>
          </w:p>
        </w:tc>
        <w:tc>
          <w:tcPr>
            <w:tcW w:w="278" w:type="pct"/>
            <w:tcBorders>
              <w:top w:val="nil"/>
              <w:bottom w:val="nil"/>
            </w:tcBorders>
            <w:vAlign w:val="bottom"/>
          </w:tcPr>
          <w:p w14:paraId="3DF0B63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w:t>
            </w:r>
          </w:p>
        </w:tc>
        <w:tc>
          <w:tcPr>
            <w:tcW w:w="542" w:type="pct"/>
            <w:tcBorders>
              <w:top w:val="nil"/>
              <w:bottom w:val="nil"/>
            </w:tcBorders>
            <w:vAlign w:val="bottom"/>
          </w:tcPr>
          <w:p w14:paraId="568BCD5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23.33%</w:t>
            </w:r>
          </w:p>
        </w:tc>
      </w:tr>
    </w:tbl>
    <w:p w14:paraId="51B437AD" w14:textId="77777777" w:rsidR="003C699D" w:rsidRPr="00FE73DE" w:rsidRDefault="003C699D" w:rsidP="00131A63">
      <w:pPr>
        <w:pStyle w:val="TableNote"/>
      </w:pPr>
      <w:r w:rsidRPr="00FE73DE">
        <w:t>*Respondents were able to select more than one answer for these questions. Therefore, the percentages provided indicates the proportion of total respondents (n=30) that selected each option.</w:t>
      </w:r>
    </w:p>
    <w:p w14:paraId="09C8D2B3" w14:textId="77777777" w:rsidR="003C699D" w:rsidRPr="00FE73DE" w:rsidRDefault="003C699D" w:rsidP="003C699D">
      <w:pPr>
        <w:pStyle w:val="Heading4"/>
      </w:pPr>
      <w:r w:rsidRPr="00FE73DE">
        <w:t>Limitations</w:t>
      </w:r>
    </w:p>
    <w:p w14:paraId="60E7838C" w14:textId="7F920521" w:rsidR="003C699D" w:rsidRPr="00FE73DE" w:rsidRDefault="003C699D" w:rsidP="00D35FFF">
      <w:pPr>
        <w:rPr>
          <w:rFonts w:asciiTheme="majorHAnsi" w:hAnsiTheme="majorHAnsi"/>
          <w:b/>
          <w:color w:val="51852F" w:themeColor="accent2" w:themeShade="BF"/>
          <w:kern w:val="10"/>
          <w:sz w:val="32"/>
          <w:szCs w:val="32"/>
        </w:rPr>
      </w:pPr>
      <w:r w:rsidRPr="00FE73DE">
        <w:t>Of the 71 respondents, 42.3</w:t>
      </w:r>
      <w:r w:rsidR="008557E8">
        <w:t>%</w:t>
      </w:r>
      <w:r w:rsidRPr="00FE73DE">
        <w:t xml:space="preserve"> (n=30) stated that they had been IBA business customers. This number is too small to be a representative sample of the broader IBA customer base. However, observations drawn from the survey data provide an indication of potential areas for future investigation, and are used to triangulate findings from the broader desk analysis and follow-up interview data. </w:t>
      </w:r>
    </w:p>
    <w:p w14:paraId="2F25A211" w14:textId="432B3C79" w:rsidR="003C699D" w:rsidRPr="00FE73DE" w:rsidRDefault="003C699D" w:rsidP="0069410A">
      <w:pPr>
        <w:pStyle w:val="Heading2"/>
        <w:numPr>
          <w:ilvl w:val="0"/>
          <w:numId w:val="0"/>
        </w:numPr>
        <w:ind w:left="720" w:hanging="720"/>
      </w:pPr>
      <w:bookmarkStart w:id="165" w:name="_Toc123734729"/>
      <w:r w:rsidRPr="00FE73DE">
        <w:t xml:space="preserve">Delivery </w:t>
      </w:r>
      <w:r w:rsidR="0061791A">
        <w:t>P</w:t>
      </w:r>
      <w:r w:rsidRPr="00FE73DE">
        <w:t xml:space="preserve">artner </w:t>
      </w:r>
      <w:r w:rsidR="0061791A">
        <w:t>S</w:t>
      </w:r>
      <w:r w:rsidRPr="00FE73DE">
        <w:t>urvey</w:t>
      </w:r>
      <w:bookmarkEnd w:id="165"/>
    </w:p>
    <w:p w14:paraId="66A08A4B" w14:textId="0989ACE9" w:rsidR="0061791A" w:rsidRDefault="0061791A" w:rsidP="003C699D">
      <w:pPr>
        <w:rPr>
          <w:spacing w:val="-2"/>
        </w:rPr>
      </w:pPr>
      <w:r w:rsidRPr="00C36BE7">
        <w:rPr>
          <w:spacing w:val="-2"/>
        </w:rPr>
        <w:t xml:space="preserve">The </w:t>
      </w:r>
      <w:r>
        <w:rPr>
          <w:spacing w:val="-2"/>
        </w:rPr>
        <w:t>D</w:t>
      </w:r>
      <w:r w:rsidRPr="00C36BE7">
        <w:rPr>
          <w:spacing w:val="-2"/>
        </w:rPr>
        <w:t xml:space="preserve">elivery </w:t>
      </w:r>
      <w:r>
        <w:rPr>
          <w:spacing w:val="-2"/>
        </w:rPr>
        <w:t>P</w:t>
      </w:r>
      <w:r w:rsidRPr="00C36BE7">
        <w:rPr>
          <w:spacing w:val="-2"/>
        </w:rPr>
        <w:t xml:space="preserve">artner </w:t>
      </w:r>
      <w:r>
        <w:rPr>
          <w:spacing w:val="-2"/>
        </w:rPr>
        <w:t>S</w:t>
      </w:r>
      <w:r w:rsidRPr="00C36BE7">
        <w:rPr>
          <w:spacing w:val="-2"/>
        </w:rPr>
        <w:t xml:space="preserve">urvey was not publicly circulated as the target audience was IBA staff involved in the delivery of the BSP and IBA external support consultants. Promotion of this survey was through an individual email including the survey link, sent by IBA to their confidential list of relevant parties involved in the delivery of the BSP over the evaluation period. The survey was left open for </w:t>
      </w:r>
      <w:r w:rsidR="00295C5C">
        <w:rPr>
          <w:spacing w:val="-2"/>
        </w:rPr>
        <w:t>six</w:t>
      </w:r>
      <w:r w:rsidRPr="00C36BE7">
        <w:rPr>
          <w:spacing w:val="-2"/>
        </w:rPr>
        <w:t xml:space="preserve"> weeks to maximise the number of responses.</w:t>
      </w:r>
    </w:p>
    <w:p w14:paraId="51C73839" w14:textId="7E5BEBAD" w:rsidR="003C699D" w:rsidRPr="00FE73DE" w:rsidRDefault="003C699D" w:rsidP="003C699D">
      <w:r w:rsidRPr="00FE73DE">
        <w:t>In total there were 35 respondents to the Delivery Partner Survey, which was reduced to 24 following data cleaning. Of those, 23 respondents completed 100</w:t>
      </w:r>
      <w:r w:rsidR="008557E8">
        <w:t>%</w:t>
      </w:r>
      <w:r w:rsidRPr="00FE73DE">
        <w:t xml:space="preserve"> of the survey, while the remaining respondent completed 79</w:t>
      </w:r>
      <w:r w:rsidR="008557E8">
        <w:t>%</w:t>
      </w:r>
      <w:r w:rsidRPr="00FE73DE">
        <w:t xml:space="preserve">. A summary of respondent demographic characteristics is presented </w:t>
      </w:r>
      <w:r w:rsidR="003257FB">
        <w:t xml:space="preserve">in </w:t>
      </w:r>
      <w:r w:rsidR="003257FB">
        <w:fldChar w:fldCharType="begin"/>
      </w:r>
      <w:r w:rsidR="003257FB">
        <w:instrText xml:space="preserve"> REF _Ref123731586 \h </w:instrText>
      </w:r>
      <w:r w:rsidR="003257FB">
        <w:fldChar w:fldCharType="separate"/>
      </w:r>
      <w:r w:rsidR="004718C9" w:rsidRPr="00FE73DE">
        <w:t xml:space="preserve">Table </w:t>
      </w:r>
      <w:r w:rsidR="004718C9">
        <w:rPr>
          <w:noProof/>
        </w:rPr>
        <w:t>13</w:t>
      </w:r>
      <w:r w:rsidR="003257FB">
        <w:fldChar w:fldCharType="end"/>
      </w:r>
      <w:r w:rsidRPr="00FE73DE">
        <w:t>.</w:t>
      </w:r>
    </w:p>
    <w:p w14:paraId="62C4B893" w14:textId="373BB26B" w:rsidR="003C699D" w:rsidRPr="00FE73DE" w:rsidRDefault="003C699D" w:rsidP="003C699D">
      <w:pPr>
        <w:pStyle w:val="Caption"/>
        <w:keepNext/>
      </w:pPr>
      <w:bookmarkStart w:id="166" w:name="_Ref123731586"/>
      <w:r w:rsidRPr="00FE73DE">
        <w:t xml:space="preserve">Table </w:t>
      </w:r>
      <w:fldSimple w:instr=" SEQ Table \* ARABIC ">
        <w:r w:rsidR="004718C9">
          <w:rPr>
            <w:noProof/>
          </w:rPr>
          <w:t>13</w:t>
        </w:r>
      </w:fldSimple>
      <w:bookmarkEnd w:id="166"/>
      <w:r w:rsidRPr="00FE73DE">
        <w:t>: Delivery partner demographics</w:t>
      </w:r>
    </w:p>
    <w:tbl>
      <w:tblPr>
        <w:tblStyle w:val="Summaryboxtablestyle"/>
        <w:tblW w:w="0" w:type="auto"/>
        <w:tblLook w:val="04A0" w:firstRow="1" w:lastRow="0" w:firstColumn="1" w:lastColumn="0" w:noHBand="0" w:noVBand="1"/>
      </w:tblPr>
      <w:tblGrid>
        <w:gridCol w:w="2745"/>
        <w:gridCol w:w="4814"/>
        <w:gridCol w:w="451"/>
        <w:gridCol w:w="880"/>
      </w:tblGrid>
      <w:tr w:rsidR="003C699D" w:rsidRPr="00FE73DE" w14:paraId="3FE9AF97" w14:textId="77777777" w:rsidTr="009F7300">
        <w:trPr>
          <w:cnfStyle w:val="100000000000" w:firstRow="1" w:lastRow="0" w:firstColumn="0" w:lastColumn="0" w:oddVBand="0" w:evenVBand="0" w:oddHBand="0" w:evenHBand="0" w:firstRowFirstColumn="0" w:firstRowLastColumn="0" w:lastRowFirstColumn="0" w:lastRowLastColumn="0"/>
          <w:tblHeader/>
        </w:trPr>
        <w:tc>
          <w:tcPr>
            <w:tcW w:w="0" w:type="auto"/>
            <w:gridSpan w:val="2"/>
            <w:tcBorders>
              <w:bottom w:val="nil"/>
            </w:tcBorders>
          </w:tcPr>
          <w:p w14:paraId="2FE9BF63" w14:textId="77777777" w:rsidR="003C699D" w:rsidRPr="00FE73DE" w:rsidRDefault="003C699D" w:rsidP="009F7300">
            <w:pPr>
              <w:spacing w:before="40" w:after="40" w:line="240" w:lineRule="auto"/>
            </w:pPr>
            <w:r w:rsidRPr="00FE73DE">
              <w:t>Characteristics</w:t>
            </w:r>
          </w:p>
        </w:tc>
        <w:tc>
          <w:tcPr>
            <w:tcW w:w="0" w:type="auto"/>
            <w:gridSpan w:val="2"/>
            <w:tcBorders>
              <w:bottom w:val="nil"/>
            </w:tcBorders>
          </w:tcPr>
          <w:p w14:paraId="35600697" w14:textId="77777777" w:rsidR="003C699D" w:rsidRPr="00FE73DE" w:rsidRDefault="003C699D" w:rsidP="009F7300">
            <w:pPr>
              <w:spacing w:before="40" w:after="40" w:line="240" w:lineRule="auto"/>
              <w:jc w:val="center"/>
            </w:pPr>
            <w:r w:rsidRPr="00FE73DE">
              <w:t>Responses</w:t>
            </w:r>
          </w:p>
        </w:tc>
      </w:tr>
      <w:tr w:rsidR="003C699D" w:rsidRPr="00FE73DE" w14:paraId="03C13D5C" w14:textId="77777777" w:rsidTr="009F7300">
        <w:tc>
          <w:tcPr>
            <w:tcW w:w="0" w:type="auto"/>
            <w:vMerge w:val="restart"/>
            <w:tcBorders>
              <w:top w:val="single" w:sz="4" w:space="0" w:color="6B818C" w:themeColor="accent5"/>
              <w:bottom w:val="nil"/>
            </w:tcBorders>
            <w:vAlign w:val="center"/>
          </w:tcPr>
          <w:p w14:paraId="0301FA71" w14:textId="77777777" w:rsidR="003C699D" w:rsidRPr="00FE73DE" w:rsidRDefault="003C699D" w:rsidP="009F7300">
            <w:pPr>
              <w:spacing w:before="40" w:after="40" w:line="240" w:lineRule="auto"/>
              <w:jc w:val="left"/>
              <w:rPr>
                <w:b/>
                <w:bCs/>
                <w:sz w:val="20"/>
                <w:szCs w:val="20"/>
              </w:rPr>
            </w:pPr>
            <w:r w:rsidRPr="00FE73DE">
              <w:rPr>
                <w:b/>
                <w:bCs/>
                <w:sz w:val="20"/>
                <w:szCs w:val="20"/>
              </w:rPr>
              <w:t>Gender</w:t>
            </w:r>
          </w:p>
        </w:tc>
        <w:tc>
          <w:tcPr>
            <w:tcW w:w="0" w:type="auto"/>
            <w:tcBorders>
              <w:top w:val="single" w:sz="4" w:space="0" w:color="6B818C" w:themeColor="accent5"/>
              <w:bottom w:val="nil"/>
            </w:tcBorders>
            <w:vAlign w:val="bottom"/>
          </w:tcPr>
          <w:p w14:paraId="7DF1789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Man</w:t>
            </w:r>
          </w:p>
        </w:tc>
        <w:tc>
          <w:tcPr>
            <w:tcW w:w="0" w:type="auto"/>
            <w:tcBorders>
              <w:top w:val="single" w:sz="4" w:space="0" w:color="6B818C" w:themeColor="accent5"/>
              <w:bottom w:val="nil"/>
            </w:tcBorders>
            <w:vAlign w:val="bottom"/>
          </w:tcPr>
          <w:p w14:paraId="33AB69B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14</w:t>
            </w:r>
          </w:p>
        </w:tc>
        <w:tc>
          <w:tcPr>
            <w:tcW w:w="0" w:type="auto"/>
            <w:tcBorders>
              <w:top w:val="single" w:sz="4" w:space="0" w:color="6B818C" w:themeColor="accent5"/>
              <w:bottom w:val="nil"/>
            </w:tcBorders>
            <w:vAlign w:val="bottom"/>
          </w:tcPr>
          <w:p w14:paraId="5204230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58.33%</w:t>
            </w:r>
          </w:p>
        </w:tc>
      </w:tr>
      <w:tr w:rsidR="003C699D" w:rsidRPr="00FE73DE" w14:paraId="71B87DDA"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275B962A"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7F9C956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Woman</w:t>
            </w:r>
          </w:p>
        </w:tc>
        <w:tc>
          <w:tcPr>
            <w:tcW w:w="0" w:type="auto"/>
            <w:tcBorders>
              <w:top w:val="nil"/>
              <w:bottom w:val="nil"/>
            </w:tcBorders>
            <w:vAlign w:val="bottom"/>
          </w:tcPr>
          <w:p w14:paraId="351BBF6C"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0" w:type="auto"/>
            <w:tcBorders>
              <w:top w:val="nil"/>
              <w:bottom w:val="nil"/>
            </w:tcBorders>
            <w:vAlign w:val="bottom"/>
          </w:tcPr>
          <w:p w14:paraId="048B5E9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37.50%</w:t>
            </w:r>
          </w:p>
        </w:tc>
      </w:tr>
      <w:tr w:rsidR="003C699D" w:rsidRPr="00FE73DE" w14:paraId="27D43A81" w14:textId="77777777" w:rsidTr="009F7300">
        <w:tc>
          <w:tcPr>
            <w:tcW w:w="0" w:type="auto"/>
            <w:vMerge/>
            <w:tcBorders>
              <w:top w:val="nil"/>
              <w:bottom w:val="single" w:sz="4" w:space="0" w:color="6B818C" w:themeColor="accent5"/>
            </w:tcBorders>
            <w:vAlign w:val="center"/>
          </w:tcPr>
          <w:p w14:paraId="4DC0FA79"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vAlign w:val="bottom"/>
          </w:tcPr>
          <w:p w14:paraId="7F55CB8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Prefer not to say</w:t>
            </w:r>
          </w:p>
        </w:tc>
        <w:tc>
          <w:tcPr>
            <w:tcW w:w="0" w:type="auto"/>
            <w:tcBorders>
              <w:top w:val="nil"/>
              <w:bottom w:val="single" w:sz="4" w:space="0" w:color="6B818C" w:themeColor="accent5"/>
            </w:tcBorders>
            <w:vAlign w:val="bottom"/>
          </w:tcPr>
          <w:p w14:paraId="196EA0A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single" w:sz="4" w:space="0" w:color="6B818C" w:themeColor="accent5"/>
            </w:tcBorders>
            <w:vAlign w:val="bottom"/>
          </w:tcPr>
          <w:p w14:paraId="4416555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4.17%</w:t>
            </w:r>
          </w:p>
        </w:tc>
      </w:tr>
      <w:tr w:rsidR="003C699D" w:rsidRPr="00FE73DE" w14:paraId="4DB143A8"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6B818C" w:themeColor="accent5"/>
              <w:bottom w:val="nil"/>
            </w:tcBorders>
            <w:shd w:val="clear" w:color="auto" w:fill="auto"/>
            <w:vAlign w:val="center"/>
          </w:tcPr>
          <w:p w14:paraId="13D5292E" w14:textId="77777777" w:rsidR="003C699D" w:rsidRPr="00FE73DE" w:rsidRDefault="003C699D" w:rsidP="009F7300">
            <w:pPr>
              <w:spacing w:before="40" w:after="40" w:line="240" w:lineRule="auto"/>
              <w:jc w:val="left"/>
              <w:rPr>
                <w:b/>
                <w:bCs/>
                <w:sz w:val="20"/>
                <w:szCs w:val="20"/>
              </w:rPr>
            </w:pPr>
            <w:r w:rsidRPr="00FE73DE">
              <w:rPr>
                <w:b/>
                <w:bCs/>
                <w:sz w:val="20"/>
                <w:szCs w:val="20"/>
              </w:rPr>
              <w:t>Role</w:t>
            </w:r>
          </w:p>
        </w:tc>
        <w:tc>
          <w:tcPr>
            <w:tcW w:w="0" w:type="auto"/>
            <w:tcBorders>
              <w:top w:val="single" w:sz="4" w:space="0" w:color="6B818C" w:themeColor="accent5"/>
              <w:bottom w:val="nil"/>
            </w:tcBorders>
            <w:vAlign w:val="bottom"/>
          </w:tcPr>
          <w:p w14:paraId="739973AB"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External Business Support Provider (contracted by IBA)</w:t>
            </w:r>
          </w:p>
        </w:tc>
        <w:tc>
          <w:tcPr>
            <w:tcW w:w="0" w:type="auto"/>
            <w:tcBorders>
              <w:top w:val="single" w:sz="4" w:space="0" w:color="6B818C" w:themeColor="accent5"/>
              <w:bottom w:val="nil"/>
            </w:tcBorders>
            <w:vAlign w:val="bottom"/>
          </w:tcPr>
          <w:p w14:paraId="60F75C88"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11</w:t>
            </w:r>
          </w:p>
        </w:tc>
        <w:tc>
          <w:tcPr>
            <w:tcW w:w="0" w:type="auto"/>
            <w:tcBorders>
              <w:top w:val="single" w:sz="4" w:space="0" w:color="6B818C" w:themeColor="accent5"/>
              <w:bottom w:val="nil"/>
            </w:tcBorders>
            <w:vAlign w:val="bottom"/>
          </w:tcPr>
          <w:p w14:paraId="0CA5BF8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45.83%</w:t>
            </w:r>
          </w:p>
        </w:tc>
      </w:tr>
      <w:tr w:rsidR="003C699D" w:rsidRPr="00FE73DE" w14:paraId="5DE49F63" w14:textId="77777777" w:rsidTr="009F7300">
        <w:tc>
          <w:tcPr>
            <w:tcW w:w="0" w:type="auto"/>
            <w:vMerge/>
            <w:tcBorders>
              <w:top w:val="nil"/>
              <w:bottom w:val="nil"/>
            </w:tcBorders>
            <w:shd w:val="clear" w:color="auto" w:fill="auto"/>
            <w:vAlign w:val="center"/>
          </w:tcPr>
          <w:p w14:paraId="247D64EA"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79953986"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IBA - business support services</w:t>
            </w:r>
          </w:p>
        </w:tc>
        <w:tc>
          <w:tcPr>
            <w:tcW w:w="0" w:type="auto"/>
            <w:tcBorders>
              <w:top w:val="nil"/>
              <w:bottom w:val="nil"/>
            </w:tcBorders>
            <w:vAlign w:val="bottom"/>
          </w:tcPr>
          <w:p w14:paraId="6CCCC5A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10</w:t>
            </w:r>
          </w:p>
        </w:tc>
        <w:tc>
          <w:tcPr>
            <w:tcW w:w="0" w:type="auto"/>
            <w:tcBorders>
              <w:top w:val="nil"/>
              <w:bottom w:val="nil"/>
            </w:tcBorders>
            <w:vAlign w:val="bottom"/>
          </w:tcPr>
          <w:p w14:paraId="06C8BC18"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41.67%</w:t>
            </w:r>
          </w:p>
        </w:tc>
      </w:tr>
      <w:tr w:rsidR="003C699D" w:rsidRPr="00FE73DE" w14:paraId="7416AA4F"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shd w:val="clear" w:color="auto" w:fill="auto"/>
            <w:vAlign w:val="center"/>
          </w:tcPr>
          <w:p w14:paraId="26C37B6C"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3462ABA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IBA - financial products</w:t>
            </w:r>
          </w:p>
        </w:tc>
        <w:tc>
          <w:tcPr>
            <w:tcW w:w="0" w:type="auto"/>
            <w:tcBorders>
              <w:top w:val="nil"/>
              <w:bottom w:val="nil"/>
            </w:tcBorders>
            <w:vAlign w:val="bottom"/>
          </w:tcPr>
          <w:p w14:paraId="485F580B"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w:t>
            </w:r>
          </w:p>
        </w:tc>
        <w:tc>
          <w:tcPr>
            <w:tcW w:w="0" w:type="auto"/>
            <w:tcBorders>
              <w:top w:val="nil"/>
              <w:bottom w:val="nil"/>
            </w:tcBorders>
            <w:vAlign w:val="bottom"/>
          </w:tcPr>
          <w:p w14:paraId="0CC170F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8.33%</w:t>
            </w:r>
          </w:p>
        </w:tc>
      </w:tr>
      <w:tr w:rsidR="003C699D" w:rsidRPr="00FE73DE" w14:paraId="2E1ADE37" w14:textId="77777777" w:rsidTr="009F7300">
        <w:tc>
          <w:tcPr>
            <w:tcW w:w="0" w:type="auto"/>
            <w:vMerge/>
            <w:tcBorders>
              <w:top w:val="nil"/>
              <w:bottom w:val="nil"/>
            </w:tcBorders>
            <w:shd w:val="clear" w:color="auto" w:fill="auto"/>
            <w:vAlign w:val="center"/>
          </w:tcPr>
          <w:p w14:paraId="249093F5"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5988F03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Other (please specify)</w:t>
            </w:r>
          </w:p>
        </w:tc>
        <w:tc>
          <w:tcPr>
            <w:tcW w:w="0" w:type="auto"/>
            <w:tcBorders>
              <w:top w:val="nil"/>
              <w:bottom w:val="nil"/>
            </w:tcBorders>
            <w:vAlign w:val="bottom"/>
          </w:tcPr>
          <w:p w14:paraId="7573B854"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nil"/>
            </w:tcBorders>
            <w:vAlign w:val="bottom"/>
          </w:tcPr>
          <w:p w14:paraId="73736C9E"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4.17%</w:t>
            </w:r>
          </w:p>
        </w:tc>
      </w:tr>
      <w:tr w:rsidR="003C699D" w:rsidRPr="00FE73DE" w14:paraId="3A686E2A"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6B818C" w:themeColor="accent5"/>
              <w:bottom w:val="nil"/>
            </w:tcBorders>
            <w:vAlign w:val="center"/>
          </w:tcPr>
          <w:p w14:paraId="57CB9E59" w14:textId="77777777" w:rsidR="003C699D" w:rsidRPr="00FE73DE" w:rsidRDefault="003C699D" w:rsidP="009F7300">
            <w:pPr>
              <w:spacing w:before="40" w:after="40" w:line="240" w:lineRule="auto"/>
              <w:jc w:val="left"/>
              <w:rPr>
                <w:b/>
                <w:bCs/>
                <w:sz w:val="20"/>
                <w:szCs w:val="20"/>
              </w:rPr>
            </w:pPr>
            <w:r w:rsidRPr="00FE73DE">
              <w:rPr>
                <w:b/>
                <w:bCs/>
                <w:sz w:val="20"/>
                <w:szCs w:val="20"/>
              </w:rPr>
              <w:t xml:space="preserve">Length of time working for IBA </w:t>
            </w:r>
          </w:p>
        </w:tc>
        <w:tc>
          <w:tcPr>
            <w:tcW w:w="0" w:type="auto"/>
            <w:tcBorders>
              <w:top w:val="single" w:sz="4" w:space="0" w:color="6B818C" w:themeColor="accent5"/>
              <w:bottom w:val="nil"/>
            </w:tcBorders>
            <w:vAlign w:val="bottom"/>
          </w:tcPr>
          <w:p w14:paraId="3986A94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Less than 1 year</w:t>
            </w:r>
          </w:p>
        </w:tc>
        <w:tc>
          <w:tcPr>
            <w:tcW w:w="0" w:type="auto"/>
            <w:tcBorders>
              <w:top w:val="single" w:sz="4" w:space="0" w:color="6B818C" w:themeColor="accent5"/>
              <w:bottom w:val="nil"/>
            </w:tcBorders>
            <w:vAlign w:val="bottom"/>
          </w:tcPr>
          <w:p w14:paraId="7E18E6AD"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single" w:sz="4" w:space="0" w:color="6B818C" w:themeColor="accent5"/>
              <w:bottom w:val="nil"/>
            </w:tcBorders>
            <w:vAlign w:val="bottom"/>
          </w:tcPr>
          <w:p w14:paraId="1C566B8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4.17%</w:t>
            </w:r>
          </w:p>
        </w:tc>
      </w:tr>
      <w:tr w:rsidR="003C699D" w:rsidRPr="00FE73DE" w14:paraId="78393C8A" w14:textId="77777777" w:rsidTr="009F7300">
        <w:tc>
          <w:tcPr>
            <w:tcW w:w="0" w:type="auto"/>
            <w:vMerge/>
            <w:tcBorders>
              <w:top w:val="nil"/>
              <w:bottom w:val="nil"/>
            </w:tcBorders>
            <w:vAlign w:val="center"/>
          </w:tcPr>
          <w:p w14:paraId="535723B6"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5101F0E1"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1 to 2 years</w:t>
            </w:r>
          </w:p>
        </w:tc>
        <w:tc>
          <w:tcPr>
            <w:tcW w:w="0" w:type="auto"/>
            <w:tcBorders>
              <w:top w:val="nil"/>
              <w:bottom w:val="nil"/>
            </w:tcBorders>
            <w:vAlign w:val="bottom"/>
          </w:tcPr>
          <w:p w14:paraId="5282D9E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nil"/>
            </w:tcBorders>
            <w:vAlign w:val="bottom"/>
          </w:tcPr>
          <w:p w14:paraId="00EF5269"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4.17%</w:t>
            </w:r>
          </w:p>
        </w:tc>
      </w:tr>
      <w:tr w:rsidR="003C699D" w:rsidRPr="00FE73DE" w14:paraId="4081D1FC"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46D47564"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5FA85B10"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2 to 5 years</w:t>
            </w:r>
          </w:p>
        </w:tc>
        <w:tc>
          <w:tcPr>
            <w:tcW w:w="0" w:type="auto"/>
            <w:tcBorders>
              <w:top w:val="nil"/>
              <w:bottom w:val="nil"/>
            </w:tcBorders>
            <w:vAlign w:val="bottom"/>
          </w:tcPr>
          <w:p w14:paraId="58BA579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9</w:t>
            </w:r>
          </w:p>
        </w:tc>
        <w:tc>
          <w:tcPr>
            <w:tcW w:w="0" w:type="auto"/>
            <w:tcBorders>
              <w:top w:val="nil"/>
              <w:bottom w:val="nil"/>
            </w:tcBorders>
            <w:vAlign w:val="bottom"/>
          </w:tcPr>
          <w:p w14:paraId="7FBE3EF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37.50%</w:t>
            </w:r>
          </w:p>
        </w:tc>
      </w:tr>
      <w:tr w:rsidR="003C699D" w:rsidRPr="00FE73DE" w14:paraId="164A6BD4" w14:textId="77777777" w:rsidTr="009F7300">
        <w:tc>
          <w:tcPr>
            <w:tcW w:w="0" w:type="auto"/>
            <w:vMerge/>
            <w:tcBorders>
              <w:top w:val="nil"/>
              <w:bottom w:val="nil"/>
            </w:tcBorders>
            <w:vAlign w:val="center"/>
          </w:tcPr>
          <w:p w14:paraId="4F6184FE"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6B37D2F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5 to 10 years</w:t>
            </w:r>
          </w:p>
        </w:tc>
        <w:tc>
          <w:tcPr>
            <w:tcW w:w="0" w:type="auto"/>
            <w:tcBorders>
              <w:top w:val="nil"/>
              <w:bottom w:val="nil"/>
            </w:tcBorders>
            <w:vAlign w:val="bottom"/>
          </w:tcPr>
          <w:p w14:paraId="57A4837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w:t>
            </w:r>
          </w:p>
        </w:tc>
        <w:tc>
          <w:tcPr>
            <w:tcW w:w="0" w:type="auto"/>
            <w:tcBorders>
              <w:top w:val="nil"/>
              <w:bottom w:val="nil"/>
            </w:tcBorders>
            <w:vAlign w:val="bottom"/>
          </w:tcPr>
          <w:p w14:paraId="5D54B90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29.17%</w:t>
            </w:r>
          </w:p>
        </w:tc>
      </w:tr>
      <w:tr w:rsidR="003C699D" w:rsidRPr="00FE73DE" w14:paraId="07ADECF2"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40175F49"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5BAF40F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Greater than 10 years</w:t>
            </w:r>
          </w:p>
        </w:tc>
        <w:tc>
          <w:tcPr>
            <w:tcW w:w="0" w:type="auto"/>
            <w:tcBorders>
              <w:top w:val="nil"/>
              <w:bottom w:val="nil"/>
            </w:tcBorders>
            <w:vAlign w:val="bottom"/>
          </w:tcPr>
          <w:p w14:paraId="6D5D496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vAlign w:val="bottom"/>
          </w:tcPr>
          <w:p w14:paraId="2ED6F62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20.83%</w:t>
            </w:r>
          </w:p>
        </w:tc>
      </w:tr>
      <w:tr w:rsidR="003C699D" w:rsidRPr="00FE73DE" w14:paraId="55ABEEA4" w14:textId="77777777" w:rsidTr="009F7300">
        <w:tc>
          <w:tcPr>
            <w:tcW w:w="0" w:type="auto"/>
            <w:vMerge/>
            <w:tcBorders>
              <w:top w:val="nil"/>
              <w:bottom w:val="single" w:sz="4" w:space="0" w:color="6B818C" w:themeColor="accent5"/>
            </w:tcBorders>
            <w:vAlign w:val="center"/>
          </w:tcPr>
          <w:p w14:paraId="3667AAEC" w14:textId="77777777" w:rsidR="003C699D" w:rsidRPr="00FE73DE" w:rsidRDefault="003C699D" w:rsidP="009F7300">
            <w:pPr>
              <w:spacing w:before="40" w:after="40" w:line="240" w:lineRule="auto"/>
              <w:jc w:val="left"/>
              <w:rPr>
                <w:b/>
                <w:bCs/>
                <w:sz w:val="20"/>
                <w:szCs w:val="20"/>
              </w:rPr>
            </w:pPr>
          </w:p>
        </w:tc>
        <w:tc>
          <w:tcPr>
            <w:tcW w:w="0" w:type="auto"/>
            <w:tcBorders>
              <w:top w:val="nil"/>
              <w:bottom w:val="single" w:sz="4" w:space="0" w:color="6B818C" w:themeColor="accent5"/>
            </w:tcBorders>
            <w:vAlign w:val="bottom"/>
          </w:tcPr>
          <w:p w14:paraId="4215039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Do not recall</w:t>
            </w:r>
          </w:p>
        </w:tc>
        <w:tc>
          <w:tcPr>
            <w:tcW w:w="0" w:type="auto"/>
            <w:tcBorders>
              <w:top w:val="nil"/>
              <w:bottom w:val="single" w:sz="4" w:space="0" w:color="6B818C" w:themeColor="accent5"/>
            </w:tcBorders>
            <w:vAlign w:val="bottom"/>
          </w:tcPr>
          <w:p w14:paraId="3B387CB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1</w:t>
            </w:r>
          </w:p>
        </w:tc>
        <w:tc>
          <w:tcPr>
            <w:tcW w:w="0" w:type="auto"/>
            <w:tcBorders>
              <w:top w:val="nil"/>
              <w:bottom w:val="single" w:sz="4" w:space="0" w:color="6B818C" w:themeColor="accent5"/>
            </w:tcBorders>
            <w:vAlign w:val="bottom"/>
          </w:tcPr>
          <w:p w14:paraId="011675A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4.17%</w:t>
            </w:r>
          </w:p>
        </w:tc>
      </w:tr>
      <w:tr w:rsidR="003C699D" w:rsidRPr="00FE73DE" w14:paraId="444A389D"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6B818C" w:themeColor="accent5"/>
              <w:bottom w:val="nil"/>
            </w:tcBorders>
            <w:vAlign w:val="center"/>
          </w:tcPr>
          <w:p w14:paraId="3FEEF028" w14:textId="77777777" w:rsidR="003C699D" w:rsidRPr="00FE73DE" w:rsidRDefault="003C699D" w:rsidP="009F7300">
            <w:pPr>
              <w:spacing w:before="40" w:after="40" w:line="240" w:lineRule="auto"/>
              <w:jc w:val="left"/>
              <w:rPr>
                <w:b/>
                <w:bCs/>
                <w:sz w:val="20"/>
                <w:szCs w:val="20"/>
              </w:rPr>
            </w:pPr>
            <w:r w:rsidRPr="00FE73DE">
              <w:rPr>
                <w:b/>
                <w:bCs/>
                <w:sz w:val="20"/>
                <w:szCs w:val="20"/>
              </w:rPr>
              <w:t xml:space="preserve">State / Territory </w:t>
            </w:r>
          </w:p>
          <w:p w14:paraId="4C800705" w14:textId="57E97CD2" w:rsidR="003C699D" w:rsidRPr="00FE73DE" w:rsidRDefault="003C699D" w:rsidP="009F7300">
            <w:pPr>
              <w:spacing w:before="40" w:after="40" w:line="240" w:lineRule="auto"/>
              <w:jc w:val="left"/>
              <w:rPr>
                <w:b/>
                <w:bCs/>
                <w:sz w:val="20"/>
                <w:szCs w:val="20"/>
              </w:rPr>
            </w:pPr>
            <w:r w:rsidRPr="00FE73DE">
              <w:rPr>
                <w:b/>
                <w:bCs/>
                <w:sz w:val="20"/>
                <w:szCs w:val="20"/>
              </w:rPr>
              <w:t>(</w:t>
            </w:r>
            <w:r w:rsidR="00D8688E" w:rsidRPr="00FE73DE">
              <w:rPr>
                <w:b/>
                <w:bCs/>
                <w:sz w:val="20"/>
                <w:szCs w:val="20"/>
              </w:rPr>
              <w:t>Primary</w:t>
            </w:r>
            <w:r w:rsidRPr="00FE73DE">
              <w:rPr>
                <w:b/>
                <w:bCs/>
                <w:sz w:val="20"/>
                <w:szCs w:val="20"/>
              </w:rPr>
              <w:t xml:space="preserve"> location)</w:t>
            </w:r>
          </w:p>
        </w:tc>
        <w:tc>
          <w:tcPr>
            <w:tcW w:w="0" w:type="auto"/>
            <w:tcBorders>
              <w:top w:val="single" w:sz="4" w:space="0" w:color="6B818C" w:themeColor="accent5"/>
              <w:bottom w:val="nil"/>
            </w:tcBorders>
            <w:vAlign w:val="bottom"/>
          </w:tcPr>
          <w:p w14:paraId="669A3882"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QLD</w:t>
            </w:r>
          </w:p>
        </w:tc>
        <w:tc>
          <w:tcPr>
            <w:tcW w:w="0" w:type="auto"/>
            <w:tcBorders>
              <w:top w:val="single" w:sz="4" w:space="0" w:color="6B818C" w:themeColor="accent5"/>
              <w:bottom w:val="nil"/>
            </w:tcBorders>
            <w:vAlign w:val="bottom"/>
          </w:tcPr>
          <w:p w14:paraId="4576D06F"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7</w:t>
            </w:r>
          </w:p>
        </w:tc>
        <w:tc>
          <w:tcPr>
            <w:tcW w:w="0" w:type="auto"/>
            <w:tcBorders>
              <w:top w:val="single" w:sz="4" w:space="0" w:color="6B818C" w:themeColor="accent5"/>
              <w:bottom w:val="nil"/>
            </w:tcBorders>
            <w:vAlign w:val="bottom"/>
          </w:tcPr>
          <w:p w14:paraId="7A26F9C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29.17%</w:t>
            </w:r>
          </w:p>
        </w:tc>
      </w:tr>
      <w:tr w:rsidR="003C699D" w:rsidRPr="00FE73DE" w14:paraId="591C49DF" w14:textId="77777777" w:rsidTr="009F7300">
        <w:tc>
          <w:tcPr>
            <w:tcW w:w="0" w:type="auto"/>
            <w:vMerge/>
            <w:tcBorders>
              <w:top w:val="nil"/>
              <w:bottom w:val="nil"/>
            </w:tcBorders>
            <w:vAlign w:val="center"/>
          </w:tcPr>
          <w:p w14:paraId="6E6AC4B6"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1109669E"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WA</w:t>
            </w:r>
          </w:p>
        </w:tc>
        <w:tc>
          <w:tcPr>
            <w:tcW w:w="0" w:type="auto"/>
            <w:tcBorders>
              <w:top w:val="nil"/>
              <w:bottom w:val="nil"/>
            </w:tcBorders>
            <w:vAlign w:val="bottom"/>
          </w:tcPr>
          <w:p w14:paraId="30B26F7A"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vAlign w:val="bottom"/>
          </w:tcPr>
          <w:p w14:paraId="486B5803"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20.83%</w:t>
            </w:r>
          </w:p>
        </w:tc>
      </w:tr>
      <w:tr w:rsidR="003C699D" w:rsidRPr="00FE73DE" w14:paraId="1147CD3E"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2D4AE799"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2DA3AE8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NSW</w:t>
            </w:r>
          </w:p>
        </w:tc>
        <w:tc>
          <w:tcPr>
            <w:tcW w:w="0" w:type="auto"/>
            <w:tcBorders>
              <w:top w:val="nil"/>
              <w:bottom w:val="nil"/>
            </w:tcBorders>
            <w:vAlign w:val="bottom"/>
          </w:tcPr>
          <w:p w14:paraId="7B6B31A1"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5</w:t>
            </w:r>
          </w:p>
        </w:tc>
        <w:tc>
          <w:tcPr>
            <w:tcW w:w="0" w:type="auto"/>
            <w:tcBorders>
              <w:top w:val="nil"/>
              <w:bottom w:val="nil"/>
            </w:tcBorders>
            <w:vAlign w:val="bottom"/>
          </w:tcPr>
          <w:p w14:paraId="5A5BDD5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20.83%</w:t>
            </w:r>
          </w:p>
        </w:tc>
      </w:tr>
      <w:tr w:rsidR="003C699D" w:rsidRPr="00FE73DE" w14:paraId="319CAFC4" w14:textId="77777777" w:rsidTr="009F7300">
        <w:tc>
          <w:tcPr>
            <w:tcW w:w="0" w:type="auto"/>
            <w:vMerge/>
            <w:tcBorders>
              <w:top w:val="nil"/>
              <w:bottom w:val="nil"/>
            </w:tcBorders>
            <w:vAlign w:val="center"/>
          </w:tcPr>
          <w:p w14:paraId="0A998D8E"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3FD845BF"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VIC</w:t>
            </w:r>
          </w:p>
        </w:tc>
        <w:tc>
          <w:tcPr>
            <w:tcW w:w="0" w:type="auto"/>
            <w:tcBorders>
              <w:top w:val="nil"/>
              <w:bottom w:val="nil"/>
            </w:tcBorders>
            <w:vAlign w:val="bottom"/>
          </w:tcPr>
          <w:p w14:paraId="66F87CF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vAlign w:val="bottom"/>
          </w:tcPr>
          <w:p w14:paraId="65DEDBA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16.67%</w:t>
            </w:r>
          </w:p>
        </w:tc>
      </w:tr>
      <w:tr w:rsidR="003C699D" w:rsidRPr="00FE73DE" w14:paraId="0027BAA6"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630FCAD7"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6FE595B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NT</w:t>
            </w:r>
          </w:p>
        </w:tc>
        <w:tc>
          <w:tcPr>
            <w:tcW w:w="0" w:type="auto"/>
            <w:tcBorders>
              <w:top w:val="nil"/>
              <w:bottom w:val="nil"/>
            </w:tcBorders>
            <w:vAlign w:val="bottom"/>
          </w:tcPr>
          <w:p w14:paraId="55AE4242"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3</w:t>
            </w:r>
          </w:p>
        </w:tc>
        <w:tc>
          <w:tcPr>
            <w:tcW w:w="0" w:type="auto"/>
            <w:tcBorders>
              <w:top w:val="nil"/>
              <w:bottom w:val="nil"/>
            </w:tcBorders>
            <w:vAlign w:val="bottom"/>
          </w:tcPr>
          <w:p w14:paraId="1930CCA6"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12.50%</w:t>
            </w:r>
          </w:p>
        </w:tc>
      </w:tr>
      <w:tr w:rsidR="003C699D" w:rsidRPr="00FE73DE" w14:paraId="044AFF2D" w14:textId="77777777" w:rsidTr="009F7300">
        <w:tc>
          <w:tcPr>
            <w:tcW w:w="0" w:type="auto"/>
            <w:vMerge w:val="restart"/>
            <w:tcBorders>
              <w:top w:val="single" w:sz="4" w:space="0" w:color="6B818C" w:themeColor="accent5"/>
              <w:bottom w:val="nil"/>
            </w:tcBorders>
            <w:vAlign w:val="center"/>
          </w:tcPr>
          <w:p w14:paraId="0F302A94" w14:textId="77777777" w:rsidR="003C699D" w:rsidRPr="00FE73DE" w:rsidRDefault="003C699D" w:rsidP="009F7300">
            <w:pPr>
              <w:spacing w:before="40" w:after="40" w:line="240" w:lineRule="auto"/>
              <w:jc w:val="left"/>
              <w:rPr>
                <w:b/>
                <w:bCs/>
                <w:sz w:val="20"/>
                <w:szCs w:val="20"/>
              </w:rPr>
            </w:pPr>
            <w:r w:rsidRPr="00FE73DE">
              <w:rPr>
                <w:b/>
                <w:bCs/>
                <w:sz w:val="20"/>
                <w:szCs w:val="20"/>
              </w:rPr>
              <w:t>Client facing role</w:t>
            </w:r>
          </w:p>
        </w:tc>
        <w:tc>
          <w:tcPr>
            <w:tcW w:w="0" w:type="auto"/>
            <w:tcBorders>
              <w:top w:val="single" w:sz="4" w:space="0" w:color="6B818C" w:themeColor="accent5"/>
              <w:bottom w:val="nil"/>
            </w:tcBorders>
            <w:vAlign w:val="bottom"/>
          </w:tcPr>
          <w:p w14:paraId="45DE330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Yes</w:t>
            </w:r>
          </w:p>
        </w:tc>
        <w:tc>
          <w:tcPr>
            <w:tcW w:w="0" w:type="auto"/>
            <w:tcBorders>
              <w:top w:val="single" w:sz="4" w:space="0" w:color="6B818C" w:themeColor="accent5"/>
              <w:bottom w:val="nil"/>
            </w:tcBorders>
            <w:vAlign w:val="bottom"/>
          </w:tcPr>
          <w:p w14:paraId="78596646"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20</w:t>
            </w:r>
          </w:p>
        </w:tc>
        <w:tc>
          <w:tcPr>
            <w:tcW w:w="0" w:type="auto"/>
            <w:tcBorders>
              <w:top w:val="single" w:sz="4" w:space="0" w:color="6B818C" w:themeColor="accent5"/>
              <w:bottom w:val="nil"/>
            </w:tcBorders>
            <w:vAlign w:val="bottom"/>
          </w:tcPr>
          <w:p w14:paraId="18B574B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83.33%</w:t>
            </w:r>
          </w:p>
        </w:tc>
      </w:tr>
      <w:tr w:rsidR="003C699D" w:rsidRPr="00FE73DE" w14:paraId="63C3DEB5"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vAlign w:val="center"/>
          </w:tcPr>
          <w:p w14:paraId="4C2C1665" w14:textId="77777777" w:rsidR="003C699D" w:rsidRPr="00FE73DE" w:rsidRDefault="003C699D" w:rsidP="009F7300">
            <w:pPr>
              <w:spacing w:before="40" w:after="40" w:line="240" w:lineRule="auto"/>
              <w:jc w:val="left"/>
              <w:rPr>
                <w:b/>
                <w:bCs/>
                <w:sz w:val="20"/>
                <w:szCs w:val="20"/>
              </w:rPr>
            </w:pPr>
          </w:p>
        </w:tc>
        <w:tc>
          <w:tcPr>
            <w:tcW w:w="0" w:type="auto"/>
            <w:tcBorders>
              <w:top w:val="nil"/>
              <w:bottom w:val="nil"/>
            </w:tcBorders>
            <w:vAlign w:val="bottom"/>
          </w:tcPr>
          <w:p w14:paraId="5264119C"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No</w:t>
            </w:r>
          </w:p>
        </w:tc>
        <w:tc>
          <w:tcPr>
            <w:tcW w:w="0" w:type="auto"/>
            <w:tcBorders>
              <w:top w:val="nil"/>
              <w:bottom w:val="nil"/>
            </w:tcBorders>
            <w:vAlign w:val="bottom"/>
          </w:tcPr>
          <w:p w14:paraId="64045D3E" w14:textId="77777777" w:rsidR="003C699D" w:rsidRPr="00FE73DE" w:rsidRDefault="003C699D" w:rsidP="009F7300">
            <w:pPr>
              <w:spacing w:before="40" w:after="40" w:line="240" w:lineRule="auto"/>
              <w:jc w:val="right"/>
              <w:rPr>
                <w:sz w:val="20"/>
                <w:szCs w:val="20"/>
              </w:rPr>
            </w:pPr>
            <w:r w:rsidRPr="00FE73DE">
              <w:rPr>
                <w:rFonts w:cs="Calibri"/>
                <w:color w:val="000000"/>
                <w:sz w:val="20"/>
                <w:szCs w:val="20"/>
              </w:rPr>
              <w:t>4</w:t>
            </w:r>
          </w:p>
        </w:tc>
        <w:tc>
          <w:tcPr>
            <w:tcW w:w="0" w:type="auto"/>
            <w:tcBorders>
              <w:top w:val="nil"/>
              <w:bottom w:val="nil"/>
            </w:tcBorders>
            <w:vAlign w:val="bottom"/>
          </w:tcPr>
          <w:p w14:paraId="167A0FFB"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16.67%</w:t>
            </w:r>
          </w:p>
        </w:tc>
      </w:tr>
      <w:tr w:rsidR="003C699D" w:rsidRPr="00FE73DE" w14:paraId="57EA4156" w14:textId="77777777" w:rsidTr="009F7300">
        <w:tc>
          <w:tcPr>
            <w:tcW w:w="0" w:type="auto"/>
            <w:vMerge w:val="restart"/>
            <w:tcBorders>
              <w:top w:val="single" w:sz="4" w:space="0" w:color="6B818C" w:themeColor="accent5"/>
              <w:bottom w:val="nil"/>
            </w:tcBorders>
            <w:vAlign w:val="center"/>
          </w:tcPr>
          <w:p w14:paraId="6C43AD61" w14:textId="77777777" w:rsidR="003C699D" w:rsidRPr="00FE73DE" w:rsidRDefault="003C699D" w:rsidP="009F7300">
            <w:pPr>
              <w:spacing w:before="40" w:after="40" w:line="240" w:lineRule="auto"/>
              <w:jc w:val="left"/>
              <w:rPr>
                <w:b/>
                <w:bCs/>
                <w:sz w:val="20"/>
                <w:szCs w:val="20"/>
              </w:rPr>
            </w:pPr>
            <w:r w:rsidRPr="00FE73DE">
              <w:rPr>
                <w:b/>
                <w:bCs/>
                <w:sz w:val="20"/>
                <w:szCs w:val="20"/>
              </w:rPr>
              <w:t>Regional area*</w:t>
            </w:r>
          </w:p>
        </w:tc>
        <w:tc>
          <w:tcPr>
            <w:tcW w:w="0" w:type="auto"/>
            <w:tcBorders>
              <w:top w:val="single" w:sz="4" w:space="0" w:color="6B818C" w:themeColor="accent5"/>
              <w:bottom w:val="nil"/>
            </w:tcBorders>
            <w:vAlign w:val="bottom"/>
          </w:tcPr>
          <w:p w14:paraId="7B5F4417"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Major cities of Australia</w:t>
            </w:r>
          </w:p>
        </w:tc>
        <w:tc>
          <w:tcPr>
            <w:tcW w:w="0" w:type="auto"/>
            <w:tcBorders>
              <w:top w:val="single" w:sz="4" w:space="0" w:color="6B818C" w:themeColor="accent5"/>
              <w:bottom w:val="nil"/>
            </w:tcBorders>
            <w:vAlign w:val="bottom"/>
          </w:tcPr>
          <w:p w14:paraId="10C42F41"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16</w:t>
            </w:r>
          </w:p>
        </w:tc>
        <w:tc>
          <w:tcPr>
            <w:tcW w:w="0" w:type="auto"/>
            <w:tcBorders>
              <w:top w:val="single" w:sz="4" w:space="0" w:color="6B818C" w:themeColor="accent5"/>
              <w:bottom w:val="nil"/>
            </w:tcBorders>
            <w:vAlign w:val="bottom"/>
          </w:tcPr>
          <w:p w14:paraId="51557EB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66.67%</w:t>
            </w:r>
          </w:p>
        </w:tc>
      </w:tr>
      <w:tr w:rsidR="003C699D" w:rsidRPr="00FE73DE" w14:paraId="6E9C935E"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50D975CE"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vAlign w:val="bottom"/>
          </w:tcPr>
          <w:p w14:paraId="4189397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Inner regional areas of Australia</w:t>
            </w:r>
          </w:p>
        </w:tc>
        <w:tc>
          <w:tcPr>
            <w:tcW w:w="0" w:type="auto"/>
            <w:tcBorders>
              <w:top w:val="nil"/>
              <w:bottom w:val="nil"/>
            </w:tcBorders>
            <w:vAlign w:val="bottom"/>
          </w:tcPr>
          <w:p w14:paraId="486DD3E8"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17</w:t>
            </w:r>
          </w:p>
        </w:tc>
        <w:tc>
          <w:tcPr>
            <w:tcW w:w="0" w:type="auto"/>
            <w:tcBorders>
              <w:top w:val="nil"/>
              <w:bottom w:val="nil"/>
            </w:tcBorders>
            <w:vAlign w:val="bottom"/>
          </w:tcPr>
          <w:p w14:paraId="38675109"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70.83%</w:t>
            </w:r>
          </w:p>
        </w:tc>
      </w:tr>
      <w:tr w:rsidR="003C699D" w:rsidRPr="00FE73DE" w14:paraId="251050E9" w14:textId="77777777" w:rsidTr="009F7300">
        <w:tc>
          <w:tcPr>
            <w:tcW w:w="0" w:type="auto"/>
            <w:vMerge/>
            <w:tcBorders>
              <w:top w:val="nil"/>
              <w:bottom w:val="nil"/>
            </w:tcBorders>
          </w:tcPr>
          <w:p w14:paraId="07CE79D5"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vAlign w:val="bottom"/>
          </w:tcPr>
          <w:p w14:paraId="17249D73"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Outer regional areas of Australia</w:t>
            </w:r>
          </w:p>
        </w:tc>
        <w:tc>
          <w:tcPr>
            <w:tcW w:w="0" w:type="auto"/>
            <w:tcBorders>
              <w:top w:val="nil"/>
              <w:bottom w:val="nil"/>
            </w:tcBorders>
            <w:vAlign w:val="bottom"/>
          </w:tcPr>
          <w:p w14:paraId="72B8F9AD"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19</w:t>
            </w:r>
          </w:p>
        </w:tc>
        <w:tc>
          <w:tcPr>
            <w:tcW w:w="0" w:type="auto"/>
            <w:tcBorders>
              <w:top w:val="nil"/>
              <w:bottom w:val="nil"/>
            </w:tcBorders>
            <w:vAlign w:val="bottom"/>
          </w:tcPr>
          <w:p w14:paraId="3D4F44D4"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79.17%</w:t>
            </w:r>
          </w:p>
        </w:tc>
      </w:tr>
      <w:tr w:rsidR="003C699D" w:rsidRPr="00FE73DE" w14:paraId="2A0F1C13" w14:textId="77777777" w:rsidTr="009F7300">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bottom w:val="nil"/>
            </w:tcBorders>
          </w:tcPr>
          <w:p w14:paraId="7DFCB097" w14:textId="77777777" w:rsidR="003C699D" w:rsidRPr="00FE73DE" w:rsidRDefault="003C699D" w:rsidP="009F7300">
            <w:pPr>
              <w:spacing w:before="40" w:after="40" w:line="240" w:lineRule="auto"/>
              <w:jc w:val="left"/>
              <w:rPr>
                <w:sz w:val="20"/>
                <w:szCs w:val="20"/>
              </w:rPr>
            </w:pPr>
          </w:p>
        </w:tc>
        <w:tc>
          <w:tcPr>
            <w:tcW w:w="0" w:type="auto"/>
            <w:tcBorders>
              <w:top w:val="nil"/>
              <w:bottom w:val="nil"/>
            </w:tcBorders>
            <w:vAlign w:val="bottom"/>
          </w:tcPr>
          <w:p w14:paraId="620F88AA"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Remote Australia</w:t>
            </w:r>
          </w:p>
        </w:tc>
        <w:tc>
          <w:tcPr>
            <w:tcW w:w="0" w:type="auto"/>
            <w:tcBorders>
              <w:top w:val="nil"/>
              <w:bottom w:val="nil"/>
            </w:tcBorders>
            <w:vAlign w:val="bottom"/>
          </w:tcPr>
          <w:p w14:paraId="08FACCAF"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15</w:t>
            </w:r>
          </w:p>
        </w:tc>
        <w:tc>
          <w:tcPr>
            <w:tcW w:w="0" w:type="auto"/>
            <w:tcBorders>
              <w:top w:val="nil"/>
              <w:bottom w:val="nil"/>
            </w:tcBorders>
            <w:vAlign w:val="bottom"/>
          </w:tcPr>
          <w:p w14:paraId="188B10C5"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62.50%</w:t>
            </w:r>
          </w:p>
        </w:tc>
      </w:tr>
      <w:tr w:rsidR="003C699D" w:rsidRPr="00FE73DE" w14:paraId="1DDBCA6D" w14:textId="77777777" w:rsidTr="009F7300">
        <w:tc>
          <w:tcPr>
            <w:tcW w:w="0" w:type="auto"/>
            <w:vMerge/>
            <w:tcBorders>
              <w:top w:val="nil"/>
              <w:bottom w:val="single" w:sz="4" w:space="0" w:color="6B818C" w:themeColor="accent5"/>
            </w:tcBorders>
          </w:tcPr>
          <w:p w14:paraId="20B4DBD2" w14:textId="77777777" w:rsidR="003C699D" w:rsidRPr="00FE73DE" w:rsidRDefault="003C699D" w:rsidP="009F7300">
            <w:pPr>
              <w:spacing w:before="40" w:after="40" w:line="240" w:lineRule="auto"/>
              <w:jc w:val="left"/>
              <w:rPr>
                <w:sz w:val="20"/>
                <w:szCs w:val="20"/>
              </w:rPr>
            </w:pPr>
          </w:p>
        </w:tc>
        <w:tc>
          <w:tcPr>
            <w:tcW w:w="0" w:type="auto"/>
            <w:tcBorders>
              <w:top w:val="nil"/>
              <w:bottom w:val="single" w:sz="4" w:space="0" w:color="6B818C" w:themeColor="accent5"/>
            </w:tcBorders>
            <w:vAlign w:val="bottom"/>
          </w:tcPr>
          <w:p w14:paraId="5561D5BD" w14:textId="77777777" w:rsidR="003C699D" w:rsidRPr="00FE73DE" w:rsidRDefault="003C699D" w:rsidP="009F7300">
            <w:pPr>
              <w:spacing w:before="40" w:after="40" w:line="240" w:lineRule="auto"/>
              <w:jc w:val="left"/>
              <w:rPr>
                <w:rFonts w:cs="Calibri"/>
                <w:color w:val="000000"/>
                <w:sz w:val="20"/>
                <w:szCs w:val="20"/>
              </w:rPr>
            </w:pPr>
            <w:r w:rsidRPr="00FE73DE">
              <w:rPr>
                <w:rFonts w:cs="Calibri"/>
                <w:color w:val="000000"/>
                <w:sz w:val="20"/>
                <w:szCs w:val="20"/>
              </w:rPr>
              <w:t>Very remote Australia</w:t>
            </w:r>
          </w:p>
        </w:tc>
        <w:tc>
          <w:tcPr>
            <w:tcW w:w="0" w:type="auto"/>
            <w:tcBorders>
              <w:top w:val="nil"/>
              <w:bottom w:val="single" w:sz="4" w:space="0" w:color="6B818C" w:themeColor="accent5"/>
            </w:tcBorders>
            <w:vAlign w:val="bottom"/>
          </w:tcPr>
          <w:p w14:paraId="25519452"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8</w:t>
            </w:r>
          </w:p>
        </w:tc>
        <w:tc>
          <w:tcPr>
            <w:tcW w:w="0" w:type="auto"/>
            <w:tcBorders>
              <w:top w:val="nil"/>
              <w:bottom w:val="single" w:sz="4" w:space="0" w:color="6B818C" w:themeColor="accent5"/>
            </w:tcBorders>
            <w:vAlign w:val="bottom"/>
          </w:tcPr>
          <w:p w14:paraId="45B3CD67" w14:textId="77777777" w:rsidR="003C699D" w:rsidRPr="00FE73DE" w:rsidRDefault="003C699D" w:rsidP="009F7300">
            <w:pPr>
              <w:spacing w:before="40" w:after="40" w:line="240" w:lineRule="auto"/>
              <w:jc w:val="right"/>
              <w:rPr>
                <w:rFonts w:cs="Calibri"/>
                <w:color w:val="000000"/>
                <w:sz w:val="20"/>
                <w:szCs w:val="20"/>
              </w:rPr>
            </w:pPr>
            <w:r w:rsidRPr="00FE73DE">
              <w:rPr>
                <w:rFonts w:cs="Calibri"/>
                <w:color w:val="000000"/>
                <w:sz w:val="20"/>
                <w:szCs w:val="20"/>
              </w:rPr>
              <w:t>33.33%</w:t>
            </w:r>
          </w:p>
        </w:tc>
      </w:tr>
    </w:tbl>
    <w:p w14:paraId="3C6289C7" w14:textId="5145FEA1" w:rsidR="00AB2277" w:rsidRPr="00FE73DE" w:rsidRDefault="003C699D" w:rsidP="003257FB">
      <w:pPr>
        <w:pStyle w:val="TableNote"/>
      </w:pPr>
      <w:r w:rsidRPr="00FE73DE">
        <w:t>*Respondents were able to select more than one answer for these questions. Therefore, the percentages provided indicates the proportion of total respondents (n=24) that selected each option.</w:t>
      </w:r>
      <w:r w:rsidR="00AB2277" w:rsidRPr="00FE73DE">
        <w:br w:type="page"/>
      </w:r>
    </w:p>
    <w:p w14:paraId="342F145D" w14:textId="5794373D" w:rsidR="00590F02" w:rsidRPr="00FE73DE" w:rsidRDefault="00590F02" w:rsidP="008B62F3">
      <w:pPr>
        <w:pStyle w:val="Heading1"/>
        <w:numPr>
          <w:ilvl w:val="0"/>
          <w:numId w:val="0"/>
        </w:numPr>
      </w:pPr>
      <w:bookmarkStart w:id="167" w:name="_Toc123734730"/>
      <w:r w:rsidRPr="00FE73DE">
        <w:t xml:space="preserve">Appendix </w:t>
      </w:r>
      <w:r w:rsidR="001C6781">
        <w:t>F</w:t>
      </w:r>
      <w:r w:rsidRPr="00FE73DE">
        <w:t>: BSP loans by industry</w:t>
      </w:r>
      <w:bookmarkEnd w:id="167"/>
    </w:p>
    <w:p w14:paraId="14E5FC79" w14:textId="00349EB0" w:rsidR="00590F02" w:rsidRPr="00FE73DE" w:rsidRDefault="00590F02" w:rsidP="00590F02">
      <w:r w:rsidRPr="00FE73DE">
        <w:t xml:space="preserve">Where industry data is available for those loans funded under BSP, we found that the industry that has received the most loans, and the highest value loans, was the </w:t>
      </w:r>
      <w:r w:rsidRPr="00FE73DE">
        <w:rPr>
          <w:i/>
          <w:iCs/>
        </w:rPr>
        <w:t xml:space="preserve">Construction </w:t>
      </w:r>
      <w:r w:rsidRPr="00FE73DE">
        <w:t>industry (receiving over 17</w:t>
      </w:r>
      <w:r w:rsidR="008557E8">
        <w:t>%</w:t>
      </w:r>
      <w:r w:rsidRPr="00FE73DE">
        <w:t xml:space="preserve"> of loan value and 20</w:t>
      </w:r>
      <w:r w:rsidR="008557E8">
        <w:t>%</w:t>
      </w:r>
      <w:r w:rsidRPr="00FE73DE">
        <w:t xml:space="preserve"> of all loans committed since 201</w:t>
      </w:r>
      <w:r w:rsidR="008557E8">
        <w:t>6–</w:t>
      </w:r>
      <w:r w:rsidRPr="00FE73DE">
        <w:t xml:space="preserve">17). The breakdown by industry is shown in </w:t>
      </w:r>
      <w:r w:rsidRPr="00FE73DE">
        <w:fldChar w:fldCharType="begin"/>
      </w:r>
      <w:r w:rsidRPr="00FE73DE">
        <w:instrText xml:space="preserve"> REF _Ref105581164 \h </w:instrText>
      </w:r>
      <w:r w:rsidRPr="00FE73DE">
        <w:fldChar w:fldCharType="separate"/>
      </w:r>
      <w:r w:rsidR="004718C9" w:rsidRPr="00FE73DE">
        <w:t xml:space="preserve">Table </w:t>
      </w:r>
      <w:r w:rsidR="004718C9">
        <w:rPr>
          <w:noProof/>
        </w:rPr>
        <w:t>14</w:t>
      </w:r>
      <w:r w:rsidRPr="00FE73DE">
        <w:fldChar w:fldCharType="end"/>
      </w:r>
      <w:r w:rsidRPr="00FE73DE">
        <w:t>.</w:t>
      </w:r>
    </w:p>
    <w:p w14:paraId="00E0ECCE" w14:textId="2F2D2772" w:rsidR="00590F02" w:rsidRPr="00FE73DE" w:rsidRDefault="00590F02" w:rsidP="00590F02">
      <w:pPr>
        <w:pStyle w:val="Caption"/>
        <w:keepNext/>
      </w:pPr>
      <w:bookmarkStart w:id="168" w:name="_Ref105581164"/>
      <w:r w:rsidRPr="00FE73DE">
        <w:t xml:space="preserve">Table </w:t>
      </w:r>
      <w:fldSimple w:instr=" SEQ Table \* ARABIC ">
        <w:r w:rsidR="004718C9">
          <w:rPr>
            <w:noProof/>
          </w:rPr>
          <w:t>14</w:t>
        </w:r>
      </w:fldSimple>
      <w:bookmarkEnd w:id="168"/>
      <w:r w:rsidRPr="00FE73DE">
        <w:t>: Total number and value of BSP loans recorded from 201</w:t>
      </w:r>
      <w:r w:rsidR="008557E8">
        <w:t>6–</w:t>
      </w:r>
      <w:r w:rsidRPr="00FE73DE">
        <w:t>17 to 202</w:t>
      </w:r>
      <w:r w:rsidR="008557E8">
        <w:t>0–</w:t>
      </w:r>
      <w:r w:rsidRPr="00FE73DE">
        <w:t>21 by Industry</w:t>
      </w:r>
    </w:p>
    <w:tbl>
      <w:tblPr>
        <w:tblStyle w:val="Summaryboxtablestyle"/>
        <w:tblW w:w="5000" w:type="pct"/>
        <w:tblLook w:val="04A0" w:firstRow="1" w:lastRow="0" w:firstColumn="1" w:lastColumn="0" w:noHBand="0" w:noVBand="1"/>
      </w:tblPr>
      <w:tblGrid>
        <w:gridCol w:w="1974"/>
        <w:gridCol w:w="1360"/>
        <w:gridCol w:w="1362"/>
        <w:gridCol w:w="1529"/>
        <w:gridCol w:w="1326"/>
        <w:gridCol w:w="1339"/>
      </w:tblGrid>
      <w:tr w:rsidR="00590F02" w:rsidRPr="0069410A" w14:paraId="2A83B77C" w14:textId="77777777" w:rsidTr="00102BEB">
        <w:trPr>
          <w:cnfStyle w:val="100000000000" w:firstRow="1" w:lastRow="0" w:firstColumn="0" w:lastColumn="0" w:oddVBand="0" w:evenVBand="0" w:oddHBand="0" w:evenHBand="0" w:firstRowFirstColumn="0" w:firstRowLastColumn="0" w:lastRowFirstColumn="0" w:lastRowLastColumn="0"/>
          <w:tblHeader/>
        </w:trPr>
        <w:tc>
          <w:tcPr>
            <w:tcW w:w="1110" w:type="pct"/>
          </w:tcPr>
          <w:p w14:paraId="4FE95727" w14:textId="77777777" w:rsidR="00590F02" w:rsidRPr="0069410A" w:rsidRDefault="00590F02" w:rsidP="00102BEB">
            <w:pPr>
              <w:pStyle w:val="TableText"/>
              <w:rPr>
                <w:b w:val="0"/>
                <w:sz w:val="19"/>
                <w:szCs w:val="19"/>
              </w:rPr>
            </w:pPr>
            <w:r w:rsidRPr="0069410A">
              <w:rPr>
                <w:sz w:val="19"/>
                <w:szCs w:val="19"/>
              </w:rPr>
              <w:t>Industry</w:t>
            </w:r>
          </w:p>
        </w:tc>
        <w:tc>
          <w:tcPr>
            <w:tcW w:w="765" w:type="pct"/>
          </w:tcPr>
          <w:p w14:paraId="45C1557A" w14:textId="7C0241EF" w:rsidR="00590F02" w:rsidRPr="0069410A" w:rsidRDefault="00590F02" w:rsidP="00102BEB">
            <w:pPr>
              <w:pStyle w:val="TableText"/>
              <w:rPr>
                <w:b w:val="0"/>
                <w:sz w:val="19"/>
                <w:szCs w:val="19"/>
              </w:rPr>
            </w:pPr>
            <w:r w:rsidRPr="0069410A">
              <w:rPr>
                <w:sz w:val="19"/>
                <w:szCs w:val="19"/>
              </w:rPr>
              <w:t>Number of Loans since 201</w:t>
            </w:r>
            <w:r w:rsidR="008557E8" w:rsidRPr="0069410A">
              <w:rPr>
                <w:sz w:val="19"/>
                <w:szCs w:val="19"/>
              </w:rPr>
              <w:t>6–</w:t>
            </w:r>
            <w:r w:rsidRPr="0069410A">
              <w:rPr>
                <w:sz w:val="19"/>
                <w:szCs w:val="19"/>
              </w:rPr>
              <w:t>17 (to 202</w:t>
            </w:r>
            <w:r w:rsidR="008557E8" w:rsidRPr="0069410A">
              <w:rPr>
                <w:sz w:val="19"/>
                <w:szCs w:val="19"/>
              </w:rPr>
              <w:t>0–</w:t>
            </w:r>
            <w:r w:rsidRPr="0069410A">
              <w:rPr>
                <w:sz w:val="19"/>
                <w:szCs w:val="19"/>
              </w:rPr>
              <w:t xml:space="preserve">21) </w:t>
            </w:r>
          </w:p>
        </w:tc>
        <w:tc>
          <w:tcPr>
            <w:tcW w:w="766" w:type="pct"/>
          </w:tcPr>
          <w:p w14:paraId="24F8F440" w14:textId="77777777" w:rsidR="00590F02" w:rsidRPr="0069410A" w:rsidRDefault="00590F02" w:rsidP="00102BEB">
            <w:pPr>
              <w:pStyle w:val="TableText"/>
              <w:rPr>
                <w:b w:val="0"/>
                <w:sz w:val="19"/>
                <w:szCs w:val="19"/>
              </w:rPr>
            </w:pPr>
            <w:r w:rsidRPr="0069410A">
              <w:rPr>
                <w:sz w:val="19"/>
                <w:szCs w:val="19"/>
              </w:rPr>
              <w:t>% of Loans (n=620)</w:t>
            </w:r>
          </w:p>
        </w:tc>
        <w:tc>
          <w:tcPr>
            <w:tcW w:w="860" w:type="pct"/>
          </w:tcPr>
          <w:p w14:paraId="7DBF074C" w14:textId="5324BEC2" w:rsidR="00590F02" w:rsidRPr="0069410A" w:rsidRDefault="00590F02" w:rsidP="00102BEB">
            <w:pPr>
              <w:pStyle w:val="TableText"/>
              <w:rPr>
                <w:b w:val="0"/>
                <w:sz w:val="19"/>
                <w:szCs w:val="19"/>
              </w:rPr>
            </w:pPr>
            <w:r w:rsidRPr="0069410A">
              <w:rPr>
                <w:sz w:val="19"/>
                <w:szCs w:val="19"/>
              </w:rPr>
              <w:t>Total Value of Loans since 201</w:t>
            </w:r>
            <w:r w:rsidR="008557E8" w:rsidRPr="0069410A">
              <w:rPr>
                <w:sz w:val="19"/>
                <w:szCs w:val="19"/>
              </w:rPr>
              <w:t>6–</w:t>
            </w:r>
            <w:r w:rsidRPr="0069410A">
              <w:rPr>
                <w:sz w:val="19"/>
                <w:szCs w:val="19"/>
              </w:rPr>
              <w:t>17 (to 202</w:t>
            </w:r>
            <w:r w:rsidR="008557E8" w:rsidRPr="0069410A">
              <w:rPr>
                <w:sz w:val="19"/>
                <w:szCs w:val="19"/>
              </w:rPr>
              <w:t>0–</w:t>
            </w:r>
            <w:r w:rsidRPr="0069410A">
              <w:rPr>
                <w:sz w:val="19"/>
                <w:szCs w:val="19"/>
              </w:rPr>
              <w:t>21)</w:t>
            </w:r>
          </w:p>
        </w:tc>
        <w:tc>
          <w:tcPr>
            <w:tcW w:w="746" w:type="pct"/>
          </w:tcPr>
          <w:p w14:paraId="2487FCD3" w14:textId="77777777" w:rsidR="00590F02" w:rsidRPr="0069410A" w:rsidRDefault="00590F02" w:rsidP="00102BEB">
            <w:pPr>
              <w:pStyle w:val="TableText"/>
              <w:rPr>
                <w:b w:val="0"/>
                <w:sz w:val="19"/>
                <w:szCs w:val="19"/>
              </w:rPr>
            </w:pPr>
            <w:r w:rsidRPr="0069410A">
              <w:rPr>
                <w:sz w:val="19"/>
                <w:szCs w:val="19"/>
              </w:rPr>
              <w:t>% of Total Value ($70.9 million)</w:t>
            </w:r>
          </w:p>
        </w:tc>
        <w:tc>
          <w:tcPr>
            <w:tcW w:w="753" w:type="pct"/>
          </w:tcPr>
          <w:p w14:paraId="0FFAFB34" w14:textId="77777777" w:rsidR="00590F02" w:rsidRPr="0069410A" w:rsidRDefault="00590F02" w:rsidP="00102BEB">
            <w:pPr>
              <w:pStyle w:val="TableText"/>
              <w:rPr>
                <w:b w:val="0"/>
                <w:sz w:val="19"/>
                <w:szCs w:val="19"/>
              </w:rPr>
            </w:pPr>
            <w:r w:rsidRPr="0069410A">
              <w:rPr>
                <w:sz w:val="19"/>
                <w:szCs w:val="19"/>
              </w:rPr>
              <w:t>Average Loan Value</w:t>
            </w:r>
          </w:p>
        </w:tc>
      </w:tr>
      <w:tr w:rsidR="00590F02" w:rsidRPr="0069410A" w14:paraId="4B84789B" w14:textId="77777777" w:rsidTr="00102BEB">
        <w:tc>
          <w:tcPr>
            <w:tcW w:w="1110" w:type="pct"/>
          </w:tcPr>
          <w:p w14:paraId="1A22CF5D" w14:textId="77777777" w:rsidR="00590F02" w:rsidRPr="0069410A" w:rsidRDefault="00590F02" w:rsidP="00102BEB">
            <w:pPr>
              <w:pStyle w:val="TableText"/>
              <w:rPr>
                <w:sz w:val="19"/>
                <w:szCs w:val="19"/>
              </w:rPr>
            </w:pPr>
            <w:r w:rsidRPr="0069410A">
              <w:rPr>
                <w:sz w:val="19"/>
                <w:szCs w:val="19"/>
              </w:rPr>
              <w:t>Construction</w:t>
            </w:r>
          </w:p>
        </w:tc>
        <w:tc>
          <w:tcPr>
            <w:tcW w:w="765" w:type="pct"/>
          </w:tcPr>
          <w:p w14:paraId="4479E8EB" w14:textId="77777777" w:rsidR="00590F02" w:rsidRPr="0069410A" w:rsidRDefault="00590F02" w:rsidP="00102BEB">
            <w:pPr>
              <w:pStyle w:val="TableText"/>
              <w:rPr>
                <w:rFonts w:cs="Calibri"/>
                <w:color w:val="000000"/>
                <w:sz w:val="19"/>
                <w:szCs w:val="19"/>
              </w:rPr>
            </w:pPr>
            <w:r w:rsidRPr="0069410A">
              <w:rPr>
                <w:sz w:val="19"/>
                <w:szCs w:val="19"/>
              </w:rPr>
              <w:t>126</w:t>
            </w:r>
          </w:p>
        </w:tc>
        <w:tc>
          <w:tcPr>
            <w:tcW w:w="766" w:type="pct"/>
          </w:tcPr>
          <w:p w14:paraId="13E959D0" w14:textId="77777777" w:rsidR="00590F02" w:rsidRPr="0069410A" w:rsidRDefault="00590F02" w:rsidP="00102BEB">
            <w:pPr>
              <w:pStyle w:val="TableText"/>
              <w:rPr>
                <w:rFonts w:cs="Calibri"/>
                <w:color w:val="000000"/>
                <w:sz w:val="19"/>
                <w:szCs w:val="19"/>
              </w:rPr>
            </w:pPr>
            <w:r w:rsidRPr="0069410A">
              <w:rPr>
                <w:sz w:val="19"/>
                <w:szCs w:val="19"/>
              </w:rPr>
              <w:t>20.3%</w:t>
            </w:r>
          </w:p>
        </w:tc>
        <w:tc>
          <w:tcPr>
            <w:tcW w:w="860" w:type="pct"/>
          </w:tcPr>
          <w:p w14:paraId="7A273D40" w14:textId="77777777" w:rsidR="00590F02" w:rsidRPr="0069410A" w:rsidRDefault="00590F02" w:rsidP="00102BEB">
            <w:pPr>
              <w:pStyle w:val="TableText"/>
              <w:rPr>
                <w:sz w:val="19"/>
                <w:szCs w:val="19"/>
              </w:rPr>
            </w:pPr>
            <w:r w:rsidRPr="0069410A">
              <w:rPr>
                <w:sz w:val="19"/>
                <w:szCs w:val="19"/>
              </w:rPr>
              <w:t>$12,258,507</w:t>
            </w:r>
          </w:p>
        </w:tc>
        <w:tc>
          <w:tcPr>
            <w:tcW w:w="746" w:type="pct"/>
          </w:tcPr>
          <w:p w14:paraId="4E65C566" w14:textId="77777777" w:rsidR="00590F02" w:rsidRPr="0069410A" w:rsidRDefault="00590F02" w:rsidP="00102BEB">
            <w:pPr>
              <w:pStyle w:val="TableText"/>
              <w:rPr>
                <w:sz w:val="19"/>
                <w:szCs w:val="19"/>
              </w:rPr>
            </w:pPr>
            <w:r w:rsidRPr="0069410A">
              <w:rPr>
                <w:sz w:val="19"/>
                <w:szCs w:val="19"/>
              </w:rPr>
              <w:t>17.3%</w:t>
            </w:r>
          </w:p>
        </w:tc>
        <w:tc>
          <w:tcPr>
            <w:tcW w:w="753" w:type="pct"/>
          </w:tcPr>
          <w:p w14:paraId="3152AB5A" w14:textId="77777777" w:rsidR="00590F02" w:rsidRPr="0069410A" w:rsidRDefault="00590F02" w:rsidP="00102BEB">
            <w:pPr>
              <w:pStyle w:val="TableText"/>
              <w:rPr>
                <w:sz w:val="19"/>
                <w:szCs w:val="19"/>
              </w:rPr>
            </w:pPr>
            <w:r w:rsidRPr="0069410A">
              <w:rPr>
                <w:rFonts w:cs="Calibri"/>
                <w:color w:val="000000"/>
                <w:sz w:val="19"/>
                <w:szCs w:val="19"/>
              </w:rPr>
              <w:t>$97,289.74</w:t>
            </w:r>
          </w:p>
        </w:tc>
      </w:tr>
      <w:tr w:rsidR="00590F02" w:rsidRPr="0069410A" w14:paraId="2A621AB2"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3413B524" w14:textId="77777777" w:rsidR="00590F02" w:rsidRPr="0069410A" w:rsidRDefault="00590F02" w:rsidP="00102BEB">
            <w:pPr>
              <w:pStyle w:val="TableText"/>
              <w:rPr>
                <w:sz w:val="19"/>
                <w:szCs w:val="19"/>
              </w:rPr>
            </w:pPr>
            <w:r w:rsidRPr="0069410A">
              <w:rPr>
                <w:sz w:val="19"/>
                <w:szCs w:val="19"/>
              </w:rPr>
              <w:t>Accommodation and Food Services</w:t>
            </w:r>
          </w:p>
        </w:tc>
        <w:tc>
          <w:tcPr>
            <w:tcW w:w="765" w:type="pct"/>
          </w:tcPr>
          <w:p w14:paraId="7318EFF4" w14:textId="77777777" w:rsidR="00590F02" w:rsidRPr="0069410A" w:rsidRDefault="00590F02" w:rsidP="00102BEB">
            <w:pPr>
              <w:pStyle w:val="TableText"/>
              <w:rPr>
                <w:rFonts w:cs="Calibri"/>
                <w:color w:val="000000"/>
                <w:sz w:val="19"/>
                <w:szCs w:val="19"/>
              </w:rPr>
            </w:pPr>
            <w:r w:rsidRPr="0069410A">
              <w:rPr>
                <w:sz w:val="19"/>
                <w:szCs w:val="19"/>
              </w:rPr>
              <w:t>55</w:t>
            </w:r>
          </w:p>
        </w:tc>
        <w:tc>
          <w:tcPr>
            <w:tcW w:w="766" w:type="pct"/>
          </w:tcPr>
          <w:p w14:paraId="1EBA6797" w14:textId="77777777" w:rsidR="00590F02" w:rsidRPr="0069410A" w:rsidRDefault="00590F02" w:rsidP="00102BEB">
            <w:pPr>
              <w:pStyle w:val="TableText"/>
              <w:rPr>
                <w:rFonts w:cs="Calibri"/>
                <w:color w:val="000000"/>
                <w:sz w:val="19"/>
                <w:szCs w:val="19"/>
              </w:rPr>
            </w:pPr>
            <w:r w:rsidRPr="0069410A">
              <w:rPr>
                <w:sz w:val="19"/>
                <w:szCs w:val="19"/>
              </w:rPr>
              <w:t>8.9%</w:t>
            </w:r>
          </w:p>
        </w:tc>
        <w:tc>
          <w:tcPr>
            <w:tcW w:w="860" w:type="pct"/>
          </w:tcPr>
          <w:p w14:paraId="7024E0BF" w14:textId="77777777" w:rsidR="00590F02" w:rsidRPr="0069410A" w:rsidRDefault="00590F02" w:rsidP="00102BEB">
            <w:pPr>
              <w:pStyle w:val="TableText"/>
              <w:rPr>
                <w:sz w:val="19"/>
                <w:szCs w:val="19"/>
              </w:rPr>
            </w:pPr>
            <w:r w:rsidRPr="0069410A">
              <w:rPr>
                <w:sz w:val="19"/>
                <w:szCs w:val="19"/>
              </w:rPr>
              <w:t>$4,139,878</w:t>
            </w:r>
          </w:p>
        </w:tc>
        <w:tc>
          <w:tcPr>
            <w:tcW w:w="746" w:type="pct"/>
          </w:tcPr>
          <w:p w14:paraId="51CEF7DF" w14:textId="77777777" w:rsidR="00590F02" w:rsidRPr="0069410A" w:rsidRDefault="00590F02" w:rsidP="00102BEB">
            <w:pPr>
              <w:pStyle w:val="TableText"/>
              <w:rPr>
                <w:sz w:val="19"/>
                <w:szCs w:val="19"/>
              </w:rPr>
            </w:pPr>
            <w:r w:rsidRPr="0069410A">
              <w:rPr>
                <w:sz w:val="19"/>
                <w:szCs w:val="19"/>
              </w:rPr>
              <w:t>5.8%</w:t>
            </w:r>
          </w:p>
        </w:tc>
        <w:tc>
          <w:tcPr>
            <w:tcW w:w="753" w:type="pct"/>
          </w:tcPr>
          <w:p w14:paraId="0C0802DA" w14:textId="77777777" w:rsidR="00590F02" w:rsidRPr="0069410A" w:rsidRDefault="00590F02" w:rsidP="00102BEB">
            <w:pPr>
              <w:pStyle w:val="TableText"/>
              <w:rPr>
                <w:sz w:val="19"/>
                <w:szCs w:val="19"/>
              </w:rPr>
            </w:pPr>
            <w:r w:rsidRPr="0069410A">
              <w:rPr>
                <w:rFonts w:cs="Calibri"/>
                <w:color w:val="000000"/>
                <w:sz w:val="19"/>
                <w:szCs w:val="19"/>
              </w:rPr>
              <w:t>$75,270.51</w:t>
            </w:r>
          </w:p>
        </w:tc>
      </w:tr>
      <w:tr w:rsidR="00590F02" w:rsidRPr="0069410A" w14:paraId="69929462" w14:textId="77777777" w:rsidTr="00102BEB">
        <w:tc>
          <w:tcPr>
            <w:tcW w:w="1110" w:type="pct"/>
          </w:tcPr>
          <w:p w14:paraId="10A6ECAB" w14:textId="77777777" w:rsidR="00590F02" w:rsidRPr="0069410A" w:rsidRDefault="00590F02" w:rsidP="00102BEB">
            <w:pPr>
              <w:pStyle w:val="TableText"/>
              <w:rPr>
                <w:sz w:val="19"/>
                <w:szCs w:val="19"/>
              </w:rPr>
            </w:pPr>
            <w:r w:rsidRPr="0069410A">
              <w:rPr>
                <w:sz w:val="19"/>
                <w:szCs w:val="19"/>
              </w:rPr>
              <w:t>Retail Trade</w:t>
            </w:r>
          </w:p>
        </w:tc>
        <w:tc>
          <w:tcPr>
            <w:tcW w:w="765" w:type="pct"/>
          </w:tcPr>
          <w:p w14:paraId="6ED212F7" w14:textId="77777777" w:rsidR="00590F02" w:rsidRPr="0069410A" w:rsidRDefault="00590F02" w:rsidP="00102BEB">
            <w:pPr>
              <w:pStyle w:val="TableText"/>
              <w:rPr>
                <w:rFonts w:cs="Calibri"/>
                <w:color w:val="000000"/>
                <w:sz w:val="19"/>
                <w:szCs w:val="19"/>
              </w:rPr>
            </w:pPr>
            <w:r w:rsidRPr="0069410A">
              <w:rPr>
                <w:sz w:val="19"/>
                <w:szCs w:val="19"/>
              </w:rPr>
              <w:t>50</w:t>
            </w:r>
          </w:p>
        </w:tc>
        <w:tc>
          <w:tcPr>
            <w:tcW w:w="766" w:type="pct"/>
          </w:tcPr>
          <w:p w14:paraId="0C2E8C70" w14:textId="77777777" w:rsidR="00590F02" w:rsidRPr="0069410A" w:rsidRDefault="00590F02" w:rsidP="00102BEB">
            <w:pPr>
              <w:pStyle w:val="TableText"/>
              <w:rPr>
                <w:rFonts w:cs="Calibri"/>
                <w:color w:val="000000"/>
                <w:sz w:val="19"/>
                <w:szCs w:val="19"/>
              </w:rPr>
            </w:pPr>
            <w:r w:rsidRPr="0069410A">
              <w:rPr>
                <w:sz w:val="19"/>
                <w:szCs w:val="19"/>
              </w:rPr>
              <w:t>8.1%</w:t>
            </w:r>
          </w:p>
        </w:tc>
        <w:tc>
          <w:tcPr>
            <w:tcW w:w="860" w:type="pct"/>
          </w:tcPr>
          <w:p w14:paraId="70CE5E28" w14:textId="77777777" w:rsidR="00590F02" w:rsidRPr="0069410A" w:rsidRDefault="00590F02" w:rsidP="00102BEB">
            <w:pPr>
              <w:pStyle w:val="TableText"/>
              <w:rPr>
                <w:sz w:val="19"/>
                <w:szCs w:val="19"/>
              </w:rPr>
            </w:pPr>
            <w:r w:rsidRPr="0069410A">
              <w:rPr>
                <w:sz w:val="19"/>
                <w:szCs w:val="19"/>
              </w:rPr>
              <w:t>$4,031,813</w:t>
            </w:r>
          </w:p>
        </w:tc>
        <w:tc>
          <w:tcPr>
            <w:tcW w:w="746" w:type="pct"/>
          </w:tcPr>
          <w:p w14:paraId="37FF0A96" w14:textId="77777777" w:rsidR="00590F02" w:rsidRPr="0069410A" w:rsidRDefault="00590F02" w:rsidP="00102BEB">
            <w:pPr>
              <w:pStyle w:val="TableText"/>
              <w:rPr>
                <w:sz w:val="19"/>
                <w:szCs w:val="19"/>
              </w:rPr>
            </w:pPr>
            <w:r w:rsidRPr="0069410A">
              <w:rPr>
                <w:sz w:val="19"/>
                <w:szCs w:val="19"/>
              </w:rPr>
              <w:t>5.7%</w:t>
            </w:r>
          </w:p>
        </w:tc>
        <w:tc>
          <w:tcPr>
            <w:tcW w:w="753" w:type="pct"/>
          </w:tcPr>
          <w:p w14:paraId="4E45DF41" w14:textId="77777777" w:rsidR="00590F02" w:rsidRPr="0069410A" w:rsidRDefault="00590F02" w:rsidP="00102BEB">
            <w:pPr>
              <w:pStyle w:val="TableText"/>
              <w:rPr>
                <w:sz w:val="19"/>
                <w:szCs w:val="19"/>
              </w:rPr>
            </w:pPr>
            <w:r w:rsidRPr="0069410A">
              <w:rPr>
                <w:rFonts w:cs="Calibri"/>
                <w:color w:val="000000"/>
                <w:sz w:val="19"/>
                <w:szCs w:val="19"/>
              </w:rPr>
              <w:t>$80,636.26</w:t>
            </w:r>
          </w:p>
        </w:tc>
      </w:tr>
      <w:tr w:rsidR="00590F02" w:rsidRPr="0069410A" w14:paraId="4EAAEE26"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3753504A" w14:textId="77777777" w:rsidR="00590F02" w:rsidRPr="0069410A" w:rsidRDefault="00590F02" w:rsidP="00102BEB">
            <w:pPr>
              <w:pStyle w:val="TableText"/>
              <w:rPr>
                <w:sz w:val="19"/>
                <w:szCs w:val="19"/>
              </w:rPr>
            </w:pPr>
            <w:r w:rsidRPr="0069410A">
              <w:rPr>
                <w:sz w:val="19"/>
                <w:szCs w:val="19"/>
              </w:rPr>
              <w:t>Transport, Postal and Warehousing</w:t>
            </w:r>
          </w:p>
        </w:tc>
        <w:tc>
          <w:tcPr>
            <w:tcW w:w="765" w:type="pct"/>
          </w:tcPr>
          <w:p w14:paraId="123BF4D0" w14:textId="77777777" w:rsidR="00590F02" w:rsidRPr="0069410A" w:rsidRDefault="00590F02" w:rsidP="00102BEB">
            <w:pPr>
              <w:pStyle w:val="TableText"/>
              <w:rPr>
                <w:rFonts w:cs="Calibri"/>
                <w:color w:val="000000"/>
                <w:sz w:val="19"/>
                <w:szCs w:val="19"/>
              </w:rPr>
            </w:pPr>
            <w:r w:rsidRPr="0069410A">
              <w:rPr>
                <w:sz w:val="19"/>
                <w:szCs w:val="19"/>
              </w:rPr>
              <w:t>50</w:t>
            </w:r>
          </w:p>
        </w:tc>
        <w:tc>
          <w:tcPr>
            <w:tcW w:w="766" w:type="pct"/>
          </w:tcPr>
          <w:p w14:paraId="212B7F72" w14:textId="77777777" w:rsidR="00590F02" w:rsidRPr="0069410A" w:rsidRDefault="00590F02" w:rsidP="00102BEB">
            <w:pPr>
              <w:pStyle w:val="TableText"/>
              <w:rPr>
                <w:rFonts w:cs="Calibri"/>
                <w:color w:val="000000"/>
                <w:sz w:val="19"/>
                <w:szCs w:val="19"/>
              </w:rPr>
            </w:pPr>
            <w:r w:rsidRPr="0069410A">
              <w:rPr>
                <w:sz w:val="19"/>
                <w:szCs w:val="19"/>
              </w:rPr>
              <w:t>8.1%</w:t>
            </w:r>
          </w:p>
        </w:tc>
        <w:tc>
          <w:tcPr>
            <w:tcW w:w="860" w:type="pct"/>
          </w:tcPr>
          <w:p w14:paraId="1CC4EE84" w14:textId="77777777" w:rsidR="00590F02" w:rsidRPr="0069410A" w:rsidRDefault="00590F02" w:rsidP="00102BEB">
            <w:pPr>
              <w:pStyle w:val="TableText"/>
              <w:rPr>
                <w:sz w:val="19"/>
                <w:szCs w:val="19"/>
              </w:rPr>
            </w:pPr>
            <w:r w:rsidRPr="0069410A">
              <w:rPr>
                <w:sz w:val="19"/>
                <w:szCs w:val="19"/>
              </w:rPr>
              <w:t>$4,315,814</w:t>
            </w:r>
          </w:p>
        </w:tc>
        <w:tc>
          <w:tcPr>
            <w:tcW w:w="746" w:type="pct"/>
          </w:tcPr>
          <w:p w14:paraId="49FEF6F9" w14:textId="77777777" w:rsidR="00590F02" w:rsidRPr="0069410A" w:rsidRDefault="00590F02" w:rsidP="00102BEB">
            <w:pPr>
              <w:pStyle w:val="TableText"/>
              <w:rPr>
                <w:sz w:val="19"/>
                <w:szCs w:val="19"/>
              </w:rPr>
            </w:pPr>
            <w:r w:rsidRPr="0069410A">
              <w:rPr>
                <w:sz w:val="19"/>
                <w:szCs w:val="19"/>
              </w:rPr>
              <w:t>6.1%</w:t>
            </w:r>
          </w:p>
        </w:tc>
        <w:tc>
          <w:tcPr>
            <w:tcW w:w="753" w:type="pct"/>
          </w:tcPr>
          <w:p w14:paraId="55559110" w14:textId="77777777" w:rsidR="00590F02" w:rsidRPr="0069410A" w:rsidRDefault="00590F02" w:rsidP="00102BEB">
            <w:pPr>
              <w:pStyle w:val="TableText"/>
              <w:rPr>
                <w:sz w:val="19"/>
                <w:szCs w:val="19"/>
              </w:rPr>
            </w:pPr>
            <w:r w:rsidRPr="0069410A">
              <w:rPr>
                <w:rFonts w:cs="Calibri"/>
                <w:color w:val="000000"/>
                <w:sz w:val="19"/>
                <w:szCs w:val="19"/>
              </w:rPr>
              <w:t>$86,316.27</w:t>
            </w:r>
          </w:p>
        </w:tc>
      </w:tr>
      <w:tr w:rsidR="00590F02" w:rsidRPr="0069410A" w14:paraId="7CB6A290" w14:textId="77777777" w:rsidTr="00102BEB">
        <w:tc>
          <w:tcPr>
            <w:tcW w:w="1110" w:type="pct"/>
          </w:tcPr>
          <w:p w14:paraId="0E7F11C2" w14:textId="77777777" w:rsidR="00590F02" w:rsidRPr="0069410A" w:rsidRDefault="00590F02" w:rsidP="00102BEB">
            <w:pPr>
              <w:pStyle w:val="TableText"/>
              <w:rPr>
                <w:rFonts w:cs="Calibri"/>
                <w:color w:val="000000"/>
                <w:sz w:val="19"/>
                <w:szCs w:val="19"/>
              </w:rPr>
            </w:pPr>
            <w:r w:rsidRPr="0069410A">
              <w:rPr>
                <w:sz w:val="19"/>
                <w:szCs w:val="19"/>
              </w:rPr>
              <w:t>Other Services</w:t>
            </w:r>
          </w:p>
        </w:tc>
        <w:tc>
          <w:tcPr>
            <w:tcW w:w="765" w:type="pct"/>
          </w:tcPr>
          <w:p w14:paraId="3BD8ECCF" w14:textId="77777777" w:rsidR="00590F02" w:rsidRPr="0069410A" w:rsidRDefault="00590F02" w:rsidP="00102BEB">
            <w:pPr>
              <w:pStyle w:val="TableText"/>
              <w:rPr>
                <w:rFonts w:cs="Calibri"/>
                <w:color w:val="000000"/>
                <w:sz w:val="19"/>
                <w:szCs w:val="19"/>
              </w:rPr>
            </w:pPr>
            <w:r w:rsidRPr="0069410A">
              <w:rPr>
                <w:rFonts w:cs="Calibri"/>
                <w:color w:val="000000"/>
                <w:sz w:val="19"/>
                <w:szCs w:val="19"/>
              </w:rPr>
              <w:t>49</w:t>
            </w:r>
          </w:p>
        </w:tc>
        <w:tc>
          <w:tcPr>
            <w:tcW w:w="766" w:type="pct"/>
          </w:tcPr>
          <w:p w14:paraId="0C0196EC" w14:textId="3730650D" w:rsidR="00590F02" w:rsidRPr="0069410A" w:rsidRDefault="007F0623" w:rsidP="00102BEB">
            <w:pPr>
              <w:pStyle w:val="TableText"/>
              <w:rPr>
                <w:rFonts w:cs="Calibri"/>
                <w:color w:val="000000"/>
                <w:sz w:val="19"/>
                <w:szCs w:val="19"/>
              </w:rPr>
            </w:pPr>
            <w:r w:rsidRPr="0069410A">
              <w:rPr>
                <w:sz w:val="19"/>
                <w:szCs w:val="19"/>
              </w:rPr>
              <w:t>7.9</w:t>
            </w:r>
            <w:r w:rsidR="00590F02" w:rsidRPr="0069410A">
              <w:rPr>
                <w:sz w:val="19"/>
                <w:szCs w:val="19"/>
              </w:rPr>
              <w:t>%</w:t>
            </w:r>
          </w:p>
        </w:tc>
        <w:tc>
          <w:tcPr>
            <w:tcW w:w="860" w:type="pct"/>
          </w:tcPr>
          <w:p w14:paraId="3407876B" w14:textId="77777777" w:rsidR="00590F02" w:rsidRPr="0069410A" w:rsidRDefault="00590F02" w:rsidP="00102BEB">
            <w:pPr>
              <w:pStyle w:val="TableText"/>
              <w:rPr>
                <w:rFonts w:cs="Calibri"/>
                <w:color w:val="000000"/>
                <w:sz w:val="19"/>
                <w:szCs w:val="19"/>
              </w:rPr>
            </w:pPr>
            <w:r w:rsidRPr="0069410A">
              <w:rPr>
                <w:rFonts w:cs="Calibri"/>
                <w:color w:val="000000"/>
                <w:sz w:val="19"/>
                <w:szCs w:val="19"/>
              </w:rPr>
              <w:t>$2,076,210</w:t>
            </w:r>
          </w:p>
        </w:tc>
        <w:tc>
          <w:tcPr>
            <w:tcW w:w="746" w:type="pct"/>
          </w:tcPr>
          <w:p w14:paraId="1FE2E9BE" w14:textId="77777777" w:rsidR="00590F02" w:rsidRPr="0069410A" w:rsidRDefault="00590F02" w:rsidP="00102BEB">
            <w:pPr>
              <w:pStyle w:val="TableText"/>
              <w:rPr>
                <w:rFonts w:cs="Calibri"/>
                <w:color w:val="000000"/>
                <w:sz w:val="19"/>
                <w:szCs w:val="19"/>
              </w:rPr>
            </w:pPr>
            <w:r w:rsidRPr="0069410A">
              <w:rPr>
                <w:sz w:val="19"/>
                <w:szCs w:val="19"/>
              </w:rPr>
              <w:t>2.9%</w:t>
            </w:r>
          </w:p>
        </w:tc>
        <w:tc>
          <w:tcPr>
            <w:tcW w:w="753" w:type="pct"/>
          </w:tcPr>
          <w:p w14:paraId="5F2DD7A4" w14:textId="77777777" w:rsidR="00590F02" w:rsidRPr="0069410A" w:rsidRDefault="00590F02" w:rsidP="00102BEB">
            <w:pPr>
              <w:pStyle w:val="TableText"/>
              <w:rPr>
                <w:sz w:val="19"/>
                <w:szCs w:val="19"/>
              </w:rPr>
            </w:pPr>
            <w:r w:rsidRPr="0069410A">
              <w:rPr>
                <w:rFonts w:cs="Calibri"/>
                <w:color w:val="000000"/>
                <w:sz w:val="19"/>
                <w:szCs w:val="19"/>
              </w:rPr>
              <w:t>$42,371.63</w:t>
            </w:r>
          </w:p>
        </w:tc>
      </w:tr>
      <w:tr w:rsidR="00590F02" w:rsidRPr="0069410A" w14:paraId="5E476453"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05877569" w14:textId="77777777" w:rsidR="00590F02" w:rsidRPr="0069410A" w:rsidRDefault="00590F02" w:rsidP="00102BEB">
            <w:pPr>
              <w:pStyle w:val="TableText"/>
              <w:rPr>
                <w:rFonts w:cs="Calibri"/>
                <w:color w:val="000000"/>
                <w:sz w:val="19"/>
                <w:szCs w:val="19"/>
              </w:rPr>
            </w:pPr>
            <w:r w:rsidRPr="0069410A">
              <w:rPr>
                <w:sz w:val="19"/>
                <w:szCs w:val="19"/>
              </w:rPr>
              <w:t>Agriculture, Forestry and Fishing</w:t>
            </w:r>
          </w:p>
        </w:tc>
        <w:tc>
          <w:tcPr>
            <w:tcW w:w="765" w:type="pct"/>
          </w:tcPr>
          <w:p w14:paraId="38B003CD" w14:textId="77777777" w:rsidR="00590F02" w:rsidRPr="0069410A" w:rsidRDefault="00590F02" w:rsidP="00102BEB">
            <w:pPr>
              <w:pStyle w:val="TableText"/>
              <w:rPr>
                <w:rFonts w:cs="Calibri"/>
                <w:color w:val="000000"/>
                <w:sz w:val="19"/>
                <w:szCs w:val="19"/>
              </w:rPr>
            </w:pPr>
            <w:r w:rsidRPr="0069410A">
              <w:rPr>
                <w:sz w:val="19"/>
                <w:szCs w:val="19"/>
              </w:rPr>
              <w:t>39</w:t>
            </w:r>
          </w:p>
        </w:tc>
        <w:tc>
          <w:tcPr>
            <w:tcW w:w="766" w:type="pct"/>
          </w:tcPr>
          <w:p w14:paraId="538EB453" w14:textId="77777777" w:rsidR="00590F02" w:rsidRPr="0069410A" w:rsidRDefault="00590F02" w:rsidP="00102BEB">
            <w:pPr>
              <w:pStyle w:val="TableText"/>
              <w:rPr>
                <w:rFonts w:cs="Calibri"/>
                <w:color w:val="000000"/>
                <w:sz w:val="19"/>
                <w:szCs w:val="19"/>
              </w:rPr>
            </w:pPr>
            <w:r w:rsidRPr="0069410A">
              <w:rPr>
                <w:sz w:val="19"/>
                <w:szCs w:val="19"/>
              </w:rPr>
              <w:t>6.3%</w:t>
            </w:r>
          </w:p>
        </w:tc>
        <w:tc>
          <w:tcPr>
            <w:tcW w:w="860" w:type="pct"/>
          </w:tcPr>
          <w:p w14:paraId="24A8C0BA" w14:textId="77777777" w:rsidR="00590F02" w:rsidRPr="0069410A" w:rsidRDefault="00590F02" w:rsidP="00102BEB">
            <w:pPr>
              <w:pStyle w:val="TableText"/>
              <w:rPr>
                <w:rFonts w:cs="Calibri"/>
                <w:color w:val="000000"/>
                <w:sz w:val="19"/>
                <w:szCs w:val="19"/>
              </w:rPr>
            </w:pPr>
            <w:r w:rsidRPr="0069410A">
              <w:rPr>
                <w:sz w:val="19"/>
                <w:szCs w:val="19"/>
              </w:rPr>
              <w:t>$10,648,550</w:t>
            </w:r>
          </w:p>
        </w:tc>
        <w:tc>
          <w:tcPr>
            <w:tcW w:w="746" w:type="pct"/>
          </w:tcPr>
          <w:p w14:paraId="78F65A9C" w14:textId="77777777" w:rsidR="00590F02" w:rsidRPr="0069410A" w:rsidRDefault="00590F02" w:rsidP="00102BEB">
            <w:pPr>
              <w:pStyle w:val="TableText"/>
              <w:rPr>
                <w:rFonts w:cs="Calibri"/>
                <w:color w:val="000000"/>
                <w:sz w:val="19"/>
                <w:szCs w:val="19"/>
              </w:rPr>
            </w:pPr>
            <w:r w:rsidRPr="0069410A">
              <w:rPr>
                <w:sz w:val="19"/>
                <w:szCs w:val="19"/>
              </w:rPr>
              <w:t>15.0%</w:t>
            </w:r>
          </w:p>
        </w:tc>
        <w:tc>
          <w:tcPr>
            <w:tcW w:w="753" w:type="pct"/>
          </w:tcPr>
          <w:p w14:paraId="1DFF17F9" w14:textId="77777777" w:rsidR="00590F02" w:rsidRPr="0069410A" w:rsidRDefault="00590F02" w:rsidP="00102BEB">
            <w:pPr>
              <w:pStyle w:val="TableText"/>
              <w:rPr>
                <w:sz w:val="19"/>
                <w:szCs w:val="19"/>
              </w:rPr>
            </w:pPr>
            <w:r w:rsidRPr="0069410A">
              <w:rPr>
                <w:rFonts w:cs="Calibri"/>
                <w:color w:val="000000"/>
                <w:sz w:val="19"/>
                <w:szCs w:val="19"/>
              </w:rPr>
              <w:t>$273,039.74</w:t>
            </w:r>
          </w:p>
        </w:tc>
      </w:tr>
      <w:tr w:rsidR="00590F02" w:rsidRPr="0069410A" w14:paraId="7DA031D7" w14:textId="77777777" w:rsidTr="00102BEB">
        <w:tc>
          <w:tcPr>
            <w:tcW w:w="1110" w:type="pct"/>
          </w:tcPr>
          <w:p w14:paraId="73E0BF2F" w14:textId="77777777" w:rsidR="00590F02" w:rsidRPr="0069410A" w:rsidRDefault="00590F02" w:rsidP="00102BEB">
            <w:pPr>
              <w:pStyle w:val="TableText"/>
              <w:rPr>
                <w:rFonts w:cs="Calibri"/>
                <w:color w:val="000000"/>
                <w:sz w:val="19"/>
                <w:szCs w:val="19"/>
              </w:rPr>
            </w:pPr>
            <w:r w:rsidRPr="0069410A">
              <w:rPr>
                <w:sz w:val="19"/>
                <w:szCs w:val="19"/>
              </w:rPr>
              <w:t>Professional, Scientific and Technical Services</w:t>
            </w:r>
          </w:p>
        </w:tc>
        <w:tc>
          <w:tcPr>
            <w:tcW w:w="765" w:type="pct"/>
          </w:tcPr>
          <w:p w14:paraId="101351A8" w14:textId="77777777" w:rsidR="00590F02" w:rsidRPr="0069410A" w:rsidRDefault="00590F02" w:rsidP="00102BEB">
            <w:pPr>
              <w:pStyle w:val="TableText"/>
              <w:rPr>
                <w:rFonts w:cs="Calibri"/>
                <w:color w:val="000000"/>
                <w:sz w:val="19"/>
                <w:szCs w:val="19"/>
              </w:rPr>
            </w:pPr>
            <w:r w:rsidRPr="0069410A">
              <w:rPr>
                <w:sz w:val="19"/>
                <w:szCs w:val="19"/>
              </w:rPr>
              <w:t>39</w:t>
            </w:r>
          </w:p>
        </w:tc>
        <w:tc>
          <w:tcPr>
            <w:tcW w:w="766" w:type="pct"/>
          </w:tcPr>
          <w:p w14:paraId="50305CF1" w14:textId="77777777" w:rsidR="00590F02" w:rsidRPr="0069410A" w:rsidRDefault="00590F02" w:rsidP="00102BEB">
            <w:pPr>
              <w:pStyle w:val="TableText"/>
              <w:rPr>
                <w:rFonts w:cs="Calibri"/>
                <w:color w:val="000000"/>
                <w:sz w:val="19"/>
                <w:szCs w:val="19"/>
              </w:rPr>
            </w:pPr>
            <w:r w:rsidRPr="0069410A">
              <w:rPr>
                <w:sz w:val="19"/>
                <w:szCs w:val="19"/>
              </w:rPr>
              <w:t>6.3%</w:t>
            </w:r>
          </w:p>
        </w:tc>
        <w:tc>
          <w:tcPr>
            <w:tcW w:w="860" w:type="pct"/>
          </w:tcPr>
          <w:p w14:paraId="6A6A6B41" w14:textId="77777777" w:rsidR="00590F02" w:rsidRPr="0069410A" w:rsidRDefault="00590F02" w:rsidP="00102BEB">
            <w:pPr>
              <w:pStyle w:val="TableText"/>
              <w:rPr>
                <w:rFonts w:cs="Calibri"/>
                <w:color w:val="000000"/>
                <w:sz w:val="19"/>
                <w:szCs w:val="19"/>
              </w:rPr>
            </w:pPr>
            <w:r w:rsidRPr="0069410A">
              <w:rPr>
                <w:sz w:val="19"/>
                <w:szCs w:val="19"/>
              </w:rPr>
              <w:t>$2,751,035</w:t>
            </w:r>
          </w:p>
        </w:tc>
        <w:tc>
          <w:tcPr>
            <w:tcW w:w="746" w:type="pct"/>
          </w:tcPr>
          <w:p w14:paraId="0FA1976D" w14:textId="77777777" w:rsidR="00590F02" w:rsidRPr="0069410A" w:rsidRDefault="00590F02" w:rsidP="00102BEB">
            <w:pPr>
              <w:pStyle w:val="TableText"/>
              <w:rPr>
                <w:rFonts w:cs="Calibri"/>
                <w:color w:val="000000"/>
                <w:sz w:val="19"/>
                <w:szCs w:val="19"/>
              </w:rPr>
            </w:pPr>
            <w:r w:rsidRPr="0069410A">
              <w:rPr>
                <w:sz w:val="19"/>
                <w:szCs w:val="19"/>
              </w:rPr>
              <w:t>3.9%</w:t>
            </w:r>
          </w:p>
        </w:tc>
        <w:tc>
          <w:tcPr>
            <w:tcW w:w="753" w:type="pct"/>
          </w:tcPr>
          <w:p w14:paraId="453AD8E9" w14:textId="77777777" w:rsidR="00590F02" w:rsidRPr="0069410A" w:rsidRDefault="00590F02" w:rsidP="00102BEB">
            <w:pPr>
              <w:pStyle w:val="TableText"/>
              <w:rPr>
                <w:sz w:val="19"/>
                <w:szCs w:val="19"/>
              </w:rPr>
            </w:pPr>
            <w:r w:rsidRPr="0069410A">
              <w:rPr>
                <w:rFonts w:cs="Calibri"/>
                <w:color w:val="000000"/>
                <w:sz w:val="19"/>
                <w:szCs w:val="19"/>
              </w:rPr>
              <w:t>$70,539.37</w:t>
            </w:r>
          </w:p>
        </w:tc>
      </w:tr>
      <w:tr w:rsidR="00590F02" w:rsidRPr="0069410A" w14:paraId="120D7C80"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05A50516" w14:textId="77777777" w:rsidR="00590F02" w:rsidRPr="0069410A" w:rsidRDefault="00590F02" w:rsidP="00102BEB">
            <w:pPr>
              <w:pStyle w:val="TableText"/>
              <w:rPr>
                <w:rFonts w:cs="Calibri"/>
                <w:color w:val="000000"/>
                <w:sz w:val="19"/>
                <w:szCs w:val="19"/>
              </w:rPr>
            </w:pPr>
            <w:r w:rsidRPr="0069410A">
              <w:rPr>
                <w:sz w:val="19"/>
                <w:szCs w:val="19"/>
              </w:rPr>
              <w:t>Administrative and Support Services</w:t>
            </w:r>
          </w:p>
        </w:tc>
        <w:tc>
          <w:tcPr>
            <w:tcW w:w="765" w:type="pct"/>
          </w:tcPr>
          <w:p w14:paraId="26C0D9C3" w14:textId="77777777" w:rsidR="00590F02" w:rsidRPr="0069410A" w:rsidRDefault="00590F02" w:rsidP="00102BEB">
            <w:pPr>
              <w:pStyle w:val="TableText"/>
              <w:rPr>
                <w:rFonts w:cs="Calibri"/>
                <w:color w:val="000000"/>
                <w:sz w:val="19"/>
                <w:szCs w:val="19"/>
              </w:rPr>
            </w:pPr>
            <w:r w:rsidRPr="0069410A">
              <w:rPr>
                <w:sz w:val="19"/>
                <w:szCs w:val="19"/>
              </w:rPr>
              <w:t>39</w:t>
            </w:r>
          </w:p>
        </w:tc>
        <w:tc>
          <w:tcPr>
            <w:tcW w:w="766" w:type="pct"/>
          </w:tcPr>
          <w:p w14:paraId="4F6ECD3B" w14:textId="77777777" w:rsidR="00590F02" w:rsidRPr="0069410A" w:rsidRDefault="00590F02" w:rsidP="00102BEB">
            <w:pPr>
              <w:pStyle w:val="TableText"/>
              <w:rPr>
                <w:rFonts w:cs="Calibri"/>
                <w:color w:val="000000"/>
                <w:sz w:val="19"/>
                <w:szCs w:val="19"/>
              </w:rPr>
            </w:pPr>
            <w:r w:rsidRPr="0069410A">
              <w:rPr>
                <w:sz w:val="19"/>
                <w:szCs w:val="19"/>
              </w:rPr>
              <w:t>6.3%</w:t>
            </w:r>
          </w:p>
        </w:tc>
        <w:tc>
          <w:tcPr>
            <w:tcW w:w="860" w:type="pct"/>
          </w:tcPr>
          <w:p w14:paraId="68C41D88" w14:textId="77777777" w:rsidR="00590F02" w:rsidRPr="0069410A" w:rsidRDefault="00590F02" w:rsidP="00102BEB">
            <w:pPr>
              <w:pStyle w:val="TableText"/>
              <w:rPr>
                <w:rFonts w:cs="Calibri"/>
                <w:color w:val="000000"/>
                <w:sz w:val="19"/>
                <w:szCs w:val="19"/>
              </w:rPr>
            </w:pPr>
            <w:r w:rsidRPr="0069410A">
              <w:rPr>
                <w:sz w:val="19"/>
                <w:szCs w:val="19"/>
              </w:rPr>
              <w:t>$1,944,477</w:t>
            </w:r>
          </w:p>
        </w:tc>
        <w:tc>
          <w:tcPr>
            <w:tcW w:w="746" w:type="pct"/>
          </w:tcPr>
          <w:p w14:paraId="46ADE716" w14:textId="77777777" w:rsidR="00590F02" w:rsidRPr="0069410A" w:rsidRDefault="00590F02" w:rsidP="00102BEB">
            <w:pPr>
              <w:pStyle w:val="TableText"/>
              <w:rPr>
                <w:rFonts w:cs="Calibri"/>
                <w:color w:val="000000"/>
                <w:sz w:val="19"/>
                <w:szCs w:val="19"/>
              </w:rPr>
            </w:pPr>
            <w:r w:rsidRPr="0069410A">
              <w:rPr>
                <w:sz w:val="19"/>
                <w:szCs w:val="19"/>
              </w:rPr>
              <w:t>2.7%</w:t>
            </w:r>
          </w:p>
        </w:tc>
        <w:tc>
          <w:tcPr>
            <w:tcW w:w="753" w:type="pct"/>
          </w:tcPr>
          <w:p w14:paraId="18871A6D" w14:textId="77777777" w:rsidR="00590F02" w:rsidRPr="0069410A" w:rsidRDefault="00590F02" w:rsidP="00102BEB">
            <w:pPr>
              <w:pStyle w:val="TableText"/>
              <w:rPr>
                <w:sz w:val="19"/>
                <w:szCs w:val="19"/>
              </w:rPr>
            </w:pPr>
            <w:r w:rsidRPr="0069410A">
              <w:rPr>
                <w:rFonts w:cs="Calibri"/>
                <w:color w:val="000000"/>
                <w:sz w:val="19"/>
                <w:szCs w:val="19"/>
              </w:rPr>
              <w:t>$49,858.38</w:t>
            </w:r>
          </w:p>
        </w:tc>
      </w:tr>
      <w:tr w:rsidR="00590F02" w:rsidRPr="0069410A" w14:paraId="24B2D860" w14:textId="77777777" w:rsidTr="00102BEB">
        <w:tc>
          <w:tcPr>
            <w:tcW w:w="1110" w:type="pct"/>
          </w:tcPr>
          <w:p w14:paraId="2A6DF71E" w14:textId="77777777" w:rsidR="00590F02" w:rsidRPr="0069410A" w:rsidRDefault="00590F02" w:rsidP="00102BEB">
            <w:pPr>
              <w:pStyle w:val="TableText"/>
              <w:rPr>
                <w:rFonts w:cs="Calibri"/>
                <w:color w:val="000000"/>
                <w:sz w:val="19"/>
                <w:szCs w:val="19"/>
              </w:rPr>
            </w:pPr>
            <w:r w:rsidRPr="0069410A">
              <w:rPr>
                <w:sz w:val="19"/>
                <w:szCs w:val="19"/>
              </w:rPr>
              <w:t>Manufacturing</w:t>
            </w:r>
          </w:p>
        </w:tc>
        <w:tc>
          <w:tcPr>
            <w:tcW w:w="765" w:type="pct"/>
          </w:tcPr>
          <w:p w14:paraId="57AE11B7" w14:textId="77777777" w:rsidR="00590F02" w:rsidRPr="0069410A" w:rsidRDefault="00590F02" w:rsidP="00102BEB">
            <w:pPr>
              <w:pStyle w:val="TableText"/>
              <w:rPr>
                <w:rFonts w:cs="Calibri"/>
                <w:color w:val="000000"/>
                <w:sz w:val="19"/>
                <w:szCs w:val="19"/>
              </w:rPr>
            </w:pPr>
            <w:r w:rsidRPr="0069410A">
              <w:rPr>
                <w:sz w:val="19"/>
                <w:szCs w:val="19"/>
              </w:rPr>
              <w:t>37</w:t>
            </w:r>
          </w:p>
        </w:tc>
        <w:tc>
          <w:tcPr>
            <w:tcW w:w="766" w:type="pct"/>
          </w:tcPr>
          <w:p w14:paraId="4BEA6ED3" w14:textId="77777777" w:rsidR="00590F02" w:rsidRPr="0069410A" w:rsidRDefault="00590F02" w:rsidP="00102BEB">
            <w:pPr>
              <w:pStyle w:val="TableText"/>
              <w:rPr>
                <w:rFonts w:cs="Calibri"/>
                <w:color w:val="000000"/>
                <w:sz w:val="19"/>
                <w:szCs w:val="19"/>
              </w:rPr>
            </w:pPr>
            <w:r w:rsidRPr="0069410A">
              <w:rPr>
                <w:sz w:val="19"/>
                <w:szCs w:val="19"/>
              </w:rPr>
              <w:t>6.0%</w:t>
            </w:r>
          </w:p>
        </w:tc>
        <w:tc>
          <w:tcPr>
            <w:tcW w:w="860" w:type="pct"/>
          </w:tcPr>
          <w:p w14:paraId="7BAA6A38" w14:textId="77777777" w:rsidR="00590F02" w:rsidRPr="0069410A" w:rsidRDefault="00590F02" w:rsidP="00102BEB">
            <w:pPr>
              <w:pStyle w:val="TableText"/>
              <w:rPr>
                <w:rFonts w:cs="Calibri"/>
                <w:color w:val="000000"/>
                <w:sz w:val="19"/>
                <w:szCs w:val="19"/>
              </w:rPr>
            </w:pPr>
            <w:r w:rsidRPr="0069410A">
              <w:rPr>
                <w:sz w:val="19"/>
                <w:szCs w:val="19"/>
              </w:rPr>
              <w:t>$4,639,693</w:t>
            </w:r>
          </w:p>
        </w:tc>
        <w:tc>
          <w:tcPr>
            <w:tcW w:w="746" w:type="pct"/>
          </w:tcPr>
          <w:p w14:paraId="53B9D0D1" w14:textId="77777777" w:rsidR="00590F02" w:rsidRPr="0069410A" w:rsidRDefault="00590F02" w:rsidP="00102BEB">
            <w:pPr>
              <w:pStyle w:val="TableText"/>
              <w:rPr>
                <w:rFonts w:cs="Calibri"/>
                <w:color w:val="000000"/>
                <w:sz w:val="19"/>
                <w:szCs w:val="19"/>
              </w:rPr>
            </w:pPr>
            <w:r w:rsidRPr="0069410A">
              <w:rPr>
                <w:sz w:val="19"/>
                <w:szCs w:val="19"/>
              </w:rPr>
              <w:t>6.5%</w:t>
            </w:r>
          </w:p>
        </w:tc>
        <w:tc>
          <w:tcPr>
            <w:tcW w:w="753" w:type="pct"/>
          </w:tcPr>
          <w:p w14:paraId="1A8CC01D" w14:textId="77777777" w:rsidR="00590F02" w:rsidRPr="0069410A" w:rsidRDefault="00590F02" w:rsidP="00102BEB">
            <w:pPr>
              <w:pStyle w:val="TableText"/>
              <w:rPr>
                <w:sz w:val="19"/>
                <w:szCs w:val="19"/>
              </w:rPr>
            </w:pPr>
            <w:r w:rsidRPr="0069410A">
              <w:rPr>
                <w:rFonts w:cs="Calibri"/>
                <w:color w:val="000000"/>
                <w:sz w:val="19"/>
                <w:szCs w:val="19"/>
              </w:rPr>
              <w:t>$125,397.12</w:t>
            </w:r>
          </w:p>
        </w:tc>
      </w:tr>
      <w:tr w:rsidR="00590F02" w:rsidRPr="0069410A" w14:paraId="77B849E7"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7C23AB6B" w14:textId="77777777" w:rsidR="00590F02" w:rsidRPr="0069410A" w:rsidRDefault="00590F02" w:rsidP="00102BEB">
            <w:pPr>
              <w:pStyle w:val="TableText"/>
              <w:rPr>
                <w:rFonts w:cs="Calibri"/>
                <w:color w:val="000000"/>
                <w:sz w:val="19"/>
                <w:szCs w:val="19"/>
              </w:rPr>
            </w:pPr>
            <w:r w:rsidRPr="0069410A">
              <w:rPr>
                <w:sz w:val="19"/>
                <w:szCs w:val="19"/>
              </w:rPr>
              <w:t>Arts and Recreation Services</w:t>
            </w:r>
          </w:p>
        </w:tc>
        <w:tc>
          <w:tcPr>
            <w:tcW w:w="765" w:type="pct"/>
          </w:tcPr>
          <w:p w14:paraId="7F74322F" w14:textId="77777777" w:rsidR="00590F02" w:rsidRPr="0069410A" w:rsidRDefault="00590F02" w:rsidP="00102BEB">
            <w:pPr>
              <w:pStyle w:val="TableText"/>
              <w:rPr>
                <w:rFonts w:cs="Calibri"/>
                <w:color w:val="000000"/>
                <w:sz w:val="19"/>
                <w:szCs w:val="19"/>
              </w:rPr>
            </w:pPr>
            <w:r w:rsidRPr="0069410A">
              <w:rPr>
                <w:sz w:val="19"/>
                <w:szCs w:val="19"/>
              </w:rPr>
              <w:t>23</w:t>
            </w:r>
          </w:p>
        </w:tc>
        <w:tc>
          <w:tcPr>
            <w:tcW w:w="766" w:type="pct"/>
          </w:tcPr>
          <w:p w14:paraId="27B64144" w14:textId="77777777" w:rsidR="00590F02" w:rsidRPr="0069410A" w:rsidRDefault="00590F02" w:rsidP="00102BEB">
            <w:pPr>
              <w:pStyle w:val="TableText"/>
              <w:rPr>
                <w:rFonts w:cs="Calibri"/>
                <w:color w:val="000000"/>
                <w:sz w:val="19"/>
                <w:szCs w:val="19"/>
              </w:rPr>
            </w:pPr>
            <w:r w:rsidRPr="0069410A">
              <w:rPr>
                <w:sz w:val="19"/>
                <w:szCs w:val="19"/>
              </w:rPr>
              <w:t>3.7%</w:t>
            </w:r>
          </w:p>
        </w:tc>
        <w:tc>
          <w:tcPr>
            <w:tcW w:w="860" w:type="pct"/>
          </w:tcPr>
          <w:p w14:paraId="15F2A1DA" w14:textId="77777777" w:rsidR="00590F02" w:rsidRPr="0069410A" w:rsidRDefault="00590F02" w:rsidP="00102BEB">
            <w:pPr>
              <w:pStyle w:val="TableText"/>
              <w:rPr>
                <w:rFonts w:cs="Calibri"/>
                <w:color w:val="000000"/>
                <w:sz w:val="19"/>
                <w:szCs w:val="19"/>
              </w:rPr>
            </w:pPr>
            <w:r w:rsidRPr="0069410A">
              <w:rPr>
                <w:sz w:val="19"/>
                <w:szCs w:val="19"/>
              </w:rPr>
              <w:t>$1,553,455</w:t>
            </w:r>
          </w:p>
        </w:tc>
        <w:tc>
          <w:tcPr>
            <w:tcW w:w="746" w:type="pct"/>
          </w:tcPr>
          <w:p w14:paraId="1837DB00" w14:textId="77777777" w:rsidR="00590F02" w:rsidRPr="0069410A" w:rsidRDefault="00590F02" w:rsidP="00102BEB">
            <w:pPr>
              <w:pStyle w:val="TableText"/>
              <w:rPr>
                <w:rFonts w:cs="Calibri"/>
                <w:color w:val="000000"/>
                <w:sz w:val="19"/>
                <w:szCs w:val="19"/>
              </w:rPr>
            </w:pPr>
            <w:r w:rsidRPr="0069410A">
              <w:rPr>
                <w:sz w:val="19"/>
                <w:szCs w:val="19"/>
              </w:rPr>
              <w:t>2.2%</w:t>
            </w:r>
          </w:p>
        </w:tc>
        <w:tc>
          <w:tcPr>
            <w:tcW w:w="753" w:type="pct"/>
          </w:tcPr>
          <w:p w14:paraId="31D94852" w14:textId="77777777" w:rsidR="00590F02" w:rsidRPr="0069410A" w:rsidRDefault="00590F02" w:rsidP="00102BEB">
            <w:pPr>
              <w:pStyle w:val="TableText"/>
              <w:rPr>
                <w:sz w:val="19"/>
                <w:szCs w:val="19"/>
              </w:rPr>
            </w:pPr>
            <w:r w:rsidRPr="0069410A">
              <w:rPr>
                <w:rFonts w:cs="Calibri"/>
                <w:color w:val="000000"/>
                <w:sz w:val="19"/>
                <w:szCs w:val="19"/>
              </w:rPr>
              <w:t>$67,541.52</w:t>
            </w:r>
          </w:p>
        </w:tc>
      </w:tr>
      <w:tr w:rsidR="00590F02" w:rsidRPr="0069410A" w14:paraId="3583A1A8" w14:textId="77777777" w:rsidTr="00102BEB">
        <w:tc>
          <w:tcPr>
            <w:tcW w:w="1110" w:type="pct"/>
          </w:tcPr>
          <w:p w14:paraId="73F81422" w14:textId="77777777" w:rsidR="00590F02" w:rsidRPr="0069410A" w:rsidRDefault="00590F02" w:rsidP="00102BEB">
            <w:pPr>
              <w:pStyle w:val="TableText"/>
              <w:rPr>
                <w:rFonts w:cs="Calibri"/>
                <w:color w:val="000000"/>
                <w:sz w:val="19"/>
                <w:szCs w:val="19"/>
              </w:rPr>
            </w:pPr>
            <w:r w:rsidRPr="0069410A">
              <w:rPr>
                <w:sz w:val="19"/>
                <w:szCs w:val="19"/>
              </w:rPr>
              <w:t>Health Care and Social Assistance</w:t>
            </w:r>
          </w:p>
        </w:tc>
        <w:tc>
          <w:tcPr>
            <w:tcW w:w="765" w:type="pct"/>
          </w:tcPr>
          <w:p w14:paraId="0F2947E1" w14:textId="77777777" w:rsidR="00590F02" w:rsidRPr="0069410A" w:rsidRDefault="00590F02" w:rsidP="00102BEB">
            <w:pPr>
              <w:pStyle w:val="TableText"/>
              <w:rPr>
                <w:rFonts w:cs="Calibri"/>
                <w:color w:val="000000"/>
                <w:sz w:val="19"/>
                <w:szCs w:val="19"/>
              </w:rPr>
            </w:pPr>
            <w:r w:rsidRPr="0069410A">
              <w:rPr>
                <w:sz w:val="19"/>
                <w:szCs w:val="19"/>
              </w:rPr>
              <w:t>21</w:t>
            </w:r>
          </w:p>
        </w:tc>
        <w:tc>
          <w:tcPr>
            <w:tcW w:w="766" w:type="pct"/>
          </w:tcPr>
          <w:p w14:paraId="3DB72907" w14:textId="77777777" w:rsidR="00590F02" w:rsidRPr="0069410A" w:rsidRDefault="00590F02" w:rsidP="00102BEB">
            <w:pPr>
              <w:pStyle w:val="TableText"/>
              <w:rPr>
                <w:rFonts w:cs="Calibri"/>
                <w:color w:val="000000"/>
                <w:sz w:val="19"/>
                <w:szCs w:val="19"/>
              </w:rPr>
            </w:pPr>
            <w:r w:rsidRPr="0069410A">
              <w:rPr>
                <w:sz w:val="19"/>
                <w:szCs w:val="19"/>
              </w:rPr>
              <w:t>3.4%</w:t>
            </w:r>
          </w:p>
        </w:tc>
        <w:tc>
          <w:tcPr>
            <w:tcW w:w="860" w:type="pct"/>
          </w:tcPr>
          <w:p w14:paraId="36ADC46A" w14:textId="77777777" w:rsidR="00590F02" w:rsidRPr="0069410A" w:rsidRDefault="00590F02" w:rsidP="00102BEB">
            <w:pPr>
              <w:pStyle w:val="TableText"/>
              <w:rPr>
                <w:rFonts w:cs="Calibri"/>
                <w:color w:val="000000"/>
                <w:sz w:val="19"/>
                <w:szCs w:val="19"/>
              </w:rPr>
            </w:pPr>
            <w:r w:rsidRPr="0069410A">
              <w:rPr>
                <w:sz w:val="19"/>
                <w:szCs w:val="19"/>
              </w:rPr>
              <w:t>$4,970,000</w:t>
            </w:r>
          </w:p>
        </w:tc>
        <w:tc>
          <w:tcPr>
            <w:tcW w:w="746" w:type="pct"/>
          </w:tcPr>
          <w:p w14:paraId="4354EC4D" w14:textId="77777777" w:rsidR="00590F02" w:rsidRPr="0069410A" w:rsidRDefault="00590F02" w:rsidP="00102BEB">
            <w:pPr>
              <w:pStyle w:val="TableText"/>
              <w:rPr>
                <w:rFonts w:cs="Calibri"/>
                <w:color w:val="000000"/>
                <w:sz w:val="19"/>
                <w:szCs w:val="19"/>
              </w:rPr>
            </w:pPr>
            <w:r w:rsidRPr="0069410A">
              <w:rPr>
                <w:sz w:val="19"/>
                <w:szCs w:val="19"/>
              </w:rPr>
              <w:t>7.0%</w:t>
            </w:r>
          </w:p>
        </w:tc>
        <w:tc>
          <w:tcPr>
            <w:tcW w:w="753" w:type="pct"/>
          </w:tcPr>
          <w:p w14:paraId="2BFA1EFD" w14:textId="77777777" w:rsidR="00590F02" w:rsidRPr="0069410A" w:rsidRDefault="00590F02" w:rsidP="00102BEB">
            <w:pPr>
              <w:pStyle w:val="TableText"/>
              <w:rPr>
                <w:sz w:val="19"/>
                <w:szCs w:val="19"/>
              </w:rPr>
            </w:pPr>
            <w:r w:rsidRPr="0069410A">
              <w:rPr>
                <w:rFonts w:cs="Calibri"/>
                <w:color w:val="000000"/>
                <w:sz w:val="19"/>
                <w:szCs w:val="19"/>
              </w:rPr>
              <w:t>$236,666.67</w:t>
            </w:r>
          </w:p>
        </w:tc>
      </w:tr>
      <w:tr w:rsidR="00590F02" w:rsidRPr="0069410A" w14:paraId="54826676"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15DD8A64" w14:textId="77777777" w:rsidR="00590F02" w:rsidRPr="0069410A" w:rsidRDefault="00590F02" w:rsidP="00102BEB">
            <w:pPr>
              <w:pStyle w:val="TableText"/>
              <w:rPr>
                <w:rFonts w:cs="Calibri"/>
                <w:color w:val="000000"/>
                <w:sz w:val="19"/>
                <w:szCs w:val="19"/>
              </w:rPr>
            </w:pPr>
            <w:r w:rsidRPr="0069410A">
              <w:rPr>
                <w:sz w:val="19"/>
                <w:szCs w:val="19"/>
              </w:rPr>
              <w:t>Information Media and Telecommunications</w:t>
            </w:r>
          </w:p>
        </w:tc>
        <w:tc>
          <w:tcPr>
            <w:tcW w:w="765" w:type="pct"/>
          </w:tcPr>
          <w:p w14:paraId="6F12E86E" w14:textId="77777777" w:rsidR="00590F02" w:rsidRPr="0069410A" w:rsidRDefault="00590F02" w:rsidP="00102BEB">
            <w:pPr>
              <w:pStyle w:val="TableText"/>
              <w:rPr>
                <w:rFonts w:cs="Calibri"/>
                <w:color w:val="000000"/>
                <w:sz w:val="19"/>
                <w:szCs w:val="19"/>
              </w:rPr>
            </w:pPr>
            <w:r w:rsidRPr="0069410A">
              <w:rPr>
                <w:sz w:val="19"/>
                <w:szCs w:val="19"/>
              </w:rPr>
              <w:t>19</w:t>
            </w:r>
          </w:p>
        </w:tc>
        <w:tc>
          <w:tcPr>
            <w:tcW w:w="766" w:type="pct"/>
          </w:tcPr>
          <w:p w14:paraId="436BB674" w14:textId="77777777" w:rsidR="00590F02" w:rsidRPr="0069410A" w:rsidRDefault="00590F02" w:rsidP="00102BEB">
            <w:pPr>
              <w:pStyle w:val="TableText"/>
              <w:rPr>
                <w:rFonts w:cs="Calibri"/>
                <w:color w:val="000000"/>
                <w:sz w:val="19"/>
                <w:szCs w:val="19"/>
              </w:rPr>
            </w:pPr>
            <w:r w:rsidRPr="0069410A">
              <w:rPr>
                <w:sz w:val="19"/>
                <w:szCs w:val="19"/>
              </w:rPr>
              <w:t>3.1%</w:t>
            </w:r>
          </w:p>
        </w:tc>
        <w:tc>
          <w:tcPr>
            <w:tcW w:w="860" w:type="pct"/>
          </w:tcPr>
          <w:p w14:paraId="16434899" w14:textId="77777777" w:rsidR="00590F02" w:rsidRPr="0069410A" w:rsidRDefault="00590F02" w:rsidP="00102BEB">
            <w:pPr>
              <w:pStyle w:val="TableText"/>
              <w:rPr>
                <w:rFonts w:cs="Calibri"/>
                <w:color w:val="000000"/>
                <w:sz w:val="19"/>
                <w:szCs w:val="19"/>
              </w:rPr>
            </w:pPr>
            <w:r w:rsidRPr="0069410A">
              <w:rPr>
                <w:sz w:val="19"/>
                <w:szCs w:val="19"/>
              </w:rPr>
              <w:t>$1,664,263</w:t>
            </w:r>
          </w:p>
        </w:tc>
        <w:tc>
          <w:tcPr>
            <w:tcW w:w="746" w:type="pct"/>
          </w:tcPr>
          <w:p w14:paraId="2E44E1DC" w14:textId="77777777" w:rsidR="00590F02" w:rsidRPr="0069410A" w:rsidRDefault="00590F02" w:rsidP="00102BEB">
            <w:pPr>
              <w:pStyle w:val="TableText"/>
              <w:rPr>
                <w:rFonts w:cs="Calibri"/>
                <w:color w:val="000000"/>
                <w:sz w:val="19"/>
                <w:szCs w:val="19"/>
              </w:rPr>
            </w:pPr>
            <w:r w:rsidRPr="0069410A">
              <w:rPr>
                <w:sz w:val="19"/>
                <w:szCs w:val="19"/>
              </w:rPr>
              <w:t>2.3%</w:t>
            </w:r>
          </w:p>
        </w:tc>
        <w:tc>
          <w:tcPr>
            <w:tcW w:w="753" w:type="pct"/>
          </w:tcPr>
          <w:p w14:paraId="23998B51" w14:textId="77777777" w:rsidR="00590F02" w:rsidRPr="0069410A" w:rsidRDefault="00590F02" w:rsidP="00102BEB">
            <w:pPr>
              <w:pStyle w:val="TableText"/>
              <w:rPr>
                <w:sz w:val="19"/>
                <w:szCs w:val="19"/>
              </w:rPr>
            </w:pPr>
            <w:r w:rsidRPr="0069410A">
              <w:rPr>
                <w:rFonts w:cs="Calibri"/>
                <w:color w:val="000000"/>
                <w:sz w:val="19"/>
                <w:szCs w:val="19"/>
              </w:rPr>
              <w:t>$87,592.79</w:t>
            </w:r>
          </w:p>
        </w:tc>
      </w:tr>
      <w:tr w:rsidR="00590F02" w:rsidRPr="0069410A" w14:paraId="402BCA5C" w14:textId="77777777" w:rsidTr="00102BEB">
        <w:tc>
          <w:tcPr>
            <w:tcW w:w="1110" w:type="pct"/>
          </w:tcPr>
          <w:p w14:paraId="29A19403" w14:textId="77777777" w:rsidR="00590F02" w:rsidRPr="0069410A" w:rsidRDefault="00590F02" w:rsidP="00102BEB">
            <w:pPr>
              <w:pStyle w:val="TableText"/>
              <w:rPr>
                <w:rFonts w:cs="Calibri"/>
                <w:color w:val="000000"/>
                <w:sz w:val="19"/>
                <w:szCs w:val="19"/>
              </w:rPr>
            </w:pPr>
            <w:r w:rsidRPr="0069410A">
              <w:rPr>
                <w:sz w:val="19"/>
                <w:szCs w:val="19"/>
              </w:rPr>
              <w:t>Education and Training</w:t>
            </w:r>
          </w:p>
        </w:tc>
        <w:tc>
          <w:tcPr>
            <w:tcW w:w="765" w:type="pct"/>
          </w:tcPr>
          <w:p w14:paraId="36B7F415" w14:textId="77777777" w:rsidR="00590F02" w:rsidRPr="0069410A" w:rsidRDefault="00590F02" w:rsidP="00102BEB">
            <w:pPr>
              <w:pStyle w:val="TableText"/>
              <w:rPr>
                <w:rFonts w:cs="Calibri"/>
                <w:color w:val="000000"/>
                <w:sz w:val="19"/>
                <w:szCs w:val="19"/>
              </w:rPr>
            </w:pPr>
            <w:r w:rsidRPr="0069410A">
              <w:rPr>
                <w:sz w:val="19"/>
                <w:szCs w:val="19"/>
              </w:rPr>
              <w:t>16</w:t>
            </w:r>
          </w:p>
        </w:tc>
        <w:tc>
          <w:tcPr>
            <w:tcW w:w="766" w:type="pct"/>
          </w:tcPr>
          <w:p w14:paraId="4A1B9DEC" w14:textId="77777777" w:rsidR="00590F02" w:rsidRPr="0069410A" w:rsidRDefault="00590F02" w:rsidP="00102BEB">
            <w:pPr>
              <w:pStyle w:val="TableText"/>
              <w:rPr>
                <w:rFonts w:cs="Calibri"/>
                <w:color w:val="000000"/>
                <w:sz w:val="19"/>
                <w:szCs w:val="19"/>
              </w:rPr>
            </w:pPr>
            <w:r w:rsidRPr="0069410A">
              <w:rPr>
                <w:sz w:val="19"/>
                <w:szCs w:val="19"/>
              </w:rPr>
              <w:t>2.6%</w:t>
            </w:r>
          </w:p>
        </w:tc>
        <w:tc>
          <w:tcPr>
            <w:tcW w:w="860" w:type="pct"/>
          </w:tcPr>
          <w:p w14:paraId="20864DD7" w14:textId="77777777" w:rsidR="00590F02" w:rsidRPr="0069410A" w:rsidRDefault="00590F02" w:rsidP="00102BEB">
            <w:pPr>
              <w:pStyle w:val="TableText"/>
              <w:rPr>
                <w:rFonts w:cs="Calibri"/>
                <w:color w:val="000000"/>
                <w:sz w:val="19"/>
                <w:szCs w:val="19"/>
              </w:rPr>
            </w:pPr>
            <w:r w:rsidRPr="0069410A">
              <w:rPr>
                <w:sz w:val="19"/>
                <w:szCs w:val="19"/>
              </w:rPr>
              <w:t>$746,000</w:t>
            </w:r>
          </w:p>
        </w:tc>
        <w:tc>
          <w:tcPr>
            <w:tcW w:w="746" w:type="pct"/>
          </w:tcPr>
          <w:p w14:paraId="5B64E22F" w14:textId="77777777" w:rsidR="00590F02" w:rsidRPr="0069410A" w:rsidRDefault="00590F02" w:rsidP="00102BEB">
            <w:pPr>
              <w:pStyle w:val="TableText"/>
              <w:rPr>
                <w:rFonts w:cs="Calibri"/>
                <w:color w:val="000000"/>
                <w:sz w:val="19"/>
                <w:szCs w:val="19"/>
              </w:rPr>
            </w:pPr>
            <w:r w:rsidRPr="0069410A">
              <w:rPr>
                <w:sz w:val="19"/>
                <w:szCs w:val="19"/>
              </w:rPr>
              <w:t>1.1%</w:t>
            </w:r>
          </w:p>
        </w:tc>
        <w:tc>
          <w:tcPr>
            <w:tcW w:w="753" w:type="pct"/>
          </w:tcPr>
          <w:p w14:paraId="4845FDF0" w14:textId="77777777" w:rsidR="00590F02" w:rsidRPr="0069410A" w:rsidRDefault="00590F02" w:rsidP="00102BEB">
            <w:pPr>
              <w:pStyle w:val="TableText"/>
              <w:rPr>
                <w:sz w:val="19"/>
                <w:szCs w:val="19"/>
              </w:rPr>
            </w:pPr>
            <w:r w:rsidRPr="0069410A">
              <w:rPr>
                <w:rFonts w:cs="Calibri"/>
                <w:color w:val="000000"/>
                <w:sz w:val="19"/>
                <w:szCs w:val="19"/>
              </w:rPr>
              <w:t>$46,625.00</w:t>
            </w:r>
          </w:p>
        </w:tc>
      </w:tr>
      <w:tr w:rsidR="00590F02" w:rsidRPr="0069410A" w14:paraId="3068B196"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6AFF1405" w14:textId="77777777" w:rsidR="00590F02" w:rsidRPr="0069410A" w:rsidRDefault="00590F02" w:rsidP="00102BEB">
            <w:pPr>
              <w:pStyle w:val="TableText"/>
              <w:rPr>
                <w:rFonts w:cs="Calibri"/>
                <w:color w:val="000000"/>
                <w:sz w:val="19"/>
                <w:szCs w:val="19"/>
              </w:rPr>
            </w:pPr>
            <w:r w:rsidRPr="0069410A">
              <w:rPr>
                <w:sz w:val="19"/>
                <w:szCs w:val="19"/>
              </w:rPr>
              <w:t>Wholesale Trade</w:t>
            </w:r>
          </w:p>
        </w:tc>
        <w:tc>
          <w:tcPr>
            <w:tcW w:w="765" w:type="pct"/>
          </w:tcPr>
          <w:p w14:paraId="56AFF389" w14:textId="77777777" w:rsidR="00590F02" w:rsidRPr="0069410A" w:rsidRDefault="00590F02" w:rsidP="00102BEB">
            <w:pPr>
              <w:pStyle w:val="TableText"/>
              <w:rPr>
                <w:rFonts w:cs="Calibri"/>
                <w:color w:val="000000"/>
                <w:sz w:val="19"/>
                <w:szCs w:val="19"/>
              </w:rPr>
            </w:pPr>
            <w:r w:rsidRPr="0069410A">
              <w:rPr>
                <w:sz w:val="19"/>
                <w:szCs w:val="19"/>
              </w:rPr>
              <w:t>13</w:t>
            </w:r>
          </w:p>
        </w:tc>
        <w:tc>
          <w:tcPr>
            <w:tcW w:w="766" w:type="pct"/>
          </w:tcPr>
          <w:p w14:paraId="371EA204" w14:textId="77777777" w:rsidR="00590F02" w:rsidRPr="0069410A" w:rsidRDefault="00590F02" w:rsidP="00102BEB">
            <w:pPr>
              <w:pStyle w:val="TableText"/>
              <w:rPr>
                <w:rFonts w:cs="Calibri"/>
                <w:color w:val="000000"/>
                <w:sz w:val="19"/>
                <w:szCs w:val="19"/>
              </w:rPr>
            </w:pPr>
            <w:r w:rsidRPr="0069410A">
              <w:rPr>
                <w:sz w:val="19"/>
                <w:szCs w:val="19"/>
              </w:rPr>
              <w:t>2.1%</w:t>
            </w:r>
          </w:p>
        </w:tc>
        <w:tc>
          <w:tcPr>
            <w:tcW w:w="860" w:type="pct"/>
          </w:tcPr>
          <w:p w14:paraId="2D3A45BA" w14:textId="77777777" w:rsidR="00590F02" w:rsidRPr="0069410A" w:rsidRDefault="00590F02" w:rsidP="00102BEB">
            <w:pPr>
              <w:pStyle w:val="TableText"/>
              <w:rPr>
                <w:rFonts w:cs="Calibri"/>
                <w:color w:val="000000"/>
                <w:sz w:val="19"/>
                <w:szCs w:val="19"/>
              </w:rPr>
            </w:pPr>
            <w:r w:rsidRPr="0069410A">
              <w:rPr>
                <w:sz w:val="19"/>
                <w:szCs w:val="19"/>
              </w:rPr>
              <w:t>$822,000</w:t>
            </w:r>
          </w:p>
        </w:tc>
        <w:tc>
          <w:tcPr>
            <w:tcW w:w="746" w:type="pct"/>
          </w:tcPr>
          <w:p w14:paraId="2F91B4FB" w14:textId="77777777" w:rsidR="00590F02" w:rsidRPr="0069410A" w:rsidRDefault="00590F02" w:rsidP="00102BEB">
            <w:pPr>
              <w:pStyle w:val="TableText"/>
              <w:rPr>
                <w:rFonts w:cs="Calibri"/>
                <w:color w:val="000000"/>
                <w:sz w:val="19"/>
                <w:szCs w:val="19"/>
              </w:rPr>
            </w:pPr>
            <w:r w:rsidRPr="0069410A">
              <w:rPr>
                <w:sz w:val="19"/>
                <w:szCs w:val="19"/>
              </w:rPr>
              <w:t>1.2%</w:t>
            </w:r>
          </w:p>
        </w:tc>
        <w:tc>
          <w:tcPr>
            <w:tcW w:w="753" w:type="pct"/>
          </w:tcPr>
          <w:p w14:paraId="03D8D4CF" w14:textId="77777777" w:rsidR="00590F02" w:rsidRPr="0069410A" w:rsidRDefault="00590F02" w:rsidP="00102BEB">
            <w:pPr>
              <w:pStyle w:val="TableText"/>
              <w:rPr>
                <w:sz w:val="19"/>
                <w:szCs w:val="19"/>
              </w:rPr>
            </w:pPr>
            <w:r w:rsidRPr="0069410A">
              <w:rPr>
                <w:rFonts w:cs="Calibri"/>
                <w:color w:val="000000"/>
                <w:sz w:val="19"/>
                <w:szCs w:val="19"/>
              </w:rPr>
              <w:t>$63,230.77</w:t>
            </w:r>
          </w:p>
        </w:tc>
      </w:tr>
      <w:tr w:rsidR="00590F02" w:rsidRPr="0069410A" w14:paraId="4B3111FA" w14:textId="77777777" w:rsidTr="00102BEB">
        <w:tc>
          <w:tcPr>
            <w:tcW w:w="1110" w:type="pct"/>
          </w:tcPr>
          <w:p w14:paraId="3B719DA9" w14:textId="77777777" w:rsidR="00590F02" w:rsidRPr="0069410A" w:rsidRDefault="00590F02" w:rsidP="00102BEB">
            <w:pPr>
              <w:pStyle w:val="TableText"/>
              <w:rPr>
                <w:rFonts w:cs="Calibri"/>
                <w:color w:val="000000"/>
                <w:sz w:val="19"/>
                <w:szCs w:val="19"/>
              </w:rPr>
            </w:pPr>
            <w:r w:rsidRPr="0069410A">
              <w:rPr>
                <w:sz w:val="19"/>
                <w:szCs w:val="19"/>
              </w:rPr>
              <w:t>Rental, Hiring and Real Estate Services</w:t>
            </w:r>
          </w:p>
        </w:tc>
        <w:tc>
          <w:tcPr>
            <w:tcW w:w="765" w:type="pct"/>
          </w:tcPr>
          <w:p w14:paraId="10BA31E4" w14:textId="77777777" w:rsidR="00590F02" w:rsidRPr="0069410A" w:rsidRDefault="00590F02" w:rsidP="00102BEB">
            <w:pPr>
              <w:pStyle w:val="TableText"/>
              <w:rPr>
                <w:rFonts w:cs="Calibri"/>
                <w:color w:val="000000"/>
                <w:sz w:val="19"/>
                <w:szCs w:val="19"/>
              </w:rPr>
            </w:pPr>
            <w:r w:rsidRPr="0069410A">
              <w:rPr>
                <w:sz w:val="19"/>
                <w:szCs w:val="19"/>
              </w:rPr>
              <w:t>13</w:t>
            </w:r>
          </w:p>
        </w:tc>
        <w:tc>
          <w:tcPr>
            <w:tcW w:w="766" w:type="pct"/>
          </w:tcPr>
          <w:p w14:paraId="5218B4F8" w14:textId="77777777" w:rsidR="00590F02" w:rsidRPr="0069410A" w:rsidRDefault="00590F02" w:rsidP="00102BEB">
            <w:pPr>
              <w:pStyle w:val="TableText"/>
              <w:rPr>
                <w:rFonts w:cs="Calibri"/>
                <w:color w:val="000000"/>
                <w:sz w:val="19"/>
                <w:szCs w:val="19"/>
              </w:rPr>
            </w:pPr>
            <w:r w:rsidRPr="0069410A">
              <w:rPr>
                <w:sz w:val="19"/>
                <w:szCs w:val="19"/>
              </w:rPr>
              <w:t>2.1%</w:t>
            </w:r>
          </w:p>
        </w:tc>
        <w:tc>
          <w:tcPr>
            <w:tcW w:w="860" w:type="pct"/>
          </w:tcPr>
          <w:p w14:paraId="18E37054" w14:textId="77777777" w:rsidR="00590F02" w:rsidRPr="0069410A" w:rsidRDefault="00590F02" w:rsidP="00102BEB">
            <w:pPr>
              <w:pStyle w:val="TableText"/>
              <w:rPr>
                <w:rFonts w:cs="Calibri"/>
                <w:color w:val="000000"/>
                <w:sz w:val="19"/>
                <w:szCs w:val="19"/>
              </w:rPr>
            </w:pPr>
            <w:r w:rsidRPr="0069410A">
              <w:rPr>
                <w:sz w:val="19"/>
                <w:szCs w:val="19"/>
              </w:rPr>
              <w:t>$4,622,330</w:t>
            </w:r>
          </w:p>
        </w:tc>
        <w:tc>
          <w:tcPr>
            <w:tcW w:w="746" w:type="pct"/>
          </w:tcPr>
          <w:p w14:paraId="6858FF02" w14:textId="77777777" w:rsidR="00590F02" w:rsidRPr="0069410A" w:rsidRDefault="00590F02" w:rsidP="00102BEB">
            <w:pPr>
              <w:pStyle w:val="TableText"/>
              <w:rPr>
                <w:rFonts w:cs="Calibri"/>
                <w:color w:val="000000"/>
                <w:sz w:val="19"/>
                <w:szCs w:val="19"/>
              </w:rPr>
            </w:pPr>
            <w:r w:rsidRPr="0069410A">
              <w:rPr>
                <w:sz w:val="19"/>
                <w:szCs w:val="19"/>
              </w:rPr>
              <w:t>6.5%</w:t>
            </w:r>
          </w:p>
        </w:tc>
        <w:tc>
          <w:tcPr>
            <w:tcW w:w="753" w:type="pct"/>
          </w:tcPr>
          <w:p w14:paraId="393BEE48" w14:textId="77777777" w:rsidR="00590F02" w:rsidRPr="0069410A" w:rsidRDefault="00590F02" w:rsidP="00102BEB">
            <w:pPr>
              <w:pStyle w:val="TableText"/>
              <w:rPr>
                <w:sz w:val="19"/>
                <w:szCs w:val="19"/>
              </w:rPr>
            </w:pPr>
            <w:r w:rsidRPr="0069410A">
              <w:rPr>
                <w:rFonts w:cs="Calibri"/>
                <w:color w:val="000000"/>
                <w:sz w:val="19"/>
                <w:szCs w:val="19"/>
              </w:rPr>
              <w:t>$355,563.85</w:t>
            </w:r>
          </w:p>
        </w:tc>
      </w:tr>
      <w:tr w:rsidR="00590F02" w:rsidRPr="0069410A" w14:paraId="22EFB98E"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348B8B26" w14:textId="77777777" w:rsidR="00590F02" w:rsidRPr="0069410A" w:rsidRDefault="00590F02" w:rsidP="00102BEB">
            <w:pPr>
              <w:pStyle w:val="TableText"/>
              <w:rPr>
                <w:rFonts w:cs="Calibri"/>
                <w:color w:val="000000"/>
                <w:sz w:val="19"/>
                <w:szCs w:val="19"/>
              </w:rPr>
            </w:pPr>
            <w:r w:rsidRPr="0069410A">
              <w:rPr>
                <w:sz w:val="19"/>
                <w:szCs w:val="19"/>
              </w:rPr>
              <w:t>Mining</w:t>
            </w:r>
          </w:p>
        </w:tc>
        <w:tc>
          <w:tcPr>
            <w:tcW w:w="765" w:type="pct"/>
          </w:tcPr>
          <w:p w14:paraId="6865F6C9" w14:textId="77777777" w:rsidR="00590F02" w:rsidRPr="0069410A" w:rsidRDefault="00590F02" w:rsidP="00102BEB">
            <w:pPr>
              <w:pStyle w:val="TableText"/>
              <w:rPr>
                <w:rFonts w:cs="Calibri"/>
                <w:color w:val="000000"/>
                <w:sz w:val="19"/>
                <w:szCs w:val="19"/>
              </w:rPr>
            </w:pPr>
            <w:r w:rsidRPr="0069410A">
              <w:rPr>
                <w:sz w:val="19"/>
                <w:szCs w:val="19"/>
              </w:rPr>
              <w:t>9</w:t>
            </w:r>
          </w:p>
        </w:tc>
        <w:tc>
          <w:tcPr>
            <w:tcW w:w="766" w:type="pct"/>
          </w:tcPr>
          <w:p w14:paraId="2AB96FE3" w14:textId="77777777" w:rsidR="00590F02" w:rsidRPr="0069410A" w:rsidRDefault="00590F02" w:rsidP="00102BEB">
            <w:pPr>
              <w:pStyle w:val="TableText"/>
              <w:rPr>
                <w:rFonts w:cs="Calibri"/>
                <w:color w:val="000000"/>
                <w:sz w:val="19"/>
                <w:szCs w:val="19"/>
              </w:rPr>
            </w:pPr>
            <w:r w:rsidRPr="0069410A">
              <w:rPr>
                <w:sz w:val="19"/>
                <w:szCs w:val="19"/>
              </w:rPr>
              <w:t>1.5%</w:t>
            </w:r>
          </w:p>
        </w:tc>
        <w:tc>
          <w:tcPr>
            <w:tcW w:w="860" w:type="pct"/>
          </w:tcPr>
          <w:p w14:paraId="27061C67" w14:textId="77777777" w:rsidR="00590F02" w:rsidRPr="0069410A" w:rsidRDefault="00590F02" w:rsidP="00102BEB">
            <w:pPr>
              <w:pStyle w:val="TableText"/>
              <w:rPr>
                <w:rFonts w:cs="Calibri"/>
                <w:color w:val="000000"/>
                <w:sz w:val="19"/>
                <w:szCs w:val="19"/>
              </w:rPr>
            </w:pPr>
            <w:r w:rsidRPr="0069410A">
              <w:rPr>
                <w:sz w:val="19"/>
                <w:szCs w:val="19"/>
              </w:rPr>
              <w:t>$7,787,100</w:t>
            </w:r>
          </w:p>
        </w:tc>
        <w:tc>
          <w:tcPr>
            <w:tcW w:w="746" w:type="pct"/>
          </w:tcPr>
          <w:p w14:paraId="307C5317" w14:textId="77777777" w:rsidR="00590F02" w:rsidRPr="0069410A" w:rsidRDefault="00590F02" w:rsidP="00102BEB">
            <w:pPr>
              <w:pStyle w:val="TableText"/>
              <w:rPr>
                <w:rFonts w:cs="Calibri"/>
                <w:color w:val="000000"/>
                <w:sz w:val="19"/>
                <w:szCs w:val="19"/>
              </w:rPr>
            </w:pPr>
            <w:r w:rsidRPr="0069410A">
              <w:rPr>
                <w:sz w:val="19"/>
                <w:szCs w:val="19"/>
              </w:rPr>
              <w:t>11.0%</w:t>
            </w:r>
          </w:p>
        </w:tc>
        <w:tc>
          <w:tcPr>
            <w:tcW w:w="753" w:type="pct"/>
          </w:tcPr>
          <w:p w14:paraId="2C8C719F" w14:textId="77777777" w:rsidR="00590F02" w:rsidRPr="0069410A" w:rsidRDefault="00590F02" w:rsidP="00102BEB">
            <w:pPr>
              <w:pStyle w:val="TableText"/>
              <w:rPr>
                <w:sz w:val="19"/>
                <w:szCs w:val="19"/>
              </w:rPr>
            </w:pPr>
            <w:r w:rsidRPr="0069410A">
              <w:rPr>
                <w:rFonts w:cs="Calibri"/>
                <w:color w:val="000000"/>
                <w:sz w:val="19"/>
                <w:szCs w:val="19"/>
              </w:rPr>
              <w:t>$63,482.90</w:t>
            </w:r>
          </w:p>
        </w:tc>
      </w:tr>
      <w:tr w:rsidR="00590F02" w:rsidRPr="0069410A" w14:paraId="14ED2D86" w14:textId="77777777" w:rsidTr="00102BEB">
        <w:tc>
          <w:tcPr>
            <w:tcW w:w="1110" w:type="pct"/>
          </w:tcPr>
          <w:p w14:paraId="61AE396D" w14:textId="77777777" w:rsidR="00590F02" w:rsidRPr="0069410A" w:rsidRDefault="00590F02" w:rsidP="00102BEB">
            <w:pPr>
              <w:pStyle w:val="TableText"/>
              <w:rPr>
                <w:rFonts w:cs="Calibri"/>
                <w:color w:val="000000"/>
                <w:sz w:val="19"/>
                <w:szCs w:val="19"/>
              </w:rPr>
            </w:pPr>
            <w:r w:rsidRPr="0069410A">
              <w:rPr>
                <w:sz w:val="19"/>
                <w:szCs w:val="19"/>
              </w:rPr>
              <w:t>Electricity, Gas, Water and Waste Services</w:t>
            </w:r>
          </w:p>
        </w:tc>
        <w:tc>
          <w:tcPr>
            <w:tcW w:w="765" w:type="pct"/>
          </w:tcPr>
          <w:p w14:paraId="73DDF751" w14:textId="77777777" w:rsidR="00590F02" w:rsidRPr="0069410A" w:rsidRDefault="00590F02" w:rsidP="00102BEB">
            <w:pPr>
              <w:pStyle w:val="TableText"/>
              <w:rPr>
                <w:rFonts w:cs="Calibri"/>
                <w:color w:val="000000"/>
                <w:sz w:val="19"/>
                <w:szCs w:val="19"/>
              </w:rPr>
            </w:pPr>
            <w:r w:rsidRPr="0069410A">
              <w:rPr>
                <w:sz w:val="19"/>
                <w:szCs w:val="19"/>
              </w:rPr>
              <w:t>6</w:t>
            </w:r>
          </w:p>
        </w:tc>
        <w:tc>
          <w:tcPr>
            <w:tcW w:w="766" w:type="pct"/>
          </w:tcPr>
          <w:p w14:paraId="2565CDC5" w14:textId="77777777" w:rsidR="00590F02" w:rsidRPr="0069410A" w:rsidRDefault="00590F02" w:rsidP="00102BEB">
            <w:pPr>
              <w:pStyle w:val="TableText"/>
              <w:rPr>
                <w:rFonts w:cs="Calibri"/>
                <w:color w:val="000000"/>
                <w:sz w:val="19"/>
                <w:szCs w:val="19"/>
              </w:rPr>
            </w:pPr>
            <w:r w:rsidRPr="0069410A">
              <w:rPr>
                <w:sz w:val="19"/>
                <w:szCs w:val="19"/>
              </w:rPr>
              <w:t>1.0%</w:t>
            </w:r>
          </w:p>
        </w:tc>
        <w:tc>
          <w:tcPr>
            <w:tcW w:w="860" w:type="pct"/>
          </w:tcPr>
          <w:p w14:paraId="4D93D568" w14:textId="77777777" w:rsidR="00590F02" w:rsidRPr="0069410A" w:rsidRDefault="00590F02" w:rsidP="00102BEB">
            <w:pPr>
              <w:pStyle w:val="TableText"/>
              <w:rPr>
                <w:rFonts w:cs="Calibri"/>
                <w:color w:val="000000"/>
                <w:sz w:val="19"/>
                <w:szCs w:val="19"/>
              </w:rPr>
            </w:pPr>
            <w:r w:rsidRPr="0069410A">
              <w:rPr>
                <w:sz w:val="19"/>
                <w:szCs w:val="19"/>
              </w:rPr>
              <w:t>$594,190</w:t>
            </w:r>
          </w:p>
        </w:tc>
        <w:tc>
          <w:tcPr>
            <w:tcW w:w="746" w:type="pct"/>
          </w:tcPr>
          <w:p w14:paraId="3B6EE4A0" w14:textId="77777777" w:rsidR="00590F02" w:rsidRPr="0069410A" w:rsidRDefault="00590F02" w:rsidP="00102BEB">
            <w:pPr>
              <w:pStyle w:val="TableText"/>
              <w:rPr>
                <w:rFonts w:cs="Calibri"/>
                <w:color w:val="000000"/>
                <w:sz w:val="19"/>
                <w:szCs w:val="19"/>
              </w:rPr>
            </w:pPr>
            <w:r w:rsidRPr="0069410A">
              <w:rPr>
                <w:sz w:val="19"/>
                <w:szCs w:val="19"/>
              </w:rPr>
              <w:t>0.8%</w:t>
            </w:r>
          </w:p>
        </w:tc>
        <w:tc>
          <w:tcPr>
            <w:tcW w:w="753" w:type="pct"/>
          </w:tcPr>
          <w:p w14:paraId="2845B2E8" w14:textId="77777777" w:rsidR="00590F02" w:rsidRPr="0069410A" w:rsidRDefault="00590F02" w:rsidP="00102BEB">
            <w:pPr>
              <w:pStyle w:val="TableText"/>
              <w:rPr>
                <w:sz w:val="19"/>
                <w:szCs w:val="19"/>
              </w:rPr>
            </w:pPr>
            <w:r w:rsidRPr="0069410A">
              <w:rPr>
                <w:rFonts w:cs="Calibri"/>
                <w:color w:val="000000"/>
                <w:sz w:val="19"/>
                <w:szCs w:val="19"/>
              </w:rPr>
              <w:t>$865,233.33</w:t>
            </w:r>
          </w:p>
        </w:tc>
      </w:tr>
      <w:tr w:rsidR="00590F02" w:rsidRPr="0069410A" w14:paraId="2C01774A"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69F82CD8" w14:textId="77777777" w:rsidR="00590F02" w:rsidRPr="0069410A" w:rsidRDefault="00590F02" w:rsidP="00102BEB">
            <w:pPr>
              <w:pStyle w:val="TableText"/>
              <w:rPr>
                <w:rFonts w:cs="Calibri"/>
                <w:color w:val="000000"/>
                <w:sz w:val="19"/>
                <w:szCs w:val="19"/>
              </w:rPr>
            </w:pPr>
            <w:r w:rsidRPr="0069410A">
              <w:rPr>
                <w:sz w:val="19"/>
                <w:szCs w:val="19"/>
              </w:rPr>
              <w:t>Public Administration and Safety</w:t>
            </w:r>
          </w:p>
        </w:tc>
        <w:tc>
          <w:tcPr>
            <w:tcW w:w="765" w:type="pct"/>
          </w:tcPr>
          <w:p w14:paraId="70DD3907" w14:textId="77777777" w:rsidR="00590F02" w:rsidRPr="0069410A" w:rsidRDefault="00590F02" w:rsidP="00102BEB">
            <w:pPr>
              <w:pStyle w:val="TableText"/>
              <w:rPr>
                <w:rFonts w:cs="Calibri"/>
                <w:color w:val="000000"/>
                <w:sz w:val="19"/>
                <w:szCs w:val="19"/>
              </w:rPr>
            </w:pPr>
            <w:r w:rsidRPr="0069410A">
              <w:rPr>
                <w:sz w:val="19"/>
                <w:szCs w:val="19"/>
              </w:rPr>
              <w:t>2</w:t>
            </w:r>
          </w:p>
        </w:tc>
        <w:tc>
          <w:tcPr>
            <w:tcW w:w="766" w:type="pct"/>
          </w:tcPr>
          <w:p w14:paraId="71E1A439" w14:textId="77777777" w:rsidR="00590F02" w:rsidRPr="0069410A" w:rsidRDefault="00590F02" w:rsidP="00102BEB">
            <w:pPr>
              <w:pStyle w:val="TableText"/>
              <w:rPr>
                <w:rFonts w:cs="Calibri"/>
                <w:color w:val="000000"/>
                <w:sz w:val="19"/>
                <w:szCs w:val="19"/>
              </w:rPr>
            </w:pPr>
            <w:r w:rsidRPr="0069410A">
              <w:rPr>
                <w:sz w:val="19"/>
                <w:szCs w:val="19"/>
              </w:rPr>
              <w:t>0.3%</w:t>
            </w:r>
          </w:p>
        </w:tc>
        <w:tc>
          <w:tcPr>
            <w:tcW w:w="860" w:type="pct"/>
          </w:tcPr>
          <w:p w14:paraId="78660116" w14:textId="77777777" w:rsidR="00590F02" w:rsidRPr="0069410A" w:rsidRDefault="00590F02" w:rsidP="00102BEB">
            <w:pPr>
              <w:pStyle w:val="TableText"/>
              <w:rPr>
                <w:rFonts w:cs="Calibri"/>
                <w:color w:val="000000"/>
                <w:sz w:val="19"/>
                <w:szCs w:val="19"/>
              </w:rPr>
            </w:pPr>
            <w:r w:rsidRPr="0069410A">
              <w:rPr>
                <w:sz w:val="19"/>
                <w:szCs w:val="19"/>
              </w:rPr>
              <w:t>$490,000</w:t>
            </w:r>
          </w:p>
        </w:tc>
        <w:tc>
          <w:tcPr>
            <w:tcW w:w="746" w:type="pct"/>
          </w:tcPr>
          <w:p w14:paraId="7C4495DC" w14:textId="77777777" w:rsidR="00590F02" w:rsidRPr="0069410A" w:rsidRDefault="00590F02" w:rsidP="00102BEB">
            <w:pPr>
              <w:pStyle w:val="TableText"/>
              <w:rPr>
                <w:rFonts w:cs="Calibri"/>
                <w:color w:val="000000"/>
                <w:sz w:val="19"/>
                <w:szCs w:val="19"/>
              </w:rPr>
            </w:pPr>
            <w:r w:rsidRPr="0069410A">
              <w:rPr>
                <w:sz w:val="19"/>
                <w:szCs w:val="19"/>
              </w:rPr>
              <w:t>0.7%</w:t>
            </w:r>
          </w:p>
        </w:tc>
        <w:tc>
          <w:tcPr>
            <w:tcW w:w="753" w:type="pct"/>
          </w:tcPr>
          <w:p w14:paraId="6E361646" w14:textId="77777777" w:rsidR="00590F02" w:rsidRPr="0069410A" w:rsidRDefault="00590F02" w:rsidP="00102BEB">
            <w:pPr>
              <w:pStyle w:val="TableText"/>
              <w:rPr>
                <w:sz w:val="19"/>
                <w:szCs w:val="19"/>
              </w:rPr>
            </w:pPr>
            <w:r w:rsidRPr="0069410A">
              <w:rPr>
                <w:rFonts w:cs="Calibri"/>
                <w:color w:val="000000"/>
                <w:sz w:val="19"/>
                <w:szCs w:val="19"/>
              </w:rPr>
              <w:t>$99,031.67</w:t>
            </w:r>
          </w:p>
        </w:tc>
      </w:tr>
      <w:tr w:rsidR="00590F02" w:rsidRPr="0069410A" w14:paraId="27BDE250" w14:textId="77777777" w:rsidTr="00102BEB">
        <w:tc>
          <w:tcPr>
            <w:tcW w:w="1110" w:type="pct"/>
          </w:tcPr>
          <w:p w14:paraId="4F4A0F19" w14:textId="77777777" w:rsidR="00590F02" w:rsidRPr="0069410A" w:rsidRDefault="00590F02" w:rsidP="00102BEB">
            <w:pPr>
              <w:pStyle w:val="TableText"/>
              <w:rPr>
                <w:rFonts w:cs="Calibri"/>
                <w:color w:val="000000"/>
                <w:sz w:val="19"/>
                <w:szCs w:val="19"/>
              </w:rPr>
            </w:pPr>
            <w:r w:rsidRPr="0069410A">
              <w:rPr>
                <w:sz w:val="19"/>
                <w:szCs w:val="19"/>
              </w:rPr>
              <w:t>Financial and Insurance Services</w:t>
            </w:r>
          </w:p>
        </w:tc>
        <w:tc>
          <w:tcPr>
            <w:tcW w:w="765" w:type="pct"/>
          </w:tcPr>
          <w:p w14:paraId="67321B47" w14:textId="77777777" w:rsidR="00590F02" w:rsidRPr="0069410A" w:rsidRDefault="00590F02" w:rsidP="00102BEB">
            <w:pPr>
              <w:pStyle w:val="TableText"/>
              <w:rPr>
                <w:rFonts w:cs="Calibri"/>
                <w:color w:val="000000"/>
                <w:sz w:val="19"/>
                <w:szCs w:val="19"/>
              </w:rPr>
            </w:pPr>
            <w:r w:rsidRPr="0069410A">
              <w:rPr>
                <w:sz w:val="19"/>
                <w:szCs w:val="19"/>
              </w:rPr>
              <w:t>1</w:t>
            </w:r>
          </w:p>
        </w:tc>
        <w:tc>
          <w:tcPr>
            <w:tcW w:w="766" w:type="pct"/>
          </w:tcPr>
          <w:p w14:paraId="084D73E6" w14:textId="77777777" w:rsidR="00590F02" w:rsidRPr="0069410A" w:rsidRDefault="00590F02" w:rsidP="00102BEB">
            <w:pPr>
              <w:pStyle w:val="TableText"/>
              <w:rPr>
                <w:rFonts w:cs="Calibri"/>
                <w:color w:val="000000"/>
                <w:sz w:val="19"/>
                <w:szCs w:val="19"/>
              </w:rPr>
            </w:pPr>
            <w:r w:rsidRPr="0069410A">
              <w:rPr>
                <w:sz w:val="19"/>
                <w:szCs w:val="19"/>
              </w:rPr>
              <w:t>0.2%</w:t>
            </w:r>
          </w:p>
        </w:tc>
        <w:tc>
          <w:tcPr>
            <w:tcW w:w="860" w:type="pct"/>
          </w:tcPr>
          <w:p w14:paraId="1E63F0C2" w14:textId="77777777" w:rsidR="00590F02" w:rsidRPr="0069410A" w:rsidRDefault="00590F02" w:rsidP="00102BEB">
            <w:pPr>
              <w:pStyle w:val="TableText"/>
              <w:rPr>
                <w:rFonts w:cs="Calibri"/>
                <w:color w:val="000000"/>
                <w:sz w:val="19"/>
                <w:szCs w:val="19"/>
              </w:rPr>
            </w:pPr>
            <w:r w:rsidRPr="0069410A">
              <w:rPr>
                <w:sz w:val="19"/>
                <w:szCs w:val="19"/>
              </w:rPr>
              <w:t>$21,700</w:t>
            </w:r>
          </w:p>
        </w:tc>
        <w:tc>
          <w:tcPr>
            <w:tcW w:w="746" w:type="pct"/>
          </w:tcPr>
          <w:p w14:paraId="7B1810C6" w14:textId="77777777" w:rsidR="00590F02" w:rsidRPr="0069410A" w:rsidRDefault="00590F02" w:rsidP="00102BEB">
            <w:pPr>
              <w:pStyle w:val="TableText"/>
              <w:rPr>
                <w:rFonts w:cs="Calibri"/>
                <w:color w:val="000000"/>
                <w:sz w:val="19"/>
                <w:szCs w:val="19"/>
              </w:rPr>
            </w:pPr>
            <w:r w:rsidRPr="0069410A">
              <w:rPr>
                <w:sz w:val="19"/>
                <w:szCs w:val="19"/>
              </w:rPr>
              <w:t>0.0%</w:t>
            </w:r>
          </w:p>
        </w:tc>
        <w:tc>
          <w:tcPr>
            <w:tcW w:w="753" w:type="pct"/>
          </w:tcPr>
          <w:p w14:paraId="65487503" w14:textId="77777777" w:rsidR="00590F02" w:rsidRPr="0069410A" w:rsidRDefault="00590F02" w:rsidP="00102BEB">
            <w:pPr>
              <w:pStyle w:val="TableText"/>
              <w:rPr>
                <w:sz w:val="19"/>
                <w:szCs w:val="19"/>
              </w:rPr>
            </w:pPr>
            <w:r w:rsidRPr="0069410A">
              <w:rPr>
                <w:rFonts w:cs="Calibri"/>
                <w:color w:val="000000"/>
                <w:sz w:val="19"/>
                <w:szCs w:val="19"/>
              </w:rPr>
              <w:t>$245,000.00</w:t>
            </w:r>
          </w:p>
        </w:tc>
      </w:tr>
      <w:tr w:rsidR="00590F02" w:rsidRPr="0069410A" w14:paraId="04BBFEC2" w14:textId="77777777" w:rsidTr="00102BEB">
        <w:trPr>
          <w:cnfStyle w:val="000000010000" w:firstRow="0" w:lastRow="0" w:firstColumn="0" w:lastColumn="0" w:oddVBand="0" w:evenVBand="0" w:oddHBand="0" w:evenHBand="1" w:firstRowFirstColumn="0" w:firstRowLastColumn="0" w:lastRowFirstColumn="0" w:lastRowLastColumn="0"/>
        </w:trPr>
        <w:tc>
          <w:tcPr>
            <w:tcW w:w="1110" w:type="pct"/>
          </w:tcPr>
          <w:p w14:paraId="3A9FD1F5" w14:textId="77777777" w:rsidR="00590F02" w:rsidRPr="0069410A" w:rsidRDefault="00590F02" w:rsidP="00102BEB">
            <w:pPr>
              <w:pStyle w:val="TableText"/>
              <w:rPr>
                <w:rFonts w:cs="Calibri"/>
                <w:b/>
                <w:bCs/>
                <w:color w:val="000000"/>
                <w:sz w:val="19"/>
                <w:szCs w:val="19"/>
              </w:rPr>
            </w:pPr>
            <w:r w:rsidRPr="0069410A">
              <w:rPr>
                <w:rFonts w:cs="Calibri"/>
                <w:b/>
                <w:bCs/>
                <w:color w:val="000000"/>
                <w:sz w:val="19"/>
                <w:szCs w:val="19"/>
              </w:rPr>
              <w:t>TOTAL*</w:t>
            </w:r>
          </w:p>
        </w:tc>
        <w:tc>
          <w:tcPr>
            <w:tcW w:w="765" w:type="pct"/>
          </w:tcPr>
          <w:p w14:paraId="20467501" w14:textId="77777777" w:rsidR="00590F02" w:rsidRPr="0069410A" w:rsidRDefault="00590F02" w:rsidP="00102BEB">
            <w:pPr>
              <w:pStyle w:val="TableText"/>
              <w:rPr>
                <w:rFonts w:cs="Calibri"/>
                <w:b/>
                <w:bCs/>
                <w:color w:val="000000"/>
                <w:sz w:val="19"/>
                <w:szCs w:val="19"/>
              </w:rPr>
            </w:pPr>
            <w:r w:rsidRPr="0069410A">
              <w:rPr>
                <w:rFonts w:cs="Calibri"/>
                <w:b/>
                <w:bCs/>
                <w:color w:val="000000"/>
                <w:sz w:val="19"/>
                <w:szCs w:val="19"/>
              </w:rPr>
              <w:t>620*</w:t>
            </w:r>
          </w:p>
        </w:tc>
        <w:tc>
          <w:tcPr>
            <w:tcW w:w="766" w:type="pct"/>
          </w:tcPr>
          <w:p w14:paraId="4A036867" w14:textId="77777777" w:rsidR="00590F02" w:rsidRPr="0069410A" w:rsidRDefault="00590F02" w:rsidP="00102BEB">
            <w:pPr>
              <w:pStyle w:val="TableText"/>
              <w:rPr>
                <w:rFonts w:cs="Calibri"/>
                <w:b/>
                <w:bCs/>
                <w:color w:val="000000"/>
                <w:sz w:val="19"/>
                <w:szCs w:val="19"/>
              </w:rPr>
            </w:pPr>
          </w:p>
        </w:tc>
        <w:tc>
          <w:tcPr>
            <w:tcW w:w="860" w:type="pct"/>
          </w:tcPr>
          <w:p w14:paraId="7FC9045E" w14:textId="77777777" w:rsidR="00590F02" w:rsidRPr="0069410A" w:rsidRDefault="00590F02" w:rsidP="00102BEB">
            <w:pPr>
              <w:pStyle w:val="TableText"/>
              <w:rPr>
                <w:rFonts w:cs="Calibri"/>
                <w:b/>
                <w:bCs/>
                <w:color w:val="000000"/>
                <w:sz w:val="19"/>
                <w:szCs w:val="19"/>
              </w:rPr>
            </w:pPr>
            <w:r w:rsidRPr="0069410A">
              <w:rPr>
                <w:rFonts w:cs="Calibri"/>
                <w:b/>
                <w:bCs/>
                <w:color w:val="000000"/>
                <w:sz w:val="19"/>
                <w:szCs w:val="19"/>
              </w:rPr>
              <w:t>$70,902,293</w:t>
            </w:r>
          </w:p>
        </w:tc>
        <w:tc>
          <w:tcPr>
            <w:tcW w:w="746" w:type="pct"/>
          </w:tcPr>
          <w:p w14:paraId="5DB978E4" w14:textId="77777777" w:rsidR="00590F02" w:rsidRPr="0069410A" w:rsidRDefault="00590F02" w:rsidP="00102BEB">
            <w:pPr>
              <w:pStyle w:val="TableText"/>
              <w:rPr>
                <w:rFonts w:cs="Calibri"/>
                <w:b/>
                <w:bCs/>
                <w:color w:val="000000"/>
                <w:sz w:val="19"/>
                <w:szCs w:val="19"/>
              </w:rPr>
            </w:pPr>
          </w:p>
        </w:tc>
        <w:tc>
          <w:tcPr>
            <w:tcW w:w="753" w:type="pct"/>
          </w:tcPr>
          <w:p w14:paraId="2F5FAEA7" w14:textId="77777777" w:rsidR="00590F02" w:rsidRPr="0069410A" w:rsidRDefault="00590F02" w:rsidP="00102BEB">
            <w:pPr>
              <w:pStyle w:val="TableText"/>
              <w:rPr>
                <w:rFonts w:cs="Calibri"/>
                <w:b/>
                <w:bCs/>
                <w:color w:val="000000"/>
                <w:sz w:val="19"/>
                <w:szCs w:val="19"/>
              </w:rPr>
            </w:pPr>
            <w:r w:rsidRPr="0069410A">
              <w:rPr>
                <w:rFonts w:cs="Calibri"/>
                <w:b/>
                <w:bCs/>
                <w:color w:val="000000"/>
                <w:sz w:val="19"/>
                <w:szCs w:val="19"/>
              </w:rPr>
              <w:t>$114,358.54</w:t>
            </w:r>
          </w:p>
        </w:tc>
      </w:tr>
    </w:tbl>
    <w:p w14:paraId="4982D608" w14:textId="3E91882B" w:rsidR="0069410A" w:rsidRDefault="00590F02" w:rsidP="0069410A">
      <w:pPr>
        <w:pStyle w:val="TableNote"/>
      </w:pPr>
      <w:r w:rsidRPr="00FE73DE">
        <w:t>* Note: Totals include the additional n=13 loans with undefined industry division, with value of $63,482.90 over entire reporting period.</w:t>
      </w:r>
      <w:r w:rsidR="0069410A">
        <w:t xml:space="preserve"> </w:t>
      </w:r>
      <w:r w:rsidRPr="00FE73DE">
        <w:t>Source: Analysis of IBA provided data</w:t>
      </w:r>
    </w:p>
    <w:p w14:paraId="71DE7B17" w14:textId="7246E978" w:rsidR="00B756C2" w:rsidRPr="00FE73DE" w:rsidRDefault="00B756C2" w:rsidP="0069410A">
      <w:pPr>
        <w:pStyle w:val="TOCHeading"/>
      </w:pPr>
      <w:bookmarkStart w:id="169" w:name="_Toc123734731"/>
      <w:r w:rsidRPr="00FE73DE">
        <w:t xml:space="preserve">Appendix </w:t>
      </w:r>
      <w:r w:rsidR="001C6781">
        <w:t>G</w:t>
      </w:r>
      <w:r w:rsidRPr="00FE73DE">
        <w:t>: Overseas indigenous business support programs</w:t>
      </w:r>
      <w:bookmarkEnd w:id="169"/>
    </w:p>
    <w:p w14:paraId="2F85BDB5" w14:textId="77777777" w:rsidR="00B756C2" w:rsidRPr="00FE73DE" w:rsidRDefault="00B756C2" w:rsidP="00B756C2">
      <w:r w:rsidRPr="00FE73DE">
        <w:t>The evaluation undertook a literature review of government-funded financial products available Indigenous businesses in Canada and the United States of America (US).</w:t>
      </w:r>
      <w:r w:rsidRPr="00FE73DE">
        <w:rPr>
          <w:rStyle w:val="FootnoteReference"/>
        </w:rPr>
        <w:footnoteReference w:id="75"/>
      </w:r>
      <w:r w:rsidRPr="00FE73DE">
        <w:t xml:space="preserve"> In both countries, the government supports Indigenous businesses through dedicated, flexible loans that may be used to cover a range of business start-up and operational costs. These mechanisms are analogous to the support provided by IBA, and to a lesser extent, Many Rivers (which provides micro business support). However, Canada and the US also support Indigenous businesses through indigenous-owned financial institutions, which are typically autonomous organisations capitalised by government that provide services including loans, financial and management consulting and business start-up support. There are very few equivalent institutions in Australia (such as First Australians Capital), and they do not receive government support.</w:t>
      </w:r>
    </w:p>
    <w:p w14:paraId="38CB934F" w14:textId="43E092AE" w:rsidR="00B756C2" w:rsidRPr="00FE73DE" w:rsidRDefault="00B756C2" w:rsidP="00B756C2">
      <w:r w:rsidRPr="00FE73DE">
        <w:fldChar w:fldCharType="begin"/>
      </w:r>
      <w:r w:rsidRPr="00FE73DE">
        <w:instrText xml:space="preserve"> REF _Ref104926900 \h  \* MERGEFORMAT </w:instrText>
      </w:r>
      <w:r w:rsidRPr="00FE73DE">
        <w:fldChar w:fldCharType="separate"/>
      </w:r>
      <w:r w:rsidR="004718C9" w:rsidRPr="004718C9">
        <w:t>Table 15</w:t>
      </w:r>
      <w:r w:rsidRPr="00FE73DE">
        <w:fldChar w:fldCharType="end"/>
      </w:r>
      <w:r w:rsidRPr="00FE73DE">
        <w:t xml:space="preserve"> summarises government-supported financial products for Indigenous businesses in Australia, Canada and the US. Further detail on the mechanisms used in Canada, and information on the US, is provided in the section below.</w:t>
      </w:r>
    </w:p>
    <w:p w14:paraId="74DF0D45" w14:textId="77777777" w:rsidR="00B756C2" w:rsidRPr="00FE73DE" w:rsidRDefault="00B756C2" w:rsidP="00B756C2">
      <w:pPr>
        <w:sectPr w:rsidR="00B756C2" w:rsidRPr="00FE73DE" w:rsidSect="008819B7">
          <w:footerReference w:type="default" r:id="rId52"/>
          <w:pgSz w:w="11906" w:h="16838" w:code="9"/>
          <w:pgMar w:top="1843" w:right="1503" w:bottom="1135" w:left="1503" w:header="680" w:footer="567" w:gutter="0"/>
          <w:cols w:space="708"/>
          <w:docGrid w:linePitch="360"/>
        </w:sectPr>
      </w:pPr>
    </w:p>
    <w:p w14:paraId="2C0D0C86" w14:textId="678841A4" w:rsidR="00B756C2" w:rsidRPr="00FE73DE" w:rsidRDefault="00B756C2" w:rsidP="00B756C2">
      <w:pPr>
        <w:pStyle w:val="Caption"/>
        <w:keepNext/>
        <w:rPr>
          <w:szCs w:val="20"/>
        </w:rPr>
      </w:pPr>
      <w:bookmarkStart w:id="170" w:name="_Ref104926900"/>
      <w:r w:rsidRPr="00FE73DE">
        <w:rPr>
          <w:szCs w:val="20"/>
        </w:rPr>
        <w:t xml:space="preserve">Table </w:t>
      </w:r>
      <w:r w:rsidRPr="00FE73DE">
        <w:rPr>
          <w:szCs w:val="20"/>
        </w:rPr>
        <w:fldChar w:fldCharType="begin"/>
      </w:r>
      <w:r w:rsidRPr="00FE73DE">
        <w:rPr>
          <w:szCs w:val="20"/>
        </w:rPr>
        <w:instrText xml:space="preserve"> SEQ Table \* ARABIC </w:instrText>
      </w:r>
      <w:r w:rsidRPr="00FE73DE">
        <w:rPr>
          <w:szCs w:val="20"/>
        </w:rPr>
        <w:fldChar w:fldCharType="separate"/>
      </w:r>
      <w:r w:rsidR="004718C9">
        <w:rPr>
          <w:noProof/>
          <w:szCs w:val="20"/>
        </w:rPr>
        <w:t>15</w:t>
      </w:r>
      <w:r w:rsidRPr="00FE73DE">
        <w:rPr>
          <w:szCs w:val="20"/>
        </w:rPr>
        <w:fldChar w:fldCharType="end"/>
      </w:r>
      <w:bookmarkEnd w:id="170"/>
      <w:r w:rsidRPr="00FE73DE">
        <w:rPr>
          <w:szCs w:val="20"/>
        </w:rPr>
        <w:t>: Overview of government-supported financial products for indigenous businesses in Australia, Canada and the US</w:t>
      </w:r>
    </w:p>
    <w:tbl>
      <w:tblPr>
        <w:tblW w:w="0" w:type="auto"/>
        <w:tblBorders>
          <w:top w:val="single" w:sz="4" w:space="0" w:color="6B818C" w:themeColor="accent5"/>
          <w:left w:val="single" w:sz="4" w:space="0" w:color="6B818C" w:themeColor="accent5"/>
          <w:bottom w:val="single" w:sz="4" w:space="0" w:color="6B818C" w:themeColor="accent5"/>
          <w:right w:val="single" w:sz="4" w:space="0" w:color="6B818C" w:themeColor="accent5"/>
          <w:insideH w:val="single" w:sz="4" w:space="0" w:color="A5B3BA" w:themeColor="accent5" w:themeTint="99"/>
          <w:insideV w:val="single" w:sz="4" w:space="0" w:color="A5B3BA" w:themeColor="accent5" w:themeTint="99"/>
        </w:tblBorders>
        <w:tblCellMar>
          <w:left w:w="57" w:type="dxa"/>
          <w:right w:w="57" w:type="dxa"/>
        </w:tblCellMar>
        <w:tblLook w:val="04A0" w:firstRow="1" w:lastRow="0" w:firstColumn="1" w:lastColumn="0" w:noHBand="0" w:noVBand="1"/>
      </w:tblPr>
      <w:tblGrid>
        <w:gridCol w:w="768"/>
        <w:gridCol w:w="2904"/>
        <w:gridCol w:w="1561"/>
        <w:gridCol w:w="3448"/>
        <w:gridCol w:w="2268"/>
        <w:gridCol w:w="2901"/>
      </w:tblGrid>
      <w:tr w:rsidR="00B756C2" w:rsidRPr="00FE73DE" w14:paraId="008CC812" w14:textId="77777777" w:rsidTr="00102BEB">
        <w:trPr>
          <w:tblHeader/>
        </w:trPr>
        <w:tc>
          <w:tcPr>
            <w:tcW w:w="0" w:type="auto"/>
            <w:shd w:val="clear" w:color="auto" w:fill="6B818C" w:themeFill="accent5"/>
            <w:vAlign w:val="center"/>
          </w:tcPr>
          <w:p w14:paraId="0BA63F48" w14:textId="77777777" w:rsidR="00B756C2" w:rsidRPr="00FE73DE" w:rsidRDefault="00B756C2" w:rsidP="00102BEB">
            <w:pPr>
              <w:pStyle w:val="TableText"/>
              <w:rPr>
                <w:b/>
                <w:bCs/>
                <w:color w:val="FFFFFF" w:themeColor="background1"/>
              </w:rPr>
            </w:pPr>
            <w:r w:rsidRPr="00FE73DE">
              <w:rPr>
                <w:b/>
                <w:bCs/>
                <w:color w:val="FFFFFF" w:themeColor="background1"/>
              </w:rPr>
              <w:t>Country</w:t>
            </w:r>
          </w:p>
        </w:tc>
        <w:tc>
          <w:tcPr>
            <w:tcW w:w="0" w:type="auto"/>
            <w:shd w:val="clear" w:color="auto" w:fill="6B818C" w:themeFill="accent5"/>
            <w:vAlign w:val="center"/>
          </w:tcPr>
          <w:p w14:paraId="03D67564" w14:textId="77777777" w:rsidR="00B756C2" w:rsidRPr="00FE73DE" w:rsidRDefault="00B756C2" w:rsidP="00102BEB">
            <w:pPr>
              <w:pStyle w:val="TableText"/>
              <w:rPr>
                <w:b/>
                <w:bCs/>
                <w:color w:val="FFFFFF" w:themeColor="background1"/>
              </w:rPr>
            </w:pPr>
            <w:r w:rsidRPr="00FE73DE">
              <w:rPr>
                <w:b/>
                <w:bCs/>
                <w:color w:val="FFFFFF" w:themeColor="background1"/>
              </w:rPr>
              <w:t>Product</w:t>
            </w:r>
          </w:p>
        </w:tc>
        <w:tc>
          <w:tcPr>
            <w:tcW w:w="0" w:type="auto"/>
            <w:shd w:val="clear" w:color="auto" w:fill="6B818C" w:themeFill="accent5"/>
            <w:vAlign w:val="center"/>
          </w:tcPr>
          <w:p w14:paraId="556234B3" w14:textId="77777777" w:rsidR="00B756C2" w:rsidRPr="00FE73DE" w:rsidRDefault="00B756C2" w:rsidP="00102BEB">
            <w:pPr>
              <w:pStyle w:val="TableText"/>
              <w:rPr>
                <w:b/>
                <w:bCs/>
                <w:color w:val="FFFFFF" w:themeColor="background1"/>
              </w:rPr>
            </w:pPr>
            <w:r w:rsidRPr="00FE73DE">
              <w:rPr>
                <w:b/>
                <w:bCs/>
                <w:color w:val="FFFFFF" w:themeColor="background1"/>
              </w:rPr>
              <w:t>Delivery organisation</w:t>
            </w:r>
          </w:p>
        </w:tc>
        <w:tc>
          <w:tcPr>
            <w:tcW w:w="3448" w:type="dxa"/>
            <w:shd w:val="clear" w:color="auto" w:fill="6B818C" w:themeFill="accent5"/>
            <w:vAlign w:val="center"/>
          </w:tcPr>
          <w:p w14:paraId="338C99C9" w14:textId="77777777" w:rsidR="00B756C2" w:rsidRPr="00FE73DE" w:rsidRDefault="00B756C2" w:rsidP="00102BEB">
            <w:pPr>
              <w:pStyle w:val="TableText"/>
              <w:rPr>
                <w:b/>
                <w:bCs/>
                <w:color w:val="FFFFFF" w:themeColor="background1"/>
              </w:rPr>
            </w:pPr>
            <w:r w:rsidRPr="00FE73DE">
              <w:rPr>
                <w:b/>
                <w:bCs/>
                <w:color w:val="FFFFFF" w:themeColor="background1"/>
              </w:rPr>
              <w:t>Description</w:t>
            </w:r>
          </w:p>
        </w:tc>
        <w:tc>
          <w:tcPr>
            <w:tcW w:w="2268" w:type="dxa"/>
            <w:shd w:val="clear" w:color="auto" w:fill="6B818C" w:themeFill="accent5"/>
            <w:vAlign w:val="center"/>
          </w:tcPr>
          <w:p w14:paraId="33F476EE" w14:textId="77777777" w:rsidR="00B756C2" w:rsidRPr="00FE73DE" w:rsidRDefault="00B756C2" w:rsidP="00102BEB">
            <w:pPr>
              <w:pStyle w:val="TableText"/>
              <w:rPr>
                <w:b/>
                <w:bCs/>
                <w:color w:val="FFFFFF" w:themeColor="background1"/>
              </w:rPr>
            </w:pPr>
            <w:r w:rsidRPr="00FE73DE">
              <w:rPr>
                <w:b/>
                <w:bCs/>
                <w:color w:val="FFFFFF" w:themeColor="background1"/>
              </w:rPr>
              <w:t>Amount</w:t>
            </w:r>
          </w:p>
        </w:tc>
        <w:tc>
          <w:tcPr>
            <w:tcW w:w="2901" w:type="dxa"/>
            <w:shd w:val="clear" w:color="auto" w:fill="6B818C" w:themeFill="accent5"/>
            <w:vAlign w:val="center"/>
          </w:tcPr>
          <w:p w14:paraId="44836A2B" w14:textId="77777777" w:rsidR="00B756C2" w:rsidRPr="00FE73DE" w:rsidRDefault="00B756C2" w:rsidP="00102BEB">
            <w:pPr>
              <w:pStyle w:val="TableText"/>
              <w:rPr>
                <w:b/>
                <w:bCs/>
                <w:color w:val="FFFFFF" w:themeColor="background1"/>
              </w:rPr>
            </w:pPr>
            <w:r w:rsidRPr="00FE73DE">
              <w:rPr>
                <w:b/>
                <w:bCs/>
                <w:color w:val="FFFFFF" w:themeColor="background1"/>
              </w:rPr>
              <w:t>Permitted uses</w:t>
            </w:r>
          </w:p>
        </w:tc>
      </w:tr>
      <w:tr w:rsidR="00B756C2" w:rsidRPr="00FE73DE" w14:paraId="57D99CA5" w14:textId="77777777" w:rsidTr="00102BEB">
        <w:trPr>
          <w:cantSplit/>
          <w:trHeight w:val="35"/>
        </w:trPr>
        <w:tc>
          <w:tcPr>
            <w:tcW w:w="0" w:type="auto"/>
            <w:vMerge w:val="restart"/>
            <w:textDirection w:val="btLr"/>
            <w:vAlign w:val="center"/>
          </w:tcPr>
          <w:p w14:paraId="33E402DA" w14:textId="77777777" w:rsidR="00B756C2" w:rsidRPr="00FE73DE" w:rsidRDefault="00B756C2" w:rsidP="00102BEB">
            <w:pPr>
              <w:pStyle w:val="TableText"/>
              <w:jc w:val="center"/>
              <w:rPr>
                <w:szCs w:val="24"/>
              </w:rPr>
            </w:pPr>
            <w:r w:rsidRPr="00FE73DE">
              <w:rPr>
                <w:szCs w:val="24"/>
              </w:rPr>
              <w:t>AUSTRALIA</w:t>
            </w:r>
          </w:p>
        </w:tc>
        <w:tc>
          <w:tcPr>
            <w:tcW w:w="0" w:type="auto"/>
            <w:vAlign w:val="center"/>
          </w:tcPr>
          <w:p w14:paraId="4D4E3465" w14:textId="77777777" w:rsidR="00B756C2" w:rsidRPr="00FE73DE" w:rsidRDefault="00B756C2" w:rsidP="00102BEB">
            <w:pPr>
              <w:pStyle w:val="TableText"/>
            </w:pPr>
            <w:r w:rsidRPr="00FE73DE">
              <w:t xml:space="preserve">Business loan package </w:t>
            </w:r>
          </w:p>
        </w:tc>
        <w:tc>
          <w:tcPr>
            <w:tcW w:w="0" w:type="auto"/>
            <w:vAlign w:val="center"/>
          </w:tcPr>
          <w:p w14:paraId="4C3CEBCF" w14:textId="77777777" w:rsidR="00B756C2" w:rsidRPr="00FE73DE" w:rsidRDefault="00B756C2" w:rsidP="00102BEB">
            <w:pPr>
              <w:pStyle w:val="TableText"/>
            </w:pPr>
            <w:r w:rsidRPr="00FE73DE">
              <w:t>IBA</w:t>
            </w:r>
          </w:p>
        </w:tc>
        <w:tc>
          <w:tcPr>
            <w:tcW w:w="3448" w:type="dxa"/>
            <w:vAlign w:val="center"/>
          </w:tcPr>
          <w:p w14:paraId="582F2F93" w14:textId="77777777" w:rsidR="00B756C2" w:rsidRPr="00FE73DE" w:rsidRDefault="00B756C2" w:rsidP="00102BEB">
            <w:pPr>
              <w:pStyle w:val="TableText"/>
            </w:pPr>
            <w:r w:rsidRPr="00FE73DE">
              <w:t>Standard loans for new or existing businesses.</w:t>
            </w:r>
          </w:p>
        </w:tc>
        <w:tc>
          <w:tcPr>
            <w:tcW w:w="2268" w:type="dxa"/>
            <w:vAlign w:val="center"/>
          </w:tcPr>
          <w:p w14:paraId="25411044" w14:textId="77777777" w:rsidR="00B756C2" w:rsidRPr="00FE73DE" w:rsidRDefault="00B756C2" w:rsidP="00102BEB">
            <w:pPr>
              <w:pStyle w:val="TableText"/>
            </w:pPr>
            <w:r w:rsidRPr="00FE73DE">
              <w:t>A$10,000 – A$5m</w:t>
            </w:r>
          </w:p>
        </w:tc>
        <w:tc>
          <w:tcPr>
            <w:tcW w:w="2901" w:type="dxa"/>
            <w:vAlign w:val="center"/>
          </w:tcPr>
          <w:p w14:paraId="4C19CFD4" w14:textId="77777777" w:rsidR="00B756C2" w:rsidRPr="00FE73DE" w:rsidRDefault="00B756C2">
            <w:pPr>
              <w:pStyle w:val="TableText"/>
              <w:numPr>
                <w:ilvl w:val="0"/>
                <w:numId w:val="19"/>
              </w:numPr>
              <w:ind w:left="264"/>
            </w:pPr>
            <w:r w:rsidRPr="00FE73DE">
              <w:t>Working capital requirements</w:t>
            </w:r>
          </w:p>
          <w:p w14:paraId="1546CAAA" w14:textId="77777777" w:rsidR="00B756C2" w:rsidRPr="00FE73DE" w:rsidRDefault="00B756C2">
            <w:pPr>
              <w:pStyle w:val="TableText"/>
              <w:numPr>
                <w:ilvl w:val="0"/>
                <w:numId w:val="19"/>
              </w:numPr>
              <w:ind w:left="264"/>
            </w:pPr>
            <w:r w:rsidRPr="00FE73DE">
              <w:t>Purchase of existing businesses, plant and equipment, and other commercial assets</w:t>
            </w:r>
          </w:p>
        </w:tc>
      </w:tr>
      <w:tr w:rsidR="00B756C2" w:rsidRPr="00FE73DE" w14:paraId="67F25A90" w14:textId="77777777" w:rsidTr="00102BEB">
        <w:trPr>
          <w:cantSplit/>
          <w:trHeight w:val="1134"/>
        </w:trPr>
        <w:tc>
          <w:tcPr>
            <w:tcW w:w="0" w:type="auto"/>
            <w:vMerge/>
            <w:textDirection w:val="btLr"/>
            <w:vAlign w:val="center"/>
          </w:tcPr>
          <w:p w14:paraId="525B4B52" w14:textId="77777777" w:rsidR="00B756C2" w:rsidRPr="00FE73DE" w:rsidRDefault="00B756C2" w:rsidP="00102BEB">
            <w:pPr>
              <w:pStyle w:val="TableText"/>
              <w:rPr>
                <w:szCs w:val="24"/>
              </w:rPr>
            </w:pPr>
          </w:p>
        </w:tc>
        <w:tc>
          <w:tcPr>
            <w:tcW w:w="0" w:type="auto"/>
            <w:vAlign w:val="center"/>
          </w:tcPr>
          <w:p w14:paraId="1365596A" w14:textId="77777777" w:rsidR="00B756C2" w:rsidRPr="00FE73DE" w:rsidRDefault="00B756C2" w:rsidP="00102BEB">
            <w:pPr>
              <w:pStyle w:val="TableText"/>
            </w:pPr>
            <w:r w:rsidRPr="00FE73DE">
              <w:t>Start-up finance package</w:t>
            </w:r>
          </w:p>
        </w:tc>
        <w:tc>
          <w:tcPr>
            <w:tcW w:w="0" w:type="auto"/>
            <w:vAlign w:val="center"/>
          </w:tcPr>
          <w:p w14:paraId="3223FC12" w14:textId="77777777" w:rsidR="00B756C2" w:rsidRPr="00FE73DE" w:rsidRDefault="00B756C2" w:rsidP="00102BEB">
            <w:pPr>
              <w:pStyle w:val="TableText"/>
            </w:pPr>
            <w:r w:rsidRPr="00FE73DE">
              <w:t>IBA</w:t>
            </w:r>
          </w:p>
        </w:tc>
        <w:tc>
          <w:tcPr>
            <w:tcW w:w="3448" w:type="dxa"/>
            <w:vAlign w:val="center"/>
          </w:tcPr>
          <w:p w14:paraId="2989F9BC" w14:textId="77777777" w:rsidR="00B756C2" w:rsidRPr="00FE73DE" w:rsidRDefault="00B756C2" w:rsidP="00102BEB">
            <w:pPr>
              <w:pStyle w:val="TableText"/>
            </w:pPr>
            <w:r w:rsidRPr="00FE73DE">
              <w:t xml:space="preserve">Provides up to 30% of a new business loan as a grant. </w:t>
            </w:r>
          </w:p>
        </w:tc>
        <w:tc>
          <w:tcPr>
            <w:tcW w:w="2268" w:type="dxa"/>
            <w:vAlign w:val="center"/>
          </w:tcPr>
          <w:p w14:paraId="2D3E67CE" w14:textId="77777777" w:rsidR="00B756C2" w:rsidRPr="00FE73DE" w:rsidRDefault="00B756C2" w:rsidP="00102BEB">
            <w:pPr>
              <w:pStyle w:val="TableText"/>
            </w:pPr>
            <w:r w:rsidRPr="00FE73DE">
              <w:t>Up to A$100,000</w:t>
            </w:r>
          </w:p>
        </w:tc>
        <w:tc>
          <w:tcPr>
            <w:tcW w:w="2901" w:type="dxa"/>
            <w:vAlign w:val="center"/>
          </w:tcPr>
          <w:p w14:paraId="4E2120C1" w14:textId="77777777" w:rsidR="00B756C2" w:rsidRPr="00FE73DE" w:rsidRDefault="00B756C2">
            <w:pPr>
              <w:pStyle w:val="TableText"/>
              <w:numPr>
                <w:ilvl w:val="0"/>
                <w:numId w:val="19"/>
              </w:numPr>
              <w:ind w:left="264"/>
            </w:pPr>
            <w:r w:rsidRPr="00FE73DE">
              <w:t>Purchase of business assets</w:t>
            </w:r>
          </w:p>
        </w:tc>
      </w:tr>
      <w:tr w:rsidR="00B756C2" w:rsidRPr="00FE73DE" w14:paraId="2AFA2A1D" w14:textId="77777777" w:rsidTr="00102BEB">
        <w:trPr>
          <w:cantSplit/>
          <w:trHeight w:val="65"/>
        </w:trPr>
        <w:tc>
          <w:tcPr>
            <w:tcW w:w="0" w:type="auto"/>
            <w:vMerge/>
            <w:textDirection w:val="btLr"/>
            <w:vAlign w:val="center"/>
          </w:tcPr>
          <w:p w14:paraId="578926F8" w14:textId="77777777" w:rsidR="00B756C2" w:rsidRPr="00FE73DE" w:rsidRDefault="00B756C2" w:rsidP="00102BEB">
            <w:pPr>
              <w:pStyle w:val="TableText"/>
              <w:rPr>
                <w:szCs w:val="24"/>
              </w:rPr>
            </w:pPr>
          </w:p>
        </w:tc>
        <w:tc>
          <w:tcPr>
            <w:tcW w:w="0" w:type="auto"/>
            <w:vAlign w:val="center"/>
          </w:tcPr>
          <w:p w14:paraId="43A8DE12" w14:textId="77777777" w:rsidR="00B756C2" w:rsidRPr="00FE73DE" w:rsidRDefault="00B756C2" w:rsidP="00102BEB">
            <w:pPr>
              <w:pStyle w:val="TableText"/>
            </w:pPr>
            <w:r w:rsidRPr="00FE73DE">
              <w:t>Producer offset loan</w:t>
            </w:r>
          </w:p>
        </w:tc>
        <w:tc>
          <w:tcPr>
            <w:tcW w:w="0" w:type="auto"/>
            <w:vAlign w:val="center"/>
          </w:tcPr>
          <w:p w14:paraId="405C3A8C" w14:textId="77777777" w:rsidR="00B756C2" w:rsidRPr="00FE73DE" w:rsidRDefault="00B756C2" w:rsidP="00102BEB">
            <w:pPr>
              <w:pStyle w:val="TableText"/>
            </w:pPr>
            <w:r w:rsidRPr="00FE73DE">
              <w:t>IBA</w:t>
            </w:r>
          </w:p>
        </w:tc>
        <w:tc>
          <w:tcPr>
            <w:tcW w:w="3448" w:type="dxa"/>
            <w:vAlign w:val="center"/>
          </w:tcPr>
          <w:p w14:paraId="2D3ED6D1" w14:textId="77777777" w:rsidR="00B756C2" w:rsidRPr="00FE73DE" w:rsidRDefault="00B756C2" w:rsidP="00102BEB">
            <w:pPr>
              <w:pStyle w:val="TableText"/>
            </w:pPr>
            <w:r w:rsidRPr="00FE73DE">
              <w:t>Provides loans to Indigenous-owned production companies.</w:t>
            </w:r>
          </w:p>
        </w:tc>
        <w:tc>
          <w:tcPr>
            <w:tcW w:w="2268" w:type="dxa"/>
            <w:vAlign w:val="center"/>
          </w:tcPr>
          <w:p w14:paraId="5EC3CE1D" w14:textId="77777777" w:rsidR="00B756C2" w:rsidRPr="00FE73DE" w:rsidRDefault="00B756C2" w:rsidP="00102BEB">
            <w:pPr>
              <w:pStyle w:val="TableText"/>
            </w:pPr>
            <w:r w:rsidRPr="00FE73DE">
              <w:t>A$100,000 – A$2m</w:t>
            </w:r>
          </w:p>
        </w:tc>
        <w:tc>
          <w:tcPr>
            <w:tcW w:w="2901" w:type="dxa"/>
            <w:vAlign w:val="center"/>
          </w:tcPr>
          <w:p w14:paraId="18C72599" w14:textId="77777777" w:rsidR="00B756C2" w:rsidRPr="00FE73DE" w:rsidRDefault="00B756C2">
            <w:pPr>
              <w:pStyle w:val="TableText"/>
              <w:numPr>
                <w:ilvl w:val="0"/>
                <w:numId w:val="19"/>
              </w:numPr>
              <w:ind w:left="264"/>
            </w:pPr>
            <w:r w:rsidRPr="00FE73DE">
              <w:t>Financing for documentary, film or television projects</w:t>
            </w:r>
          </w:p>
        </w:tc>
      </w:tr>
      <w:tr w:rsidR="00B756C2" w:rsidRPr="00FE73DE" w14:paraId="192E1DF5" w14:textId="77777777" w:rsidTr="00102BEB">
        <w:trPr>
          <w:cantSplit/>
          <w:trHeight w:val="1134"/>
        </w:trPr>
        <w:tc>
          <w:tcPr>
            <w:tcW w:w="0" w:type="auto"/>
            <w:vMerge/>
            <w:textDirection w:val="btLr"/>
            <w:vAlign w:val="center"/>
          </w:tcPr>
          <w:p w14:paraId="5A2E519B" w14:textId="77777777" w:rsidR="00B756C2" w:rsidRPr="00FE73DE" w:rsidRDefault="00B756C2" w:rsidP="00102BEB">
            <w:pPr>
              <w:pStyle w:val="TableText"/>
              <w:rPr>
                <w:szCs w:val="24"/>
              </w:rPr>
            </w:pPr>
          </w:p>
        </w:tc>
        <w:tc>
          <w:tcPr>
            <w:tcW w:w="0" w:type="auto"/>
            <w:vAlign w:val="center"/>
          </w:tcPr>
          <w:p w14:paraId="3DFD948E" w14:textId="77777777" w:rsidR="00B756C2" w:rsidRPr="00FE73DE" w:rsidRDefault="00B756C2" w:rsidP="00102BEB">
            <w:pPr>
              <w:pStyle w:val="TableText"/>
            </w:pPr>
            <w:r w:rsidRPr="00FE73DE">
              <w:t>Procurement loan</w:t>
            </w:r>
          </w:p>
        </w:tc>
        <w:tc>
          <w:tcPr>
            <w:tcW w:w="0" w:type="auto"/>
            <w:vAlign w:val="center"/>
          </w:tcPr>
          <w:p w14:paraId="4438DEFB" w14:textId="77777777" w:rsidR="00B756C2" w:rsidRPr="00FE73DE" w:rsidRDefault="00B756C2" w:rsidP="00102BEB">
            <w:pPr>
              <w:pStyle w:val="TableText"/>
            </w:pPr>
            <w:r w:rsidRPr="00FE73DE">
              <w:t>IBA</w:t>
            </w:r>
          </w:p>
        </w:tc>
        <w:tc>
          <w:tcPr>
            <w:tcW w:w="3448" w:type="dxa"/>
            <w:vAlign w:val="center"/>
          </w:tcPr>
          <w:p w14:paraId="54CF2364" w14:textId="77777777" w:rsidR="00B756C2" w:rsidRPr="00FE73DE" w:rsidRDefault="00B756C2" w:rsidP="00102BEB">
            <w:pPr>
              <w:pStyle w:val="TableText"/>
            </w:pPr>
            <w:r w:rsidRPr="00FE73DE">
              <w:t>For businesses awarded a contract through the Indigenous Procurement Policy (or other government programs).</w:t>
            </w:r>
          </w:p>
        </w:tc>
        <w:tc>
          <w:tcPr>
            <w:tcW w:w="2268" w:type="dxa"/>
            <w:vAlign w:val="center"/>
          </w:tcPr>
          <w:p w14:paraId="298D95DC" w14:textId="77777777" w:rsidR="00B756C2" w:rsidRPr="00FE73DE" w:rsidRDefault="00B756C2" w:rsidP="00102BEB">
            <w:pPr>
              <w:pStyle w:val="TableText"/>
            </w:pPr>
            <w:r w:rsidRPr="00FE73DE">
              <w:t>Up to A$100,000</w:t>
            </w:r>
          </w:p>
        </w:tc>
        <w:tc>
          <w:tcPr>
            <w:tcW w:w="2901" w:type="dxa"/>
            <w:vAlign w:val="center"/>
          </w:tcPr>
          <w:p w14:paraId="37BAED4B" w14:textId="77777777" w:rsidR="00B756C2" w:rsidRPr="00FE73DE" w:rsidRDefault="00B756C2">
            <w:pPr>
              <w:pStyle w:val="TableText"/>
              <w:numPr>
                <w:ilvl w:val="0"/>
                <w:numId w:val="19"/>
              </w:numPr>
              <w:ind w:left="264"/>
            </w:pPr>
            <w:r w:rsidRPr="00FE73DE">
              <w:t>Payment of upfront contract costs</w:t>
            </w:r>
          </w:p>
        </w:tc>
      </w:tr>
      <w:tr w:rsidR="00B756C2" w:rsidRPr="00FE73DE" w14:paraId="3605DBB6" w14:textId="77777777" w:rsidTr="00102BEB">
        <w:trPr>
          <w:cantSplit/>
          <w:trHeight w:val="1134"/>
        </w:trPr>
        <w:tc>
          <w:tcPr>
            <w:tcW w:w="0" w:type="auto"/>
            <w:vMerge/>
            <w:textDirection w:val="btLr"/>
            <w:vAlign w:val="center"/>
          </w:tcPr>
          <w:p w14:paraId="193FECF7" w14:textId="77777777" w:rsidR="00B756C2" w:rsidRPr="00FE73DE" w:rsidRDefault="00B756C2" w:rsidP="00102BEB">
            <w:pPr>
              <w:pStyle w:val="TableText"/>
              <w:rPr>
                <w:szCs w:val="24"/>
              </w:rPr>
            </w:pPr>
          </w:p>
        </w:tc>
        <w:tc>
          <w:tcPr>
            <w:tcW w:w="0" w:type="auto"/>
            <w:vAlign w:val="center"/>
          </w:tcPr>
          <w:p w14:paraId="4472729B" w14:textId="77777777" w:rsidR="00B756C2" w:rsidRPr="00FE73DE" w:rsidRDefault="00B756C2" w:rsidP="00102BEB">
            <w:pPr>
              <w:pStyle w:val="TableText"/>
            </w:pPr>
            <w:r w:rsidRPr="00FE73DE">
              <w:t>Asset leasing</w:t>
            </w:r>
          </w:p>
        </w:tc>
        <w:tc>
          <w:tcPr>
            <w:tcW w:w="0" w:type="auto"/>
            <w:vAlign w:val="center"/>
          </w:tcPr>
          <w:p w14:paraId="75A38AF5" w14:textId="77777777" w:rsidR="00B756C2" w:rsidRPr="00FE73DE" w:rsidRDefault="00B756C2" w:rsidP="00102BEB">
            <w:pPr>
              <w:pStyle w:val="TableText"/>
            </w:pPr>
            <w:r w:rsidRPr="00FE73DE">
              <w:t>IBA</w:t>
            </w:r>
          </w:p>
        </w:tc>
        <w:tc>
          <w:tcPr>
            <w:tcW w:w="3448" w:type="dxa"/>
            <w:vAlign w:val="center"/>
          </w:tcPr>
          <w:p w14:paraId="1E16D35D" w14:textId="77777777" w:rsidR="00B756C2" w:rsidRPr="00FE73DE" w:rsidRDefault="00B756C2" w:rsidP="00102BEB">
            <w:pPr>
              <w:pStyle w:val="TableText"/>
            </w:pPr>
            <w:r w:rsidRPr="00FE73DE">
              <w:t xml:space="preserve">Provides operating leases, finance leases or chattel mortgages. </w:t>
            </w:r>
          </w:p>
        </w:tc>
        <w:tc>
          <w:tcPr>
            <w:tcW w:w="2268" w:type="dxa"/>
            <w:vAlign w:val="center"/>
          </w:tcPr>
          <w:p w14:paraId="6CB76216" w14:textId="77777777" w:rsidR="00B756C2" w:rsidRPr="00FE73DE" w:rsidRDefault="00B756C2" w:rsidP="00102BEB">
            <w:pPr>
              <w:pStyle w:val="TableText"/>
            </w:pPr>
            <w:r w:rsidRPr="00FE73DE">
              <w:t>A$5,000 – A$750,000</w:t>
            </w:r>
          </w:p>
        </w:tc>
        <w:tc>
          <w:tcPr>
            <w:tcW w:w="2901" w:type="dxa"/>
            <w:vAlign w:val="center"/>
          </w:tcPr>
          <w:p w14:paraId="523AD4E3" w14:textId="77777777" w:rsidR="00B756C2" w:rsidRPr="00FE73DE" w:rsidRDefault="00B756C2">
            <w:pPr>
              <w:pStyle w:val="TableText"/>
              <w:numPr>
                <w:ilvl w:val="0"/>
                <w:numId w:val="19"/>
              </w:numPr>
              <w:ind w:left="264"/>
            </w:pPr>
            <w:r w:rsidRPr="00FE73DE">
              <w:t>Purchase assets including vehicles, plant and equipment</w:t>
            </w:r>
          </w:p>
        </w:tc>
      </w:tr>
      <w:tr w:rsidR="00B756C2" w:rsidRPr="00FE73DE" w14:paraId="70DE5EA5" w14:textId="77777777" w:rsidTr="00102BEB">
        <w:trPr>
          <w:cantSplit/>
          <w:trHeight w:val="1134"/>
        </w:trPr>
        <w:tc>
          <w:tcPr>
            <w:tcW w:w="0" w:type="auto"/>
            <w:vMerge/>
            <w:textDirection w:val="btLr"/>
            <w:vAlign w:val="center"/>
          </w:tcPr>
          <w:p w14:paraId="19CAA764" w14:textId="77777777" w:rsidR="00B756C2" w:rsidRPr="00FE73DE" w:rsidRDefault="00B756C2" w:rsidP="00102BEB">
            <w:pPr>
              <w:pStyle w:val="TableText"/>
              <w:rPr>
                <w:szCs w:val="24"/>
              </w:rPr>
            </w:pPr>
          </w:p>
        </w:tc>
        <w:tc>
          <w:tcPr>
            <w:tcW w:w="0" w:type="auto"/>
            <w:vAlign w:val="center"/>
          </w:tcPr>
          <w:p w14:paraId="0E846BBE" w14:textId="77777777" w:rsidR="00B756C2" w:rsidRPr="00FE73DE" w:rsidRDefault="00B756C2" w:rsidP="00102BEB">
            <w:pPr>
              <w:pStyle w:val="TableText"/>
            </w:pPr>
            <w:r w:rsidRPr="00FE73DE">
              <w:t>Invoice financing</w:t>
            </w:r>
          </w:p>
        </w:tc>
        <w:tc>
          <w:tcPr>
            <w:tcW w:w="0" w:type="auto"/>
            <w:vAlign w:val="center"/>
          </w:tcPr>
          <w:p w14:paraId="09260549" w14:textId="77777777" w:rsidR="00B756C2" w:rsidRPr="00FE73DE" w:rsidRDefault="00B756C2" w:rsidP="00102BEB">
            <w:pPr>
              <w:pStyle w:val="TableText"/>
            </w:pPr>
            <w:r w:rsidRPr="00FE73DE">
              <w:t>IBA</w:t>
            </w:r>
          </w:p>
        </w:tc>
        <w:tc>
          <w:tcPr>
            <w:tcW w:w="3448" w:type="dxa"/>
            <w:vAlign w:val="center"/>
          </w:tcPr>
          <w:p w14:paraId="12A569E9" w14:textId="77777777" w:rsidR="00B756C2" w:rsidRPr="00FE73DE" w:rsidRDefault="00B756C2" w:rsidP="00102BEB">
            <w:pPr>
              <w:pStyle w:val="TableText"/>
            </w:pPr>
            <w:r w:rsidRPr="00FE73DE">
              <w:t>Provides businesses with cash flow based on the value of credit sales or major contracts.</w:t>
            </w:r>
          </w:p>
        </w:tc>
        <w:tc>
          <w:tcPr>
            <w:tcW w:w="2268" w:type="dxa"/>
            <w:vAlign w:val="center"/>
          </w:tcPr>
          <w:p w14:paraId="6EDCBF72" w14:textId="77777777" w:rsidR="00B756C2" w:rsidRPr="00FE73DE" w:rsidRDefault="00B756C2" w:rsidP="00102BEB">
            <w:pPr>
              <w:pStyle w:val="TableText"/>
            </w:pPr>
            <w:r w:rsidRPr="00FE73DE">
              <w:t>Variable</w:t>
            </w:r>
          </w:p>
        </w:tc>
        <w:tc>
          <w:tcPr>
            <w:tcW w:w="2901" w:type="dxa"/>
            <w:vAlign w:val="center"/>
          </w:tcPr>
          <w:p w14:paraId="25A97446" w14:textId="77777777" w:rsidR="00B756C2" w:rsidRPr="00FE73DE" w:rsidRDefault="00B756C2" w:rsidP="00102BEB">
            <w:pPr>
              <w:pStyle w:val="TableText"/>
            </w:pPr>
            <w:r w:rsidRPr="00FE73DE">
              <w:t>NA</w:t>
            </w:r>
          </w:p>
        </w:tc>
      </w:tr>
      <w:tr w:rsidR="00B756C2" w:rsidRPr="00FE73DE" w14:paraId="78EF2CD8" w14:textId="77777777" w:rsidTr="00102BEB">
        <w:trPr>
          <w:cantSplit/>
          <w:trHeight w:val="1134"/>
        </w:trPr>
        <w:tc>
          <w:tcPr>
            <w:tcW w:w="0" w:type="auto"/>
            <w:vMerge/>
            <w:textDirection w:val="btLr"/>
            <w:vAlign w:val="center"/>
          </w:tcPr>
          <w:p w14:paraId="1DE1C925" w14:textId="77777777" w:rsidR="00B756C2" w:rsidRPr="00FE73DE" w:rsidRDefault="00B756C2" w:rsidP="00102BEB">
            <w:pPr>
              <w:pStyle w:val="TableText"/>
              <w:rPr>
                <w:szCs w:val="24"/>
              </w:rPr>
            </w:pPr>
          </w:p>
        </w:tc>
        <w:tc>
          <w:tcPr>
            <w:tcW w:w="0" w:type="auto"/>
            <w:vAlign w:val="center"/>
          </w:tcPr>
          <w:p w14:paraId="79EE44D0" w14:textId="77777777" w:rsidR="00B756C2" w:rsidRPr="00FE73DE" w:rsidRDefault="00B756C2" w:rsidP="00102BEB">
            <w:pPr>
              <w:pStyle w:val="TableText"/>
            </w:pPr>
            <w:r w:rsidRPr="00FE73DE">
              <w:t>Performance bonds</w:t>
            </w:r>
          </w:p>
        </w:tc>
        <w:tc>
          <w:tcPr>
            <w:tcW w:w="0" w:type="auto"/>
            <w:vAlign w:val="center"/>
          </w:tcPr>
          <w:p w14:paraId="44D2DE7E" w14:textId="77777777" w:rsidR="00B756C2" w:rsidRPr="00FE73DE" w:rsidRDefault="00B756C2" w:rsidP="00102BEB">
            <w:pPr>
              <w:pStyle w:val="TableText"/>
            </w:pPr>
            <w:r w:rsidRPr="00FE73DE">
              <w:t>IBA</w:t>
            </w:r>
          </w:p>
        </w:tc>
        <w:tc>
          <w:tcPr>
            <w:tcW w:w="3448" w:type="dxa"/>
            <w:vAlign w:val="center"/>
          </w:tcPr>
          <w:p w14:paraId="68AE5639" w14:textId="77777777" w:rsidR="00B756C2" w:rsidRPr="00FE73DE" w:rsidRDefault="00B756C2" w:rsidP="00102BEB">
            <w:pPr>
              <w:pStyle w:val="TableText"/>
            </w:pPr>
            <w:r w:rsidRPr="00FE73DE">
              <w:t>IBA issues bonds to buyer or provides cash security to a bank to serve as assurance that if business fails to meet its obligations the bond can be used to reduce the buyer’s losses.</w:t>
            </w:r>
          </w:p>
        </w:tc>
        <w:tc>
          <w:tcPr>
            <w:tcW w:w="2268" w:type="dxa"/>
            <w:vAlign w:val="center"/>
          </w:tcPr>
          <w:p w14:paraId="032EA95E" w14:textId="77777777" w:rsidR="00B756C2" w:rsidRPr="00FE73DE" w:rsidRDefault="00B756C2" w:rsidP="00102BEB">
            <w:pPr>
              <w:pStyle w:val="TableText"/>
            </w:pPr>
            <w:r w:rsidRPr="00FE73DE">
              <w:t>Variable</w:t>
            </w:r>
          </w:p>
        </w:tc>
        <w:tc>
          <w:tcPr>
            <w:tcW w:w="2901" w:type="dxa"/>
            <w:vAlign w:val="center"/>
          </w:tcPr>
          <w:p w14:paraId="30243AC4" w14:textId="77777777" w:rsidR="00B756C2" w:rsidRPr="00FE73DE" w:rsidRDefault="00B756C2" w:rsidP="00102BEB">
            <w:pPr>
              <w:pStyle w:val="TableText"/>
            </w:pPr>
            <w:r w:rsidRPr="00FE73DE">
              <w:t>NA</w:t>
            </w:r>
          </w:p>
        </w:tc>
      </w:tr>
      <w:tr w:rsidR="00B756C2" w:rsidRPr="00FE73DE" w14:paraId="673B7787" w14:textId="77777777" w:rsidTr="00102BEB">
        <w:trPr>
          <w:cantSplit/>
          <w:trHeight w:val="1134"/>
        </w:trPr>
        <w:tc>
          <w:tcPr>
            <w:tcW w:w="0" w:type="auto"/>
            <w:vMerge/>
            <w:textDirection w:val="btLr"/>
            <w:vAlign w:val="center"/>
          </w:tcPr>
          <w:p w14:paraId="0A9861CB" w14:textId="77777777" w:rsidR="00B756C2" w:rsidRPr="00FE73DE" w:rsidRDefault="00B756C2" w:rsidP="00102BEB">
            <w:pPr>
              <w:pStyle w:val="TableText"/>
              <w:rPr>
                <w:szCs w:val="24"/>
              </w:rPr>
            </w:pPr>
          </w:p>
        </w:tc>
        <w:tc>
          <w:tcPr>
            <w:tcW w:w="0" w:type="auto"/>
            <w:vAlign w:val="center"/>
          </w:tcPr>
          <w:p w14:paraId="12EC5E06" w14:textId="77777777" w:rsidR="00B756C2" w:rsidRPr="00FE73DE" w:rsidRDefault="00B756C2" w:rsidP="00102BEB">
            <w:pPr>
              <w:pStyle w:val="TableText"/>
            </w:pPr>
            <w:r w:rsidRPr="00FE73DE">
              <w:t>Small business support</w:t>
            </w:r>
          </w:p>
        </w:tc>
        <w:tc>
          <w:tcPr>
            <w:tcW w:w="0" w:type="auto"/>
            <w:vAlign w:val="center"/>
          </w:tcPr>
          <w:p w14:paraId="10DFC547" w14:textId="77777777" w:rsidR="00B756C2" w:rsidRPr="00FE73DE" w:rsidRDefault="00B756C2" w:rsidP="00102BEB">
            <w:pPr>
              <w:pStyle w:val="TableText"/>
            </w:pPr>
            <w:r w:rsidRPr="00FE73DE">
              <w:t>Many Rivers</w:t>
            </w:r>
          </w:p>
        </w:tc>
        <w:tc>
          <w:tcPr>
            <w:tcW w:w="3448" w:type="dxa"/>
            <w:vAlign w:val="center"/>
          </w:tcPr>
          <w:p w14:paraId="739FF800" w14:textId="77777777" w:rsidR="00B756C2" w:rsidRPr="00FE73DE" w:rsidRDefault="00B756C2" w:rsidP="00102BEB">
            <w:pPr>
              <w:pStyle w:val="TableText"/>
            </w:pPr>
            <w:r w:rsidRPr="00FE73DE">
              <w:t>Access to microfinance loans to help get the business started.</w:t>
            </w:r>
          </w:p>
        </w:tc>
        <w:tc>
          <w:tcPr>
            <w:tcW w:w="2268" w:type="dxa"/>
            <w:vAlign w:val="center"/>
          </w:tcPr>
          <w:p w14:paraId="5AFA1594" w14:textId="77777777" w:rsidR="00B756C2" w:rsidRPr="00FE73DE" w:rsidRDefault="00B756C2" w:rsidP="00102BEB">
            <w:pPr>
              <w:pStyle w:val="TableText"/>
            </w:pPr>
            <w:r w:rsidRPr="00FE73DE">
              <w:t>Variable</w:t>
            </w:r>
          </w:p>
        </w:tc>
        <w:tc>
          <w:tcPr>
            <w:tcW w:w="2901" w:type="dxa"/>
            <w:vAlign w:val="center"/>
          </w:tcPr>
          <w:p w14:paraId="471AB917" w14:textId="77777777" w:rsidR="00B756C2" w:rsidRPr="00FE73DE" w:rsidRDefault="00B756C2">
            <w:pPr>
              <w:pStyle w:val="TableText"/>
              <w:numPr>
                <w:ilvl w:val="0"/>
                <w:numId w:val="20"/>
              </w:numPr>
              <w:ind w:left="264"/>
            </w:pPr>
            <w:r w:rsidRPr="00FE73DE">
              <w:t>Start-up costs</w:t>
            </w:r>
          </w:p>
        </w:tc>
      </w:tr>
      <w:tr w:rsidR="00B756C2" w:rsidRPr="00FE73DE" w14:paraId="712D7E44" w14:textId="77777777" w:rsidTr="00102BEB">
        <w:trPr>
          <w:cantSplit/>
          <w:trHeight w:val="1134"/>
        </w:trPr>
        <w:tc>
          <w:tcPr>
            <w:tcW w:w="0" w:type="auto"/>
            <w:vMerge w:val="restart"/>
            <w:shd w:val="clear" w:color="auto" w:fill="F2F2F2" w:themeFill="background1" w:themeFillShade="F2"/>
            <w:textDirection w:val="btLr"/>
            <w:vAlign w:val="center"/>
          </w:tcPr>
          <w:p w14:paraId="6F655D84" w14:textId="77777777" w:rsidR="00B756C2" w:rsidRPr="00FE73DE" w:rsidRDefault="00B756C2" w:rsidP="00102BEB">
            <w:pPr>
              <w:pStyle w:val="TableText"/>
              <w:jc w:val="center"/>
              <w:rPr>
                <w:szCs w:val="24"/>
              </w:rPr>
            </w:pPr>
            <w:r w:rsidRPr="00FE73DE">
              <w:rPr>
                <w:szCs w:val="24"/>
              </w:rPr>
              <w:t>CANADA</w:t>
            </w:r>
          </w:p>
        </w:tc>
        <w:tc>
          <w:tcPr>
            <w:tcW w:w="0" w:type="auto"/>
            <w:shd w:val="clear" w:color="auto" w:fill="F2F2F2" w:themeFill="background1" w:themeFillShade="F2"/>
            <w:vAlign w:val="center"/>
          </w:tcPr>
          <w:p w14:paraId="1EC18B3D" w14:textId="77777777" w:rsidR="00B756C2" w:rsidRPr="00FE73DE" w:rsidRDefault="00B756C2" w:rsidP="00102BEB">
            <w:pPr>
              <w:pStyle w:val="TableText"/>
            </w:pPr>
            <w:r w:rsidRPr="00FE73DE">
              <w:t>Indigenous Entrepreneur Loan</w:t>
            </w:r>
          </w:p>
        </w:tc>
        <w:tc>
          <w:tcPr>
            <w:tcW w:w="0" w:type="auto"/>
            <w:shd w:val="clear" w:color="auto" w:fill="F2F2F2" w:themeFill="background1" w:themeFillShade="F2"/>
            <w:vAlign w:val="center"/>
          </w:tcPr>
          <w:p w14:paraId="0207676D" w14:textId="77777777" w:rsidR="00B756C2" w:rsidRPr="00FE73DE" w:rsidRDefault="00B756C2" w:rsidP="00102BEB">
            <w:pPr>
              <w:pStyle w:val="TableText"/>
            </w:pPr>
            <w:r w:rsidRPr="00FE73DE">
              <w:t xml:space="preserve">Business Development </w:t>
            </w:r>
            <w:r w:rsidRPr="00FE73DE">
              <w:br/>
              <w:t>Bank of Canada (BDC)</w:t>
            </w:r>
          </w:p>
        </w:tc>
        <w:tc>
          <w:tcPr>
            <w:tcW w:w="3448" w:type="dxa"/>
            <w:shd w:val="clear" w:color="auto" w:fill="F2F2F2" w:themeFill="background1" w:themeFillShade="F2"/>
            <w:vAlign w:val="center"/>
          </w:tcPr>
          <w:p w14:paraId="71175FEA" w14:textId="77777777" w:rsidR="00B756C2" w:rsidRPr="00FE73DE" w:rsidRDefault="00B756C2" w:rsidP="00102BEB">
            <w:pPr>
              <w:pStyle w:val="TableText"/>
            </w:pPr>
          </w:p>
        </w:tc>
        <w:tc>
          <w:tcPr>
            <w:tcW w:w="2268" w:type="dxa"/>
            <w:shd w:val="clear" w:color="auto" w:fill="F2F2F2" w:themeFill="background1" w:themeFillShade="F2"/>
            <w:vAlign w:val="center"/>
          </w:tcPr>
          <w:p w14:paraId="28C7915E" w14:textId="77777777" w:rsidR="00B756C2" w:rsidRPr="00FE73DE" w:rsidRDefault="00B756C2" w:rsidP="00102BEB">
            <w:pPr>
              <w:pStyle w:val="TableText"/>
            </w:pPr>
            <w:r w:rsidRPr="00FE73DE">
              <w:t>Start-ups: &lt;C$150,000</w:t>
            </w:r>
          </w:p>
          <w:p w14:paraId="0B208936" w14:textId="77777777" w:rsidR="00B756C2" w:rsidRPr="00FE73DE" w:rsidRDefault="00B756C2" w:rsidP="00102BEB">
            <w:pPr>
              <w:pStyle w:val="TableText"/>
            </w:pPr>
            <w:r w:rsidRPr="00FE73DE">
              <w:t>Existing businesses:  &lt;$C250,000</w:t>
            </w:r>
          </w:p>
        </w:tc>
        <w:tc>
          <w:tcPr>
            <w:tcW w:w="2901" w:type="dxa"/>
            <w:shd w:val="clear" w:color="auto" w:fill="F2F2F2" w:themeFill="background1" w:themeFillShade="F2"/>
            <w:vAlign w:val="center"/>
          </w:tcPr>
          <w:p w14:paraId="7A3C89B9" w14:textId="77777777" w:rsidR="00B756C2" w:rsidRPr="00FE73DE" w:rsidRDefault="00B756C2">
            <w:pPr>
              <w:pStyle w:val="TableText"/>
              <w:numPr>
                <w:ilvl w:val="0"/>
                <w:numId w:val="20"/>
              </w:numPr>
              <w:ind w:left="264"/>
            </w:pPr>
            <w:r w:rsidRPr="00FE73DE">
              <w:t>Acquire fixed assets</w:t>
            </w:r>
          </w:p>
          <w:p w14:paraId="7F7C6561" w14:textId="77777777" w:rsidR="00B756C2" w:rsidRPr="00FE73DE" w:rsidRDefault="00B756C2">
            <w:pPr>
              <w:pStyle w:val="TableText"/>
              <w:numPr>
                <w:ilvl w:val="0"/>
                <w:numId w:val="20"/>
              </w:numPr>
              <w:ind w:left="264"/>
            </w:pPr>
            <w:r w:rsidRPr="00FE73DE">
              <w:t>Finance franchise fees</w:t>
            </w:r>
          </w:p>
          <w:p w14:paraId="624A3F16" w14:textId="77777777" w:rsidR="00B756C2" w:rsidRPr="00FE73DE" w:rsidRDefault="00B756C2">
            <w:pPr>
              <w:pStyle w:val="TableText"/>
              <w:numPr>
                <w:ilvl w:val="0"/>
                <w:numId w:val="20"/>
              </w:numPr>
              <w:ind w:left="264"/>
            </w:pPr>
            <w:r w:rsidRPr="00FE73DE">
              <w:t>Start-up costs</w:t>
            </w:r>
          </w:p>
          <w:p w14:paraId="55630AC7" w14:textId="77777777" w:rsidR="00B756C2" w:rsidRPr="00FE73DE" w:rsidRDefault="00B756C2">
            <w:pPr>
              <w:pStyle w:val="TableText"/>
              <w:numPr>
                <w:ilvl w:val="0"/>
                <w:numId w:val="20"/>
              </w:numPr>
              <w:ind w:left="264"/>
            </w:pPr>
            <w:r w:rsidRPr="00FE73DE">
              <w:t xml:space="preserve">Set up for exporting </w:t>
            </w:r>
          </w:p>
          <w:p w14:paraId="53A161B0" w14:textId="77777777" w:rsidR="00B756C2" w:rsidRPr="00FE73DE" w:rsidRDefault="00B756C2">
            <w:pPr>
              <w:pStyle w:val="TableText"/>
              <w:numPr>
                <w:ilvl w:val="0"/>
                <w:numId w:val="20"/>
              </w:numPr>
              <w:ind w:left="264"/>
            </w:pPr>
            <w:r w:rsidRPr="00FE73DE">
              <w:t>Replenishing working capital</w:t>
            </w:r>
          </w:p>
        </w:tc>
      </w:tr>
      <w:tr w:rsidR="00B756C2" w:rsidRPr="00FE73DE" w14:paraId="565F3E39" w14:textId="77777777" w:rsidTr="00102BEB">
        <w:trPr>
          <w:cantSplit/>
          <w:trHeight w:val="1134"/>
        </w:trPr>
        <w:tc>
          <w:tcPr>
            <w:tcW w:w="0" w:type="auto"/>
            <w:vMerge/>
            <w:shd w:val="clear" w:color="auto" w:fill="F2F2F2" w:themeFill="background1" w:themeFillShade="F2"/>
            <w:textDirection w:val="btLr"/>
            <w:vAlign w:val="center"/>
          </w:tcPr>
          <w:p w14:paraId="7951F507" w14:textId="77777777" w:rsidR="00B756C2" w:rsidRPr="00FE73DE" w:rsidRDefault="00B756C2" w:rsidP="00102BEB">
            <w:pPr>
              <w:pStyle w:val="TableText"/>
              <w:rPr>
                <w:szCs w:val="24"/>
              </w:rPr>
            </w:pPr>
          </w:p>
        </w:tc>
        <w:tc>
          <w:tcPr>
            <w:tcW w:w="0" w:type="auto"/>
            <w:shd w:val="clear" w:color="auto" w:fill="F2F2F2" w:themeFill="background1" w:themeFillShade="F2"/>
            <w:vAlign w:val="center"/>
          </w:tcPr>
          <w:p w14:paraId="58321756" w14:textId="77777777" w:rsidR="00B756C2" w:rsidRPr="00FE73DE" w:rsidRDefault="00B756C2" w:rsidP="00102BEB">
            <w:pPr>
              <w:pStyle w:val="TableText"/>
            </w:pPr>
            <w:r w:rsidRPr="00FE73DE">
              <w:t>Aboriginal Financial Institutions (AFI) loans</w:t>
            </w:r>
          </w:p>
        </w:tc>
        <w:tc>
          <w:tcPr>
            <w:tcW w:w="0" w:type="auto"/>
            <w:shd w:val="clear" w:color="auto" w:fill="F2F2F2" w:themeFill="background1" w:themeFillShade="F2"/>
            <w:vAlign w:val="center"/>
          </w:tcPr>
          <w:p w14:paraId="14B61995" w14:textId="77777777" w:rsidR="00B756C2" w:rsidRPr="00FE73DE" w:rsidRDefault="00B756C2" w:rsidP="00102BEB">
            <w:pPr>
              <w:pStyle w:val="TableText"/>
            </w:pPr>
            <w:r w:rsidRPr="00FE73DE">
              <w:t>AFIs</w:t>
            </w:r>
          </w:p>
        </w:tc>
        <w:tc>
          <w:tcPr>
            <w:tcW w:w="3448" w:type="dxa"/>
            <w:shd w:val="clear" w:color="auto" w:fill="F2F2F2" w:themeFill="background1" w:themeFillShade="F2"/>
            <w:vAlign w:val="center"/>
          </w:tcPr>
          <w:p w14:paraId="29002CB7" w14:textId="77777777" w:rsidR="00B756C2" w:rsidRPr="00FE73DE" w:rsidRDefault="00B756C2" w:rsidP="00102BEB">
            <w:pPr>
              <w:pStyle w:val="TableText"/>
            </w:pPr>
          </w:p>
        </w:tc>
        <w:tc>
          <w:tcPr>
            <w:tcW w:w="2268" w:type="dxa"/>
            <w:shd w:val="clear" w:color="auto" w:fill="F2F2F2" w:themeFill="background1" w:themeFillShade="F2"/>
            <w:vAlign w:val="center"/>
          </w:tcPr>
          <w:p w14:paraId="06C03C2E" w14:textId="77777777" w:rsidR="00B756C2" w:rsidRPr="00FE73DE" w:rsidRDefault="00B756C2" w:rsidP="00102BEB">
            <w:pPr>
              <w:pStyle w:val="TableText"/>
            </w:pPr>
            <w:r w:rsidRPr="00FE73DE">
              <w:t>Variable</w:t>
            </w:r>
          </w:p>
        </w:tc>
        <w:tc>
          <w:tcPr>
            <w:tcW w:w="2901" w:type="dxa"/>
            <w:shd w:val="clear" w:color="auto" w:fill="F2F2F2" w:themeFill="background1" w:themeFillShade="F2"/>
            <w:vAlign w:val="center"/>
          </w:tcPr>
          <w:p w14:paraId="17D16012" w14:textId="77777777" w:rsidR="00B756C2" w:rsidRPr="00FE73DE" w:rsidRDefault="00B756C2">
            <w:pPr>
              <w:pStyle w:val="TableText"/>
              <w:numPr>
                <w:ilvl w:val="0"/>
                <w:numId w:val="20"/>
              </w:numPr>
              <w:ind w:left="264"/>
            </w:pPr>
            <w:r w:rsidRPr="00FE73DE">
              <w:t>Dependent on AFI type and loan type</w:t>
            </w:r>
          </w:p>
        </w:tc>
      </w:tr>
      <w:tr w:rsidR="00B756C2" w:rsidRPr="00FE73DE" w14:paraId="2E26F5F6" w14:textId="77777777" w:rsidTr="00102BEB">
        <w:tc>
          <w:tcPr>
            <w:tcW w:w="0" w:type="auto"/>
            <w:vMerge/>
            <w:shd w:val="clear" w:color="auto" w:fill="F2F2F2" w:themeFill="background1" w:themeFillShade="F2"/>
            <w:textDirection w:val="btLr"/>
            <w:vAlign w:val="center"/>
          </w:tcPr>
          <w:p w14:paraId="1EE2E694" w14:textId="77777777" w:rsidR="00B756C2" w:rsidRPr="00FE73DE" w:rsidRDefault="00B756C2" w:rsidP="00102BEB">
            <w:pPr>
              <w:pStyle w:val="TableText"/>
              <w:rPr>
                <w:szCs w:val="24"/>
              </w:rPr>
            </w:pPr>
          </w:p>
        </w:tc>
        <w:tc>
          <w:tcPr>
            <w:tcW w:w="0" w:type="auto"/>
            <w:shd w:val="clear" w:color="auto" w:fill="F2F2F2" w:themeFill="background1" w:themeFillShade="F2"/>
            <w:vAlign w:val="center"/>
          </w:tcPr>
          <w:p w14:paraId="01B47564" w14:textId="77777777" w:rsidR="00B756C2" w:rsidRPr="00FE73DE" w:rsidRDefault="00B756C2" w:rsidP="00102BEB">
            <w:pPr>
              <w:pStyle w:val="TableText"/>
            </w:pPr>
            <w:r w:rsidRPr="00FE73DE">
              <w:t xml:space="preserve">Aboriginal Business Financing Program </w:t>
            </w:r>
          </w:p>
        </w:tc>
        <w:tc>
          <w:tcPr>
            <w:tcW w:w="0" w:type="auto"/>
            <w:shd w:val="clear" w:color="auto" w:fill="F2F2F2" w:themeFill="background1" w:themeFillShade="F2"/>
            <w:vAlign w:val="center"/>
          </w:tcPr>
          <w:p w14:paraId="03082498" w14:textId="77777777" w:rsidR="00B756C2" w:rsidRPr="00FE73DE" w:rsidRDefault="00B756C2" w:rsidP="00102BEB">
            <w:pPr>
              <w:pStyle w:val="TableText"/>
            </w:pPr>
            <w:r w:rsidRPr="00FE73DE">
              <w:t>AFIs</w:t>
            </w:r>
          </w:p>
        </w:tc>
        <w:tc>
          <w:tcPr>
            <w:tcW w:w="3448" w:type="dxa"/>
            <w:shd w:val="clear" w:color="auto" w:fill="F2F2F2" w:themeFill="background1" w:themeFillShade="F2"/>
            <w:vAlign w:val="center"/>
          </w:tcPr>
          <w:p w14:paraId="6A709597" w14:textId="77777777" w:rsidR="00B756C2" w:rsidRPr="00FE73DE" w:rsidRDefault="00B756C2" w:rsidP="00102BEB">
            <w:pPr>
              <w:pStyle w:val="TableText"/>
            </w:pPr>
            <w:r w:rsidRPr="00FE73DE">
              <w:t>Grants delivered through AFIs.</w:t>
            </w:r>
          </w:p>
        </w:tc>
        <w:tc>
          <w:tcPr>
            <w:tcW w:w="2268" w:type="dxa"/>
            <w:shd w:val="clear" w:color="auto" w:fill="F2F2F2" w:themeFill="background1" w:themeFillShade="F2"/>
            <w:vAlign w:val="center"/>
          </w:tcPr>
          <w:p w14:paraId="7C279F6F" w14:textId="77777777" w:rsidR="00B756C2" w:rsidRPr="00FE73DE" w:rsidRDefault="00B756C2" w:rsidP="00102BEB">
            <w:pPr>
              <w:pStyle w:val="TableText"/>
            </w:pPr>
            <w:r w:rsidRPr="00FE73DE">
              <w:t>Individuals: &lt;C$99,000</w:t>
            </w:r>
          </w:p>
          <w:p w14:paraId="171C58DE" w14:textId="77777777" w:rsidR="00B756C2" w:rsidRPr="00FE73DE" w:rsidRDefault="00B756C2" w:rsidP="00102BEB">
            <w:pPr>
              <w:pStyle w:val="TableText"/>
            </w:pPr>
            <w:r w:rsidRPr="00FE73DE">
              <w:t>Community-owned businesses:  &lt;$C250,000</w:t>
            </w:r>
          </w:p>
        </w:tc>
        <w:tc>
          <w:tcPr>
            <w:tcW w:w="2901" w:type="dxa"/>
            <w:shd w:val="clear" w:color="auto" w:fill="F2F2F2" w:themeFill="background1" w:themeFillShade="F2"/>
            <w:vAlign w:val="center"/>
          </w:tcPr>
          <w:p w14:paraId="3589F3B9" w14:textId="77777777" w:rsidR="00B756C2" w:rsidRPr="00FE73DE" w:rsidRDefault="00B756C2">
            <w:pPr>
              <w:pStyle w:val="TableText"/>
              <w:numPr>
                <w:ilvl w:val="0"/>
                <w:numId w:val="20"/>
              </w:numPr>
              <w:ind w:left="264"/>
              <w:rPr>
                <w:sz w:val="18"/>
                <w:szCs w:val="18"/>
              </w:rPr>
            </w:pPr>
            <w:r w:rsidRPr="00FE73DE">
              <w:t>Equity</w:t>
            </w:r>
          </w:p>
          <w:p w14:paraId="0857C718" w14:textId="77777777" w:rsidR="00B756C2" w:rsidRPr="00FE73DE" w:rsidRDefault="00B756C2">
            <w:pPr>
              <w:pStyle w:val="TableText"/>
              <w:numPr>
                <w:ilvl w:val="0"/>
                <w:numId w:val="20"/>
              </w:numPr>
              <w:ind w:left="264"/>
              <w:rPr>
                <w:sz w:val="18"/>
                <w:szCs w:val="18"/>
              </w:rPr>
            </w:pPr>
            <w:r w:rsidRPr="00FE73DE">
              <w:t xml:space="preserve">Quasi-equity </w:t>
            </w:r>
          </w:p>
          <w:p w14:paraId="2A7D90C1" w14:textId="77777777" w:rsidR="00B756C2" w:rsidRPr="00FE73DE" w:rsidRDefault="00B756C2">
            <w:pPr>
              <w:pStyle w:val="TableText"/>
              <w:numPr>
                <w:ilvl w:val="0"/>
                <w:numId w:val="20"/>
              </w:numPr>
              <w:ind w:left="264"/>
            </w:pPr>
            <w:r w:rsidRPr="00FE73DE">
              <w:t>Business support services</w:t>
            </w:r>
          </w:p>
        </w:tc>
      </w:tr>
      <w:tr w:rsidR="00B756C2" w:rsidRPr="00FE73DE" w14:paraId="39C5C959" w14:textId="77777777" w:rsidTr="00102BEB">
        <w:tc>
          <w:tcPr>
            <w:tcW w:w="0" w:type="auto"/>
            <w:vMerge w:val="restart"/>
            <w:textDirection w:val="btLr"/>
            <w:vAlign w:val="center"/>
          </w:tcPr>
          <w:p w14:paraId="27B69A89" w14:textId="77777777" w:rsidR="00B756C2" w:rsidRPr="00FE73DE" w:rsidRDefault="00B756C2" w:rsidP="00102BEB">
            <w:pPr>
              <w:pStyle w:val="TableText"/>
              <w:jc w:val="center"/>
              <w:rPr>
                <w:szCs w:val="24"/>
              </w:rPr>
            </w:pPr>
            <w:r w:rsidRPr="00FE73DE">
              <w:rPr>
                <w:szCs w:val="24"/>
              </w:rPr>
              <w:t>UNITED STATES</w:t>
            </w:r>
          </w:p>
        </w:tc>
        <w:tc>
          <w:tcPr>
            <w:tcW w:w="0" w:type="auto"/>
            <w:vAlign w:val="center"/>
          </w:tcPr>
          <w:p w14:paraId="23534E24" w14:textId="77777777" w:rsidR="00B756C2" w:rsidRPr="00FE73DE" w:rsidRDefault="00B756C2" w:rsidP="00102BEB">
            <w:pPr>
              <w:pStyle w:val="TableText"/>
            </w:pPr>
            <w:r w:rsidRPr="00FE73DE">
              <w:t xml:space="preserve">Indian Loan Guarantee and Insurance Program (ILGP) </w:t>
            </w:r>
          </w:p>
        </w:tc>
        <w:tc>
          <w:tcPr>
            <w:tcW w:w="0" w:type="auto"/>
            <w:vAlign w:val="center"/>
          </w:tcPr>
          <w:p w14:paraId="4DE982C9" w14:textId="77777777" w:rsidR="00B756C2" w:rsidRPr="00FE73DE" w:rsidRDefault="00B756C2" w:rsidP="00102BEB">
            <w:pPr>
              <w:pStyle w:val="TableText"/>
            </w:pPr>
            <w:r w:rsidRPr="00FE73DE">
              <w:t>Bureau of Indian Affairs</w:t>
            </w:r>
          </w:p>
        </w:tc>
        <w:tc>
          <w:tcPr>
            <w:tcW w:w="3448" w:type="dxa"/>
            <w:vAlign w:val="center"/>
          </w:tcPr>
          <w:p w14:paraId="124B2C58" w14:textId="77777777" w:rsidR="00B756C2" w:rsidRPr="00FE73DE" w:rsidRDefault="00B756C2" w:rsidP="00102BEB">
            <w:pPr>
              <w:pStyle w:val="TableText"/>
            </w:pPr>
            <w:r w:rsidRPr="00FE73DE">
              <w:t>Provides borrowers with loan guarantees through lending institutions.</w:t>
            </w:r>
          </w:p>
        </w:tc>
        <w:tc>
          <w:tcPr>
            <w:tcW w:w="2268" w:type="dxa"/>
            <w:vAlign w:val="center"/>
          </w:tcPr>
          <w:p w14:paraId="68F0DED8" w14:textId="77777777" w:rsidR="00B756C2" w:rsidRPr="00FE73DE" w:rsidRDefault="00B756C2" w:rsidP="00102BEB">
            <w:pPr>
              <w:pStyle w:val="TableText"/>
            </w:pPr>
            <w:r w:rsidRPr="00FE73DE">
              <w:t>Up to US$500,000 (more for tribal enterprises)</w:t>
            </w:r>
          </w:p>
        </w:tc>
        <w:tc>
          <w:tcPr>
            <w:tcW w:w="2901" w:type="dxa"/>
            <w:vAlign w:val="center"/>
          </w:tcPr>
          <w:p w14:paraId="7BA1EB1E" w14:textId="77777777" w:rsidR="00B756C2" w:rsidRPr="00FE73DE" w:rsidRDefault="00B756C2">
            <w:pPr>
              <w:pStyle w:val="TableText"/>
              <w:numPr>
                <w:ilvl w:val="0"/>
                <w:numId w:val="20"/>
              </w:numPr>
              <w:ind w:left="264"/>
            </w:pPr>
            <w:r w:rsidRPr="00FE73DE">
              <w:t>Operating capital</w:t>
            </w:r>
          </w:p>
          <w:p w14:paraId="0DC5D842" w14:textId="77777777" w:rsidR="00B756C2" w:rsidRPr="00FE73DE" w:rsidRDefault="00B756C2">
            <w:pPr>
              <w:pStyle w:val="TableText"/>
              <w:numPr>
                <w:ilvl w:val="0"/>
                <w:numId w:val="20"/>
              </w:numPr>
              <w:ind w:left="264"/>
            </w:pPr>
            <w:r w:rsidRPr="00FE73DE">
              <w:t>Equipment purchases</w:t>
            </w:r>
          </w:p>
          <w:p w14:paraId="7A062747" w14:textId="77777777" w:rsidR="00B756C2" w:rsidRPr="00FE73DE" w:rsidRDefault="00B756C2">
            <w:pPr>
              <w:pStyle w:val="TableText"/>
              <w:numPr>
                <w:ilvl w:val="0"/>
                <w:numId w:val="20"/>
              </w:numPr>
              <w:ind w:left="264"/>
            </w:pPr>
            <w:r w:rsidRPr="00FE73DE">
              <w:t>Business acquisition and refinance</w:t>
            </w:r>
          </w:p>
          <w:p w14:paraId="591DBDB0" w14:textId="77777777" w:rsidR="00B756C2" w:rsidRPr="00FE73DE" w:rsidRDefault="00B756C2">
            <w:pPr>
              <w:pStyle w:val="TableText"/>
              <w:numPr>
                <w:ilvl w:val="0"/>
                <w:numId w:val="20"/>
              </w:numPr>
              <w:ind w:left="264"/>
            </w:pPr>
            <w:r w:rsidRPr="00FE73DE">
              <w:t xml:space="preserve">Building construction </w:t>
            </w:r>
          </w:p>
          <w:p w14:paraId="6502DC2E" w14:textId="77777777" w:rsidR="00B756C2" w:rsidRPr="00FE73DE" w:rsidRDefault="00B756C2">
            <w:pPr>
              <w:pStyle w:val="TableText"/>
              <w:numPr>
                <w:ilvl w:val="0"/>
                <w:numId w:val="20"/>
              </w:numPr>
              <w:ind w:left="264"/>
            </w:pPr>
            <w:r w:rsidRPr="00FE73DE">
              <w:t>Lines of credit</w:t>
            </w:r>
          </w:p>
        </w:tc>
      </w:tr>
      <w:tr w:rsidR="00B756C2" w:rsidRPr="00FE73DE" w14:paraId="74734D5D" w14:textId="77777777" w:rsidTr="00102BEB">
        <w:tc>
          <w:tcPr>
            <w:tcW w:w="0" w:type="auto"/>
            <w:vMerge/>
            <w:vAlign w:val="center"/>
          </w:tcPr>
          <w:p w14:paraId="73CA1FBD" w14:textId="77777777" w:rsidR="00B756C2" w:rsidRPr="00FE73DE" w:rsidRDefault="00B756C2" w:rsidP="00102BEB">
            <w:pPr>
              <w:pStyle w:val="TableText"/>
            </w:pPr>
          </w:p>
        </w:tc>
        <w:tc>
          <w:tcPr>
            <w:tcW w:w="0" w:type="auto"/>
            <w:vAlign w:val="center"/>
          </w:tcPr>
          <w:p w14:paraId="2C308FA5" w14:textId="77777777" w:rsidR="00B756C2" w:rsidRPr="00FE73DE" w:rsidRDefault="00B756C2" w:rsidP="00102BEB">
            <w:pPr>
              <w:pStyle w:val="TableText"/>
            </w:pPr>
            <w:r w:rsidRPr="00FE73DE">
              <w:t>Loans through Native CDFIs</w:t>
            </w:r>
          </w:p>
        </w:tc>
        <w:tc>
          <w:tcPr>
            <w:tcW w:w="0" w:type="auto"/>
            <w:vAlign w:val="center"/>
          </w:tcPr>
          <w:p w14:paraId="5E037BB1" w14:textId="77777777" w:rsidR="00B756C2" w:rsidRPr="00FE73DE" w:rsidRDefault="00B756C2" w:rsidP="00102BEB">
            <w:pPr>
              <w:pStyle w:val="TableText"/>
            </w:pPr>
            <w:r w:rsidRPr="00FE73DE">
              <w:t>Native CDFIs</w:t>
            </w:r>
          </w:p>
        </w:tc>
        <w:tc>
          <w:tcPr>
            <w:tcW w:w="3448" w:type="dxa"/>
            <w:vAlign w:val="center"/>
          </w:tcPr>
          <w:p w14:paraId="46AD0B78" w14:textId="77777777" w:rsidR="00B756C2" w:rsidRPr="00FE73DE" w:rsidRDefault="00B756C2" w:rsidP="00102BEB">
            <w:pPr>
              <w:pStyle w:val="TableText"/>
            </w:pPr>
            <w:r w:rsidRPr="00FE73DE">
              <w:t>The government provides Financial Assistance Awards (in the form of loans, grants, deposits, and equity investments) which support Native CDFI financing activities.</w:t>
            </w:r>
          </w:p>
        </w:tc>
        <w:tc>
          <w:tcPr>
            <w:tcW w:w="2268" w:type="dxa"/>
            <w:vAlign w:val="center"/>
          </w:tcPr>
          <w:p w14:paraId="779DD015" w14:textId="77777777" w:rsidR="00B756C2" w:rsidRPr="00FE73DE" w:rsidRDefault="00B756C2" w:rsidP="00102BEB">
            <w:pPr>
              <w:pStyle w:val="TableText"/>
            </w:pPr>
            <w:r w:rsidRPr="00FE73DE">
              <w:t>Variable</w:t>
            </w:r>
          </w:p>
        </w:tc>
        <w:tc>
          <w:tcPr>
            <w:tcW w:w="2901" w:type="dxa"/>
            <w:vAlign w:val="center"/>
          </w:tcPr>
          <w:p w14:paraId="7C44BF7E" w14:textId="77777777" w:rsidR="00B756C2" w:rsidRPr="00FE73DE" w:rsidRDefault="00B756C2">
            <w:pPr>
              <w:pStyle w:val="TableText"/>
              <w:numPr>
                <w:ilvl w:val="0"/>
                <w:numId w:val="21"/>
              </w:numPr>
              <w:ind w:left="264"/>
            </w:pPr>
            <w:r w:rsidRPr="00FE73DE">
              <w:t>Dependent on Native CDFI type and loan type</w:t>
            </w:r>
          </w:p>
        </w:tc>
      </w:tr>
      <w:tr w:rsidR="00B756C2" w:rsidRPr="00FE73DE" w14:paraId="21A30683" w14:textId="77777777" w:rsidTr="00102BEB">
        <w:tc>
          <w:tcPr>
            <w:tcW w:w="0" w:type="auto"/>
            <w:vMerge/>
            <w:vAlign w:val="center"/>
          </w:tcPr>
          <w:p w14:paraId="066BEE16" w14:textId="77777777" w:rsidR="00B756C2" w:rsidRPr="00FE73DE" w:rsidRDefault="00B756C2" w:rsidP="00102BEB">
            <w:pPr>
              <w:pStyle w:val="TableText"/>
            </w:pPr>
          </w:p>
        </w:tc>
        <w:tc>
          <w:tcPr>
            <w:tcW w:w="0" w:type="auto"/>
            <w:vAlign w:val="center"/>
          </w:tcPr>
          <w:p w14:paraId="75997ADC" w14:textId="77777777" w:rsidR="00B756C2" w:rsidRPr="00FE73DE" w:rsidRDefault="00B756C2" w:rsidP="00102BEB">
            <w:pPr>
              <w:pStyle w:val="TableText"/>
            </w:pPr>
            <w:r w:rsidRPr="00FE73DE">
              <w:t>Tribal Energy Loan Guarantee Program (TELGP)</w:t>
            </w:r>
          </w:p>
        </w:tc>
        <w:tc>
          <w:tcPr>
            <w:tcW w:w="0" w:type="auto"/>
            <w:vAlign w:val="center"/>
          </w:tcPr>
          <w:p w14:paraId="1C0B44F5" w14:textId="77777777" w:rsidR="00B756C2" w:rsidRPr="00FE73DE" w:rsidRDefault="00B756C2" w:rsidP="00102BEB">
            <w:pPr>
              <w:pStyle w:val="TableText"/>
            </w:pPr>
            <w:r w:rsidRPr="00FE73DE">
              <w:t>Department of Energy</w:t>
            </w:r>
          </w:p>
        </w:tc>
        <w:tc>
          <w:tcPr>
            <w:tcW w:w="3448" w:type="dxa"/>
            <w:vAlign w:val="center"/>
          </w:tcPr>
          <w:p w14:paraId="7761285E" w14:textId="77777777" w:rsidR="00B756C2" w:rsidRPr="00FE73DE" w:rsidRDefault="00B756C2" w:rsidP="00102BEB">
            <w:pPr>
              <w:pStyle w:val="TableText"/>
            </w:pPr>
            <w:r w:rsidRPr="00FE73DE">
              <w:t xml:space="preserve">The Department will guarantee up to 90% of unpaid principal and interest due on loans made to a federally recognized Indian tribe or Alaska Native Corporation. </w:t>
            </w:r>
          </w:p>
        </w:tc>
        <w:tc>
          <w:tcPr>
            <w:tcW w:w="2268" w:type="dxa"/>
            <w:vAlign w:val="center"/>
          </w:tcPr>
          <w:p w14:paraId="65569548" w14:textId="77777777" w:rsidR="00B756C2" w:rsidRPr="00FE73DE" w:rsidRDefault="00B756C2" w:rsidP="00102BEB">
            <w:pPr>
              <w:pStyle w:val="TableText"/>
            </w:pPr>
            <w:r w:rsidRPr="00FE73DE">
              <w:t>Variable</w:t>
            </w:r>
          </w:p>
        </w:tc>
        <w:tc>
          <w:tcPr>
            <w:tcW w:w="2901" w:type="dxa"/>
            <w:vAlign w:val="center"/>
          </w:tcPr>
          <w:p w14:paraId="45A9E42A" w14:textId="77777777" w:rsidR="00B756C2" w:rsidRPr="00FE73DE" w:rsidRDefault="00B756C2">
            <w:pPr>
              <w:pStyle w:val="TableText"/>
              <w:numPr>
                <w:ilvl w:val="0"/>
                <w:numId w:val="21"/>
              </w:numPr>
              <w:ind w:left="264"/>
            </w:pPr>
            <w:r w:rsidRPr="00FE73DE">
              <w:t>Loan must be for energy development project.</w:t>
            </w:r>
          </w:p>
        </w:tc>
      </w:tr>
      <w:tr w:rsidR="00B756C2" w:rsidRPr="00FE73DE" w14:paraId="2F143934" w14:textId="77777777" w:rsidTr="00102BEB">
        <w:tc>
          <w:tcPr>
            <w:tcW w:w="0" w:type="auto"/>
            <w:vMerge/>
            <w:vAlign w:val="center"/>
          </w:tcPr>
          <w:p w14:paraId="063D8E9C" w14:textId="77777777" w:rsidR="00B756C2" w:rsidRPr="00FE73DE" w:rsidRDefault="00B756C2" w:rsidP="00102BEB">
            <w:pPr>
              <w:pStyle w:val="TableText"/>
            </w:pPr>
          </w:p>
        </w:tc>
        <w:tc>
          <w:tcPr>
            <w:tcW w:w="0" w:type="auto"/>
            <w:vAlign w:val="center"/>
          </w:tcPr>
          <w:p w14:paraId="0294A0EF" w14:textId="77777777" w:rsidR="00B756C2" w:rsidRPr="00FE73DE" w:rsidRDefault="00B756C2" w:rsidP="00102BEB">
            <w:pPr>
              <w:pStyle w:val="TableText"/>
            </w:pPr>
            <w:r w:rsidRPr="00FE73DE">
              <w:t>Native American Business Development Institute (NABDI) grants</w:t>
            </w:r>
          </w:p>
        </w:tc>
        <w:tc>
          <w:tcPr>
            <w:tcW w:w="0" w:type="auto"/>
            <w:vAlign w:val="center"/>
          </w:tcPr>
          <w:p w14:paraId="1AEEB563" w14:textId="77777777" w:rsidR="00B756C2" w:rsidRPr="00FE73DE" w:rsidRDefault="00B756C2" w:rsidP="00102BEB">
            <w:pPr>
              <w:pStyle w:val="TableText"/>
            </w:pPr>
            <w:r w:rsidRPr="00FE73DE">
              <w:t>NABDI</w:t>
            </w:r>
          </w:p>
        </w:tc>
        <w:tc>
          <w:tcPr>
            <w:tcW w:w="3448" w:type="dxa"/>
            <w:vAlign w:val="center"/>
          </w:tcPr>
          <w:p w14:paraId="52B15229" w14:textId="77777777" w:rsidR="00B756C2" w:rsidRPr="00FE73DE" w:rsidRDefault="00B756C2" w:rsidP="00102BEB">
            <w:pPr>
              <w:pStyle w:val="TableText"/>
            </w:pPr>
            <w:r w:rsidRPr="00FE73DE">
              <w:t>Provides funds for tribes to conduct feasibility studies on the viability of businesses, technologies, or economic development projects.</w:t>
            </w:r>
          </w:p>
        </w:tc>
        <w:tc>
          <w:tcPr>
            <w:tcW w:w="2268" w:type="dxa"/>
            <w:vAlign w:val="center"/>
          </w:tcPr>
          <w:p w14:paraId="77A9CC67" w14:textId="77777777" w:rsidR="00B756C2" w:rsidRPr="00FE73DE" w:rsidRDefault="00B756C2" w:rsidP="00102BEB">
            <w:pPr>
              <w:pStyle w:val="TableText"/>
            </w:pPr>
            <w:r w:rsidRPr="00FE73DE">
              <w:t>Uncapped (usually between US$25,000 and $75,000)</w:t>
            </w:r>
          </w:p>
        </w:tc>
        <w:tc>
          <w:tcPr>
            <w:tcW w:w="2901" w:type="dxa"/>
            <w:vAlign w:val="center"/>
          </w:tcPr>
          <w:p w14:paraId="48137FA2" w14:textId="77777777" w:rsidR="00B756C2" w:rsidRPr="00FE73DE" w:rsidRDefault="00B756C2">
            <w:pPr>
              <w:pStyle w:val="TableText"/>
              <w:numPr>
                <w:ilvl w:val="0"/>
                <w:numId w:val="21"/>
              </w:numPr>
              <w:ind w:left="264"/>
            </w:pPr>
            <w:r w:rsidRPr="00FE73DE">
              <w:t>Hire of consultants to conduct feasibility study</w:t>
            </w:r>
          </w:p>
        </w:tc>
      </w:tr>
      <w:tr w:rsidR="00B756C2" w:rsidRPr="00FE73DE" w14:paraId="76D3BB4D" w14:textId="77777777" w:rsidTr="00102BEB">
        <w:tc>
          <w:tcPr>
            <w:tcW w:w="0" w:type="auto"/>
            <w:vMerge/>
            <w:vAlign w:val="center"/>
          </w:tcPr>
          <w:p w14:paraId="35E34114" w14:textId="77777777" w:rsidR="00B756C2" w:rsidRPr="00FE73DE" w:rsidRDefault="00B756C2" w:rsidP="00102BEB">
            <w:pPr>
              <w:pStyle w:val="TableText"/>
            </w:pPr>
          </w:p>
        </w:tc>
        <w:tc>
          <w:tcPr>
            <w:tcW w:w="0" w:type="auto"/>
            <w:vAlign w:val="center"/>
          </w:tcPr>
          <w:p w14:paraId="6A447727" w14:textId="77777777" w:rsidR="00B756C2" w:rsidRPr="00FE73DE" w:rsidRDefault="00B756C2" w:rsidP="00102BEB">
            <w:pPr>
              <w:pStyle w:val="TableText"/>
            </w:pPr>
            <w:r w:rsidRPr="00FE73DE">
              <w:t>Small Business Administration (SBA) loans</w:t>
            </w:r>
          </w:p>
        </w:tc>
        <w:tc>
          <w:tcPr>
            <w:tcW w:w="0" w:type="auto"/>
            <w:vAlign w:val="center"/>
          </w:tcPr>
          <w:p w14:paraId="5F9BF9AB" w14:textId="77777777" w:rsidR="00B756C2" w:rsidRPr="00FE73DE" w:rsidRDefault="00B756C2" w:rsidP="00102BEB">
            <w:pPr>
              <w:pStyle w:val="TableText"/>
            </w:pPr>
            <w:r w:rsidRPr="00FE73DE">
              <w:t>SBA</w:t>
            </w:r>
          </w:p>
        </w:tc>
        <w:tc>
          <w:tcPr>
            <w:tcW w:w="3448" w:type="dxa"/>
            <w:vAlign w:val="center"/>
          </w:tcPr>
          <w:p w14:paraId="7DC6018A" w14:textId="77777777" w:rsidR="00B756C2" w:rsidRPr="00FE73DE" w:rsidRDefault="00B756C2" w:rsidP="00102BEB">
            <w:pPr>
              <w:pStyle w:val="TableText"/>
            </w:pPr>
            <w:r w:rsidRPr="00FE73DE">
              <w:t xml:space="preserve">Provides loans to small businesses, with an emphasis on support for minorities and communities lacking access to capital. </w:t>
            </w:r>
          </w:p>
        </w:tc>
        <w:tc>
          <w:tcPr>
            <w:tcW w:w="2268" w:type="dxa"/>
            <w:vAlign w:val="center"/>
          </w:tcPr>
          <w:p w14:paraId="303604F8" w14:textId="77777777" w:rsidR="00B756C2" w:rsidRPr="00FE73DE" w:rsidRDefault="00B756C2" w:rsidP="00102BEB">
            <w:pPr>
              <w:pStyle w:val="TableText"/>
            </w:pPr>
            <w:r w:rsidRPr="00FE73DE">
              <w:t>Up to US$5 million</w:t>
            </w:r>
          </w:p>
        </w:tc>
        <w:tc>
          <w:tcPr>
            <w:tcW w:w="2901" w:type="dxa"/>
            <w:vAlign w:val="center"/>
          </w:tcPr>
          <w:p w14:paraId="23695F0F" w14:textId="77777777" w:rsidR="00B756C2" w:rsidRPr="00FE73DE" w:rsidRDefault="00B756C2">
            <w:pPr>
              <w:pStyle w:val="TableText"/>
              <w:numPr>
                <w:ilvl w:val="0"/>
                <w:numId w:val="21"/>
              </w:numPr>
              <w:ind w:left="264"/>
            </w:pPr>
            <w:r w:rsidRPr="00FE73DE">
              <w:t>Working capital</w:t>
            </w:r>
          </w:p>
          <w:p w14:paraId="1C70886F" w14:textId="77777777" w:rsidR="00B756C2" w:rsidRPr="00FE73DE" w:rsidRDefault="00B756C2">
            <w:pPr>
              <w:pStyle w:val="TableText"/>
              <w:numPr>
                <w:ilvl w:val="0"/>
                <w:numId w:val="21"/>
              </w:numPr>
              <w:ind w:left="264"/>
            </w:pPr>
            <w:r w:rsidRPr="00FE73DE">
              <w:t>Equipment</w:t>
            </w:r>
          </w:p>
          <w:p w14:paraId="242ED6D4" w14:textId="77777777" w:rsidR="00B756C2" w:rsidRPr="00FE73DE" w:rsidRDefault="00B756C2">
            <w:pPr>
              <w:pStyle w:val="TableText"/>
              <w:numPr>
                <w:ilvl w:val="0"/>
                <w:numId w:val="21"/>
              </w:numPr>
              <w:ind w:left="264"/>
            </w:pPr>
            <w:r w:rsidRPr="00FE73DE">
              <w:t>Acquisition</w:t>
            </w:r>
          </w:p>
          <w:p w14:paraId="33F447F3" w14:textId="77777777" w:rsidR="00B756C2" w:rsidRPr="00FE73DE" w:rsidRDefault="00B756C2">
            <w:pPr>
              <w:pStyle w:val="TableText"/>
              <w:numPr>
                <w:ilvl w:val="0"/>
                <w:numId w:val="21"/>
              </w:numPr>
              <w:ind w:left="264"/>
            </w:pPr>
            <w:r w:rsidRPr="00FE73DE">
              <w:t>Construction</w:t>
            </w:r>
          </w:p>
          <w:p w14:paraId="3D791350" w14:textId="77777777" w:rsidR="00B756C2" w:rsidRPr="00FE73DE" w:rsidRDefault="00B756C2">
            <w:pPr>
              <w:pStyle w:val="TableText"/>
              <w:numPr>
                <w:ilvl w:val="0"/>
                <w:numId w:val="21"/>
              </w:numPr>
              <w:ind w:left="264"/>
            </w:pPr>
            <w:r w:rsidRPr="00FE73DE">
              <w:t>Refinancing</w:t>
            </w:r>
          </w:p>
          <w:p w14:paraId="68E6BC53" w14:textId="77777777" w:rsidR="00B756C2" w:rsidRPr="00FE73DE" w:rsidRDefault="00B756C2">
            <w:pPr>
              <w:pStyle w:val="TableText"/>
              <w:numPr>
                <w:ilvl w:val="0"/>
                <w:numId w:val="21"/>
              </w:numPr>
              <w:ind w:left="264"/>
            </w:pPr>
            <w:r w:rsidRPr="00FE73DE">
              <w:t>Etc.</w:t>
            </w:r>
          </w:p>
        </w:tc>
      </w:tr>
    </w:tbl>
    <w:p w14:paraId="33C5828B" w14:textId="77777777" w:rsidR="00B756C2" w:rsidRPr="00FE73DE" w:rsidRDefault="00B756C2" w:rsidP="00B756C2"/>
    <w:p w14:paraId="3B2DD4DB" w14:textId="77777777" w:rsidR="00B756C2" w:rsidRPr="00FE73DE" w:rsidRDefault="00B756C2" w:rsidP="00B756C2"/>
    <w:p w14:paraId="684B9E89" w14:textId="77777777" w:rsidR="00B756C2" w:rsidRPr="00FE73DE" w:rsidRDefault="00B756C2" w:rsidP="00B756C2">
      <w:pPr>
        <w:sectPr w:rsidR="00B756C2" w:rsidRPr="00FE73DE" w:rsidSect="008819B7">
          <w:footerReference w:type="default" r:id="rId53"/>
          <w:pgSz w:w="16838" w:h="11906" w:orient="landscape" w:code="9"/>
          <w:pgMar w:top="1503" w:right="1843" w:bottom="1503" w:left="1135" w:header="680" w:footer="567" w:gutter="0"/>
          <w:cols w:space="708"/>
          <w:docGrid w:linePitch="360"/>
        </w:sectPr>
      </w:pPr>
    </w:p>
    <w:p w14:paraId="380DEAD3" w14:textId="77777777" w:rsidR="00B756C2" w:rsidRPr="00FE73DE" w:rsidRDefault="00B756C2" w:rsidP="00B756C2">
      <w:pPr>
        <w:pStyle w:val="Heading4"/>
      </w:pPr>
      <w:r w:rsidRPr="00FE73DE">
        <w:t>Canada</w:t>
      </w:r>
    </w:p>
    <w:p w14:paraId="08F68090" w14:textId="77777777" w:rsidR="00B756C2" w:rsidRPr="00FE73DE" w:rsidRDefault="00B756C2" w:rsidP="00B756C2">
      <w:r w:rsidRPr="00FE73DE">
        <w:t>There are over 43,000 Indigenous-owned SMEs in Canada, drawn from the First Nations, Inuit and Métis communities.</w:t>
      </w:r>
      <w:r w:rsidRPr="00FE73DE">
        <w:rPr>
          <w:rStyle w:val="FootnoteReference"/>
        </w:rPr>
        <w:footnoteReference w:id="76"/>
      </w:r>
      <w:r w:rsidRPr="00FE73DE">
        <w:t xml:space="preserve"> Many of these businesses find it difficult to access commercial loans due to challenges including the perception that they generate higher transaction costs and represent higher risk to lenders.</w:t>
      </w:r>
      <w:r w:rsidRPr="00FE73DE">
        <w:rPr>
          <w:rStyle w:val="FootnoteReference"/>
        </w:rPr>
        <w:footnoteReference w:id="77"/>
      </w:r>
      <w:r w:rsidRPr="00FE73DE">
        <w:t xml:space="preserve"> Additionally, businesses located on First Nations reserves face further barriers including remoteness and property-related restrictions enshrined in Section 89 of the 1985 Indian Act.</w:t>
      </w:r>
      <w:r w:rsidRPr="00FE73DE">
        <w:rPr>
          <w:rStyle w:val="FootnoteReference"/>
        </w:rPr>
        <w:footnoteReference w:id="78"/>
      </w:r>
      <w:r w:rsidRPr="00FE73DE">
        <w:t xml:space="preserve"> </w:t>
      </w:r>
    </w:p>
    <w:p w14:paraId="73AEDAF8" w14:textId="09212BF7" w:rsidR="00B756C2" w:rsidRPr="00FE73DE" w:rsidRDefault="00B756C2" w:rsidP="00B756C2">
      <w:r w:rsidRPr="00FE73DE">
        <w:t>Indigenous businesses in Canada are supported by a network of 59 Aboriginal Financial Institutions (AFIs). These “autonomous, Indigenous-controlled, community-based financial organizations”</w:t>
      </w:r>
      <w:r w:rsidRPr="00FE73DE">
        <w:rPr>
          <w:rStyle w:val="FootnoteReference"/>
        </w:rPr>
        <w:footnoteReference w:id="79"/>
      </w:r>
      <w:r w:rsidRPr="00FE73DE">
        <w:t xml:space="preserve"> were capitalised by the Canadian Government in the late 1980s to provide loans and entrepreneurial support, and now also “manage Canada’s equity financing programs for small businesses”.</w:t>
      </w:r>
      <w:r w:rsidRPr="00FE73DE">
        <w:rPr>
          <w:rStyle w:val="FootnoteReference"/>
        </w:rPr>
        <w:footnoteReference w:id="80"/>
      </w:r>
      <w:r w:rsidRPr="00FE73DE">
        <w:t xml:space="preserve"> AFIs fill a gap in the market by making loans to Indigenous entrepreneurs that mainstream financial institutions are unwilling to countenance.</w:t>
      </w:r>
      <w:r w:rsidRPr="00FE73DE">
        <w:rPr>
          <w:rStyle w:val="FootnoteReference"/>
        </w:rPr>
        <w:footnoteReference w:id="81"/>
      </w:r>
      <w:r w:rsidRPr="00FE73DE">
        <w:t xml:space="preserve"> There are </w:t>
      </w:r>
      <w:r w:rsidR="00295C5C">
        <w:t>three</w:t>
      </w:r>
      <w:r w:rsidRPr="00FE73DE">
        <w:t xml:space="preserve"> main types of AFI, outlined in </w:t>
      </w:r>
      <w:r w:rsidRPr="00FE73DE">
        <w:fldChar w:fldCharType="begin"/>
      </w:r>
      <w:r w:rsidRPr="00FE73DE">
        <w:instrText xml:space="preserve"> REF _Ref86141291 \h  \* MERGEFORMAT </w:instrText>
      </w:r>
      <w:r w:rsidRPr="00FE73DE">
        <w:fldChar w:fldCharType="separate"/>
      </w:r>
      <w:r w:rsidR="004718C9" w:rsidRPr="004718C9">
        <w:t>Table 16</w:t>
      </w:r>
      <w:r w:rsidRPr="00FE73DE">
        <w:fldChar w:fldCharType="end"/>
      </w:r>
      <w:r w:rsidRPr="00FE73DE">
        <w:t>.</w:t>
      </w:r>
    </w:p>
    <w:p w14:paraId="161340F3" w14:textId="30ABDFA0" w:rsidR="00B756C2" w:rsidRPr="00FE73DE" w:rsidRDefault="00B756C2" w:rsidP="00B756C2">
      <w:pPr>
        <w:pStyle w:val="Caption"/>
      </w:pPr>
      <w:bookmarkStart w:id="171" w:name="_Ref86141291"/>
      <w:r w:rsidRPr="00FE73DE">
        <w:rPr>
          <w:szCs w:val="20"/>
        </w:rPr>
        <w:t xml:space="preserve">Table </w:t>
      </w:r>
      <w:r w:rsidRPr="00FE73DE">
        <w:rPr>
          <w:szCs w:val="20"/>
        </w:rPr>
        <w:fldChar w:fldCharType="begin"/>
      </w:r>
      <w:r w:rsidRPr="00FE73DE">
        <w:rPr>
          <w:szCs w:val="20"/>
        </w:rPr>
        <w:instrText xml:space="preserve"> SEQ Table \* ARABIC </w:instrText>
      </w:r>
      <w:r w:rsidRPr="00FE73DE">
        <w:rPr>
          <w:szCs w:val="20"/>
        </w:rPr>
        <w:fldChar w:fldCharType="separate"/>
      </w:r>
      <w:r w:rsidR="004718C9">
        <w:rPr>
          <w:noProof/>
          <w:szCs w:val="20"/>
        </w:rPr>
        <w:t>16</w:t>
      </w:r>
      <w:r w:rsidRPr="00FE73DE">
        <w:rPr>
          <w:szCs w:val="20"/>
        </w:rPr>
        <w:fldChar w:fldCharType="end"/>
      </w:r>
      <w:bookmarkEnd w:id="171"/>
      <w:r w:rsidRPr="00FE73DE">
        <w:rPr>
          <w:szCs w:val="20"/>
        </w:rPr>
        <w:t>: Types of AFI</w:t>
      </w:r>
      <w:r w:rsidRPr="00FE73DE">
        <w:rPr>
          <w:rStyle w:val="FootnoteReference"/>
          <w:b w:val="0"/>
          <w:bCs w:val="0"/>
          <w:i w:val="0"/>
          <w:iCs w:val="0"/>
          <w:sz w:val="22"/>
          <w:szCs w:val="22"/>
        </w:rPr>
        <w:footnoteReference w:id="82"/>
      </w:r>
    </w:p>
    <w:tbl>
      <w:tblPr>
        <w:tblStyle w:val="Summaryboxtablestyle"/>
        <w:tblW w:w="5000" w:type="pct"/>
        <w:tblLook w:val="04A0" w:firstRow="1" w:lastRow="0" w:firstColumn="1" w:lastColumn="0" w:noHBand="0" w:noVBand="1"/>
      </w:tblPr>
      <w:tblGrid>
        <w:gridCol w:w="2427"/>
        <w:gridCol w:w="2836"/>
        <w:gridCol w:w="3627"/>
      </w:tblGrid>
      <w:tr w:rsidR="00B756C2" w:rsidRPr="00FE73DE" w14:paraId="53108B35" w14:textId="77777777" w:rsidTr="00102BEB">
        <w:trPr>
          <w:cnfStyle w:val="100000000000" w:firstRow="1" w:lastRow="0" w:firstColumn="0" w:lastColumn="0" w:oddVBand="0" w:evenVBand="0" w:oddHBand="0" w:evenHBand="0" w:firstRowFirstColumn="0" w:firstRowLastColumn="0" w:lastRowFirstColumn="0" w:lastRowLastColumn="0"/>
        </w:trPr>
        <w:tc>
          <w:tcPr>
            <w:tcW w:w="1365" w:type="pct"/>
          </w:tcPr>
          <w:p w14:paraId="7BAF70A2" w14:textId="77777777" w:rsidR="00B756C2" w:rsidRPr="00FE73DE" w:rsidRDefault="00B756C2" w:rsidP="00102BEB">
            <w:pPr>
              <w:pStyle w:val="TableText"/>
              <w:rPr>
                <w:b w:val="0"/>
              </w:rPr>
            </w:pPr>
            <w:r w:rsidRPr="00FE73DE">
              <w:t>Types of AFI</w:t>
            </w:r>
          </w:p>
        </w:tc>
        <w:tc>
          <w:tcPr>
            <w:tcW w:w="1595" w:type="pct"/>
          </w:tcPr>
          <w:p w14:paraId="1480E633" w14:textId="77777777" w:rsidR="00B756C2" w:rsidRPr="00FE73DE" w:rsidRDefault="00B756C2" w:rsidP="00102BEB">
            <w:pPr>
              <w:pStyle w:val="TableText"/>
              <w:rPr>
                <w:b w:val="0"/>
              </w:rPr>
            </w:pPr>
            <w:r w:rsidRPr="00FE73DE">
              <w:t>Sources of capitalisation</w:t>
            </w:r>
          </w:p>
        </w:tc>
        <w:tc>
          <w:tcPr>
            <w:tcW w:w="2040" w:type="pct"/>
          </w:tcPr>
          <w:p w14:paraId="300BE302" w14:textId="77777777" w:rsidR="00B756C2" w:rsidRPr="00FE73DE" w:rsidRDefault="00B756C2" w:rsidP="00102BEB">
            <w:pPr>
              <w:pStyle w:val="TableText"/>
              <w:rPr>
                <w:b w:val="0"/>
              </w:rPr>
            </w:pPr>
            <w:r w:rsidRPr="00FE73DE">
              <w:t>Services</w:t>
            </w:r>
          </w:p>
        </w:tc>
      </w:tr>
      <w:tr w:rsidR="00B756C2" w:rsidRPr="00FE73DE" w14:paraId="52F92EEC" w14:textId="77777777" w:rsidTr="00102BEB">
        <w:tc>
          <w:tcPr>
            <w:tcW w:w="1365" w:type="pct"/>
          </w:tcPr>
          <w:p w14:paraId="3CB95508" w14:textId="77777777" w:rsidR="00B756C2" w:rsidRPr="00FE73DE" w:rsidRDefault="00B756C2" w:rsidP="00102BEB">
            <w:pPr>
              <w:pStyle w:val="TableText"/>
            </w:pPr>
            <w:r w:rsidRPr="00FE73DE">
              <w:t>Aboriginal Capital Corporations</w:t>
            </w:r>
          </w:p>
        </w:tc>
        <w:tc>
          <w:tcPr>
            <w:tcW w:w="1595" w:type="pct"/>
          </w:tcPr>
          <w:p w14:paraId="2CFFF983" w14:textId="77777777" w:rsidR="00B756C2" w:rsidRPr="00FE73DE" w:rsidRDefault="00B756C2" w:rsidP="00102BEB">
            <w:pPr>
              <w:pStyle w:val="TableText"/>
            </w:pPr>
            <w:r w:rsidRPr="00FE73DE">
              <w:t>Federal Government</w:t>
            </w:r>
          </w:p>
        </w:tc>
        <w:tc>
          <w:tcPr>
            <w:tcW w:w="2040" w:type="pct"/>
          </w:tcPr>
          <w:p w14:paraId="7313D5C0" w14:textId="77777777" w:rsidR="00B756C2" w:rsidRPr="00FE73DE" w:rsidRDefault="00B756C2">
            <w:pPr>
              <w:pStyle w:val="TableText"/>
              <w:numPr>
                <w:ilvl w:val="0"/>
                <w:numId w:val="18"/>
              </w:numPr>
              <w:ind w:left="275"/>
            </w:pPr>
            <w:r w:rsidRPr="00FE73DE">
              <w:t>Secured, interest-bearing term loans</w:t>
            </w:r>
          </w:p>
          <w:p w14:paraId="5AFC2BAC" w14:textId="77777777" w:rsidR="00B756C2" w:rsidRPr="00FE73DE" w:rsidRDefault="00B756C2">
            <w:pPr>
              <w:pStyle w:val="TableText"/>
              <w:numPr>
                <w:ilvl w:val="0"/>
                <w:numId w:val="18"/>
              </w:numPr>
              <w:ind w:left="275"/>
            </w:pPr>
            <w:r w:rsidRPr="00FE73DE">
              <w:t>Letters of credit</w:t>
            </w:r>
          </w:p>
          <w:p w14:paraId="17244851" w14:textId="77777777" w:rsidR="00B756C2" w:rsidRPr="00FE73DE" w:rsidRDefault="00B756C2">
            <w:pPr>
              <w:pStyle w:val="TableText"/>
              <w:numPr>
                <w:ilvl w:val="0"/>
                <w:numId w:val="18"/>
              </w:numPr>
              <w:ind w:left="275"/>
            </w:pPr>
            <w:r w:rsidRPr="00FE73DE">
              <w:t>Operating and working capital loans</w:t>
            </w:r>
          </w:p>
          <w:p w14:paraId="65F7154E" w14:textId="77777777" w:rsidR="00B756C2" w:rsidRPr="00FE73DE" w:rsidRDefault="00B756C2">
            <w:pPr>
              <w:pStyle w:val="TableText"/>
              <w:numPr>
                <w:ilvl w:val="0"/>
                <w:numId w:val="18"/>
              </w:numPr>
              <w:ind w:left="275"/>
            </w:pPr>
            <w:r w:rsidRPr="00FE73DE">
              <w:t>Technical and advisory services</w:t>
            </w:r>
          </w:p>
        </w:tc>
      </w:tr>
      <w:tr w:rsidR="00B756C2" w:rsidRPr="00FE73DE" w14:paraId="6F89CB24" w14:textId="77777777" w:rsidTr="00102BEB">
        <w:trPr>
          <w:cnfStyle w:val="000000010000" w:firstRow="0" w:lastRow="0" w:firstColumn="0" w:lastColumn="0" w:oddVBand="0" w:evenVBand="0" w:oddHBand="0" w:evenHBand="1" w:firstRowFirstColumn="0" w:firstRowLastColumn="0" w:lastRowFirstColumn="0" w:lastRowLastColumn="0"/>
        </w:trPr>
        <w:tc>
          <w:tcPr>
            <w:tcW w:w="1365" w:type="pct"/>
          </w:tcPr>
          <w:p w14:paraId="3C89E88E" w14:textId="77777777" w:rsidR="00B756C2" w:rsidRPr="00FE73DE" w:rsidRDefault="00B756C2" w:rsidP="00102BEB">
            <w:pPr>
              <w:pStyle w:val="TableText"/>
            </w:pPr>
            <w:r w:rsidRPr="00FE73DE">
              <w:t>Aboriginal Community Futures Development Corporations</w:t>
            </w:r>
          </w:p>
        </w:tc>
        <w:tc>
          <w:tcPr>
            <w:tcW w:w="1595" w:type="pct"/>
          </w:tcPr>
          <w:p w14:paraId="11AB5ABE" w14:textId="77777777" w:rsidR="00B756C2" w:rsidRPr="00FE73DE" w:rsidRDefault="00B756C2" w:rsidP="00102BEB">
            <w:pPr>
              <w:pStyle w:val="TableText"/>
            </w:pPr>
            <w:r w:rsidRPr="00FE73DE">
              <w:t>Federal Government via Regional Development Agencies</w:t>
            </w:r>
          </w:p>
        </w:tc>
        <w:tc>
          <w:tcPr>
            <w:tcW w:w="2040" w:type="pct"/>
          </w:tcPr>
          <w:p w14:paraId="75C4E59D" w14:textId="77777777" w:rsidR="00B756C2" w:rsidRPr="00FE73DE" w:rsidRDefault="00B756C2">
            <w:pPr>
              <w:pStyle w:val="TableText"/>
              <w:numPr>
                <w:ilvl w:val="0"/>
                <w:numId w:val="18"/>
              </w:numPr>
              <w:ind w:left="275"/>
            </w:pPr>
            <w:r w:rsidRPr="00FE73DE">
              <w:t>Business development loans</w:t>
            </w:r>
          </w:p>
          <w:p w14:paraId="1DA9B9E3" w14:textId="77777777" w:rsidR="00B756C2" w:rsidRPr="00FE73DE" w:rsidRDefault="00B756C2">
            <w:pPr>
              <w:pStyle w:val="TableText"/>
              <w:numPr>
                <w:ilvl w:val="0"/>
                <w:numId w:val="18"/>
              </w:numPr>
              <w:ind w:left="275"/>
            </w:pPr>
            <w:r w:rsidRPr="00FE73DE">
              <w:t>Technical support</w:t>
            </w:r>
          </w:p>
          <w:p w14:paraId="134D0B11" w14:textId="77777777" w:rsidR="00B756C2" w:rsidRPr="00FE73DE" w:rsidRDefault="00B756C2">
            <w:pPr>
              <w:pStyle w:val="TableText"/>
              <w:numPr>
                <w:ilvl w:val="0"/>
                <w:numId w:val="18"/>
              </w:numPr>
              <w:ind w:left="275"/>
            </w:pPr>
            <w:r w:rsidRPr="00FE73DE">
              <w:t>Training and information</w:t>
            </w:r>
          </w:p>
          <w:p w14:paraId="0DAE373D" w14:textId="77777777" w:rsidR="00B756C2" w:rsidRPr="00FE73DE" w:rsidRDefault="00B756C2">
            <w:pPr>
              <w:pStyle w:val="TableText"/>
              <w:numPr>
                <w:ilvl w:val="0"/>
                <w:numId w:val="18"/>
              </w:numPr>
              <w:ind w:left="275"/>
            </w:pPr>
            <w:r w:rsidRPr="00FE73DE">
              <w:t>Community initiatives e.g. strategic planning processes, research and feasibility studies</w:t>
            </w:r>
          </w:p>
        </w:tc>
      </w:tr>
      <w:tr w:rsidR="00B756C2" w:rsidRPr="00FE73DE" w14:paraId="2319E769" w14:textId="77777777" w:rsidTr="00102BEB">
        <w:tc>
          <w:tcPr>
            <w:tcW w:w="1365" w:type="pct"/>
          </w:tcPr>
          <w:p w14:paraId="144315D3" w14:textId="77777777" w:rsidR="00B756C2" w:rsidRPr="00FE73DE" w:rsidRDefault="00B756C2" w:rsidP="00102BEB">
            <w:pPr>
              <w:pStyle w:val="TableText"/>
            </w:pPr>
            <w:r w:rsidRPr="00FE73DE">
              <w:t>Aboriginal Development Lenders</w:t>
            </w:r>
          </w:p>
        </w:tc>
        <w:tc>
          <w:tcPr>
            <w:tcW w:w="1595" w:type="pct"/>
          </w:tcPr>
          <w:p w14:paraId="6CA8E8EF" w14:textId="77777777" w:rsidR="00B756C2" w:rsidRPr="00FE73DE" w:rsidRDefault="00B756C2" w:rsidP="00102BEB">
            <w:pPr>
              <w:pStyle w:val="TableText"/>
            </w:pPr>
            <w:r w:rsidRPr="00FE73DE">
              <w:t>Private sector, provincial/territorial governments</w:t>
            </w:r>
          </w:p>
        </w:tc>
        <w:tc>
          <w:tcPr>
            <w:tcW w:w="2040" w:type="pct"/>
          </w:tcPr>
          <w:p w14:paraId="26FD1C40" w14:textId="77777777" w:rsidR="00B756C2" w:rsidRPr="00FE73DE" w:rsidRDefault="00B756C2">
            <w:pPr>
              <w:pStyle w:val="TableText"/>
              <w:numPr>
                <w:ilvl w:val="0"/>
                <w:numId w:val="18"/>
              </w:numPr>
              <w:ind w:left="275"/>
            </w:pPr>
            <w:r w:rsidRPr="00FE73DE">
              <w:t xml:space="preserve">Debt and equity capital </w:t>
            </w:r>
          </w:p>
          <w:p w14:paraId="57318DCD" w14:textId="77777777" w:rsidR="00B756C2" w:rsidRPr="00FE73DE" w:rsidRDefault="00B756C2">
            <w:pPr>
              <w:pStyle w:val="TableText"/>
              <w:numPr>
                <w:ilvl w:val="0"/>
                <w:numId w:val="18"/>
              </w:numPr>
              <w:ind w:left="275"/>
            </w:pPr>
            <w:r w:rsidRPr="00FE73DE">
              <w:t>Business support services, including federal, provincial, and territorial programs</w:t>
            </w:r>
          </w:p>
        </w:tc>
      </w:tr>
    </w:tbl>
    <w:p w14:paraId="33CF7D3D" w14:textId="77777777" w:rsidR="00B756C2" w:rsidRPr="00FE73DE" w:rsidRDefault="00B756C2" w:rsidP="00B756C2"/>
    <w:p w14:paraId="3A045BB0" w14:textId="77777777" w:rsidR="00B756C2" w:rsidRPr="00FE73DE" w:rsidRDefault="00B756C2" w:rsidP="00B756C2">
      <w:pPr>
        <w:pStyle w:val="Heading5"/>
      </w:pPr>
      <w:r w:rsidRPr="00FE73DE">
        <w:t>Government support mechanisms</w:t>
      </w:r>
    </w:p>
    <w:p w14:paraId="543E3033" w14:textId="6C449732" w:rsidR="00B756C2" w:rsidRPr="00FE73DE" w:rsidRDefault="00B756C2" w:rsidP="00B756C2">
      <w:r w:rsidRPr="00FE73DE">
        <w:t xml:space="preserve">The Canadian Government provides financial products to Indigenous businesses through </w:t>
      </w:r>
      <w:r w:rsidR="00295C5C">
        <w:t>three</w:t>
      </w:r>
      <w:r w:rsidRPr="00FE73DE">
        <w:t xml:space="preserve"> main mechanisms.</w:t>
      </w:r>
    </w:p>
    <w:p w14:paraId="70CBF662" w14:textId="77777777" w:rsidR="00B756C2" w:rsidRPr="00FE73DE" w:rsidRDefault="00B756C2">
      <w:pPr>
        <w:pStyle w:val="ListParagraph"/>
        <w:numPr>
          <w:ilvl w:val="0"/>
          <w:numId w:val="14"/>
        </w:numPr>
        <w:spacing w:after="120" w:line="240" w:lineRule="auto"/>
      </w:pPr>
      <w:r w:rsidRPr="00FE73DE">
        <w:rPr>
          <w:b/>
          <w:bCs/>
        </w:rPr>
        <w:t>AFI loans.</w:t>
      </w:r>
      <w:r w:rsidRPr="00FE73DE">
        <w:t xml:space="preserve"> These are the primary source of finance for Indigenous SMEs in Canada. Currently, the AFI network provides C$125m in new loans per year. The Canadian Government recently committed to increasing the financing available through AFIs via the Indigenous Growth Fund, which raised C$150m in its first round.</w:t>
      </w:r>
    </w:p>
    <w:p w14:paraId="5BB7EFFB" w14:textId="77777777" w:rsidR="00B756C2" w:rsidRPr="00FE73DE" w:rsidRDefault="00B756C2">
      <w:pPr>
        <w:pStyle w:val="ListParagraph"/>
        <w:numPr>
          <w:ilvl w:val="0"/>
          <w:numId w:val="14"/>
        </w:numPr>
        <w:spacing w:after="120" w:line="240" w:lineRule="auto"/>
      </w:pPr>
      <w:r w:rsidRPr="00FE73DE">
        <w:rPr>
          <w:b/>
          <w:bCs/>
        </w:rPr>
        <w:t>Indigenous Entrepreneur Loans provided by Business Development Bank of Canada (BDC).</w:t>
      </w:r>
      <w:r w:rsidRPr="00FE73DE">
        <w:t xml:space="preserve"> This scheme provides loans of up to C$250,000 for existing businesses and C$150,000 for start-ups.</w:t>
      </w:r>
      <w:r w:rsidRPr="00FE73DE">
        <w:rPr>
          <w:rStyle w:val="FootnoteReference"/>
        </w:rPr>
        <w:footnoteReference w:id="83"/>
      </w:r>
      <w:r w:rsidRPr="00FE73DE">
        <w:t xml:space="preserve"> Loans can be used for a range of purposes, including acquiring fixed assets, financing franchise fees, paying start-up costs, setting the business up for exporting, and replenishing working capital.</w:t>
      </w:r>
      <w:r w:rsidRPr="00FE73DE">
        <w:rPr>
          <w:rStyle w:val="FootnoteReference"/>
        </w:rPr>
        <w:footnoteReference w:id="84"/>
      </w:r>
      <w:r w:rsidRPr="00FE73DE">
        <w:t xml:space="preserve"> BDC is a government-backed institution.</w:t>
      </w:r>
    </w:p>
    <w:p w14:paraId="3A7E5D0E" w14:textId="77777777" w:rsidR="00B756C2" w:rsidRPr="00FE73DE" w:rsidRDefault="00B756C2">
      <w:pPr>
        <w:pStyle w:val="ListParagraph"/>
        <w:numPr>
          <w:ilvl w:val="0"/>
          <w:numId w:val="14"/>
        </w:numPr>
        <w:spacing w:after="120" w:line="240" w:lineRule="auto"/>
      </w:pPr>
      <w:r w:rsidRPr="00FE73DE">
        <w:rPr>
          <w:b/>
          <w:bCs/>
        </w:rPr>
        <w:t>Aboriginal Business Financing Program (ABFP).</w:t>
      </w:r>
      <w:r w:rsidRPr="00FE73DE">
        <w:t xml:space="preserve"> The ABFP provides grants of up to C$99,000 to individual entrepreneurs and C$250,000 for community-owned Aboriginal businesses. These non-repayable contributions are delivered through AFIs and provide equity, quasi-equity and business support services.</w:t>
      </w:r>
      <w:r w:rsidRPr="00FE73DE">
        <w:rPr>
          <w:rStyle w:val="FootnoteReference"/>
        </w:rPr>
        <w:footnoteReference w:id="85"/>
      </w:r>
      <w:r w:rsidRPr="00FE73DE">
        <w:t xml:space="preserve"> The ABFP has been operating since 1990.</w:t>
      </w:r>
    </w:p>
    <w:p w14:paraId="1CC4B901" w14:textId="77777777" w:rsidR="00B756C2" w:rsidRPr="00FE73DE" w:rsidRDefault="00B756C2" w:rsidP="00B756C2">
      <w:r w:rsidRPr="00FE73DE">
        <w:t>More recently, the Canadian Government established the Indigenous Community Business Fund to support First Nation, Inuit and Métis community-owned businesses affected by COVID-19. The Fund is providing C$234 million in non-repayable financial contributions to cover operating costs and costs associated with adaptation, planning and reopening post-COVID.</w:t>
      </w:r>
      <w:r w:rsidRPr="00FE73DE">
        <w:rPr>
          <w:rStyle w:val="FootnoteReference"/>
        </w:rPr>
        <w:footnoteReference w:id="86"/>
      </w:r>
    </w:p>
    <w:p w14:paraId="41FA29D0" w14:textId="77777777" w:rsidR="00B756C2" w:rsidRPr="00FE73DE" w:rsidRDefault="00B756C2" w:rsidP="00B756C2">
      <w:pPr>
        <w:pStyle w:val="Heading4"/>
      </w:pPr>
      <w:r w:rsidRPr="00FE73DE">
        <w:t>United States of America</w:t>
      </w:r>
    </w:p>
    <w:p w14:paraId="3522F139" w14:textId="77777777" w:rsidR="00B756C2" w:rsidRPr="00FE73DE" w:rsidRDefault="00B756C2" w:rsidP="00B756C2">
      <w:r w:rsidRPr="00FE73DE">
        <w:t>The most recently available data suggests that as of 2016 there were 29,089 Native American and First Nations-owned businesses in the US.</w:t>
      </w:r>
      <w:r w:rsidRPr="00FE73DE">
        <w:rPr>
          <w:rStyle w:val="FootnoteReference"/>
        </w:rPr>
        <w:footnoteReference w:id="87"/>
      </w:r>
      <w:r w:rsidRPr="00FE73DE">
        <w:t xml:space="preserve"> Similar to Indigenous-owned businesses in Canada, Native American and First Nations businesses in the US face a wide range of challenges in accessing commercial financial products. These challenges include geographic isolation, complex governance that prevents land being leveraged to obtain capital, the perceived risks of lending to Indigenous-owned business, and confusion over the application of banking laws in the context of the sovereign status of Native American nations.</w:t>
      </w:r>
      <w:r w:rsidRPr="00FE73DE">
        <w:rPr>
          <w:rStyle w:val="FootnoteReference"/>
        </w:rPr>
        <w:footnoteReference w:id="88"/>
      </w:r>
    </w:p>
    <w:p w14:paraId="188CD753" w14:textId="77777777" w:rsidR="00B756C2" w:rsidRPr="00FE73DE" w:rsidRDefault="00B756C2" w:rsidP="00B756C2">
      <w:r w:rsidRPr="00FE73DE">
        <w:t>Similar to Canada, Native American businesses in the US are supported by a network of Native Community Development Financial Institutions (Native CDFIs). These organisations “provide financial services and loan products tailored to Native Communities’ development needs”.</w:t>
      </w:r>
      <w:r w:rsidRPr="00FE73DE">
        <w:rPr>
          <w:rStyle w:val="FootnoteReference"/>
        </w:rPr>
        <w:footnoteReference w:id="89"/>
      </w:r>
      <w:r w:rsidRPr="00FE73DE">
        <w:t xml:space="preserve"> There are currently 69 certified</w:t>
      </w:r>
      <w:r w:rsidRPr="00FE73DE">
        <w:rPr>
          <w:rStyle w:val="FootnoteReference"/>
        </w:rPr>
        <w:footnoteReference w:id="90"/>
      </w:r>
      <w:r w:rsidRPr="00FE73DE">
        <w:t xml:space="preserve"> Native CDFIs in the US,</w:t>
      </w:r>
      <w:r w:rsidRPr="00FE73DE">
        <w:rPr>
          <w:rStyle w:val="FootnoteReference"/>
        </w:rPr>
        <w:footnoteReference w:id="91"/>
      </w:r>
      <w:r w:rsidRPr="00FE73DE">
        <w:t xml:space="preserve"> including “loan funds, credit unions, banks, thrifts, and depository institution holding companies, all committed to the mission of supporting development in American Indian, Alaska Native, and Native Hawaiian communities”.</w:t>
      </w:r>
      <w:r w:rsidRPr="00FE73DE">
        <w:rPr>
          <w:rStyle w:val="FootnoteReference"/>
        </w:rPr>
        <w:footnoteReference w:id="92"/>
      </w:r>
      <w:r w:rsidRPr="00FE73DE">
        <w:t xml:space="preserve"> Native CDFIs provide services including financial education, business coaching, and loans.</w:t>
      </w:r>
      <w:r w:rsidRPr="00FE73DE">
        <w:rPr>
          <w:rStyle w:val="FootnoteReference"/>
        </w:rPr>
        <w:footnoteReference w:id="93"/>
      </w:r>
      <w:r w:rsidRPr="00FE73DE">
        <w:t xml:space="preserve"> Federal government support for Native CDFIs is primarily delivered through the Native American CDFI Assistance Program (</w:t>
      </w:r>
      <w:r w:rsidRPr="00FE73DE">
        <w:rPr>
          <w:szCs w:val="24"/>
        </w:rPr>
        <w:t>NACA Program), which provides loans, grants, deposits, and equity investments to support Native CDFI financing activities.</w:t>
      </w:r>
      <w:r w:rsidRPr="00FE73DE">
        <w:rPr>
          <w:rStyle w:val="FootnoteReference"/>
        </w:rPr>
        <w:footnoteReference w:id="94"/>
      </w:r>
    </w:p>
    <w:p w14:paraId="6E2D46CB" w14:textId="77777777" w:rsidR="00B756C2" w:rsidRPr="00FE73DE" w:rsidRDefault="00B756C2" w:rsidP="00B756C2">
      <w:pPr>
        <w:pStyle w:val="Heading5"/>
      </w:pPr>
      <w:r w:rsidRPr="00FE73DE">
        <w:t>Government support mechanisms</w:t>
      </w:r>
    </w:p>
    <w:p w14:paraId="5A01CA10" w14:textId="77777777" w:rsidR="00B756C2" w:rsidRPr="00FE73DE" w:rsidRDefault="00B756C2" w:rsidP="00B756C2">
      <w:r w:rsidRPr="00FE73DE">
        <w:t>There is a complex array of federal government financial support options available to Native American businesses, a number of which are outlined below:</w:t>
      </w:r>
      <w:r w:rsidRPr="00FE73DE">
        <w:rPr>
          <w:rStyle w:val="FootnoteReference"/>
        </w:rPr>
        <w:footnoteReference w:id="95"/>
      </w:r>
    </w:p>
    <w:p w14:paraId="11B1AC72" w14:textId="77777777" w:rsidR="00B756C2" w:rsidRPr="00FE73DE" w:rsidRDefault="00B756C2">
      <w:pPr>
        <w:pStyle w:val="ListParagraph"/>
        <w:numPr>
          <w:ilvl w:val="0"/>
          <w:numId w:val="14"/>
        </w:numPr>
        <w:spacing w:after="120" w:line="240" w:lineRule="auto"/>
        <w:rPr>
          <w:sz w:val="28"/>
          <w:szCs w:val="28"/>
        </w:rPr>
      </w:pPr>
      <w:bookmarkStart w:id="172" w:name="_Hlk86667331"/>
      <w:r w:rsidRPr="00FE73DE">
        <w:rPr>
          <w:b/>
          <w:bCs/>
          <w:szCs w:val="24"/>
        </w:rPr>
        <w:t xml:space="preserve">Indian Loan Guarantee and Insurance Program (ILGP). </w:t>
      </w:r>
      <w:r w:rsidRPr="00FE73DE">
        <w:rPr>
          <w:szCs w:val="24"/>
        </w:rPr>
        <w:t>The ILGP is administered by the Bureau of Indian Affairs’ Division of Capital Investment (US Department of the Interior). The program allows eligible borrowers</w:t>
      </w:r>
      <w:r w:rsidRPr="00FE73DE">
        <w:rPr>
          <w:rStyle w:val="FootnoteReference"/>
          <w:szCs w:val="24"/>
        </w:rPr>
        <w:footnoteReference w:id="96"/>
      </w:r>
      <w:r w:rsidRPr="00FE73DE">
        <w:rPr>
          <w:szCs w:val="24"/>
        </w:rPr>
        <w:t xml:space="preserve"> to apply for a loan through an approved lending </w:t>
      </w:r>
      <w:r w:rsidRPr="00FE73DE">
        <w:t>institution</w:t>
      </w:r>
      <w:r w:rsidRPr="00FE73DE">
        <w:rPr>
          <w:szCs w:val="24"/>
        </w:rPr>
        <w:t>, with 90% of the loan guaranteed by the government. Several large banks and a range of smaller community banks participate in the program. Loans may be used for operating capital, equipment purchases, acquisition and refinancing, building construction, and lines of credit.</w:t>
      </w:r>
      <w:r w:rsidRPr="00FE73DE">
        <w:rPr>
          <w:rStyle w:val="FootnoteReference"/>
          <w:szCs w:val="24"/>
        </w:rPr>
        <w:footnoteReference w:id="97"/>
      </w:r>
    </w:p>
    <w:p w14:paraId="683142B7" w14:textId="77777777" w:rsidR="00B756C2" w:rsidRPr="00FE73DE" w:rsidRDefault="00B756C2">
      <w:pPr>
        <w:pStyle w:val="ListParagraph"/>
        <w:numPr>
          <w:ilvl w:val="0"/>
          <w:numId w:val="14"/>
        </w:numPr>
        <w:spacing w:after="120" w:line="240" w:lineRule="auto"/>
        <w:rPr>
          <w:szCs w:val="24"/>
        </w:rPr>
      </w:pPr>
      <w:r w:rsidRPr="00FE73DE">
        <w:rPr>
          <w:b/>
          <w:bCs/>
          <w:szCs w:val="24"/>
        </w:rPr>
        <w:t>Loans through Native CDFIs.</w:t>
      </w:r>
      <w:r w:rsidRPr="00FE73DE">
        <w:rPr>
          <w:szCs w:val="24"/>
        </w:rPr>
        <w:t xml:space="preserve"> Between 2010 and 2018, Native CDFIs that received NACA program grants </w:t>
      </w:r>
      <w:r w:rsidRPr="00FE73DE">
        <w:t>made</w:t>
      </w:r>
      <w:r w:rsidRPr="00FE73DE">
        <w:rPr>
          <w:szCs w:val="24"/>
        </w:rPr>
        <w:t xml:space="preserve"> approximately US$312 million in loans and investments for businesses.</w:t>
      </w:r>
      <w:r w:rsidRPr="00FE73DE">
        <w:rPr>
          <w:rStyle w:val="FootnoteReference"/>
          <w:szCs w:val="24"/>
        </w:rPr>
        <w:footnoteReference w:id="98"/>
      </w:r>
      <w:r w:rsidRPr="00FE73DE">
        <w:rPr>
          <w:szCs w:val="24"/>
        </w:rPr>
        <w:t xml:space="preserve"> The specific provisions for loans vary across different types of Native CDFI.</w:t>
      </w:r>
    </w:p>
    <w:p w14:paraId="44D95440" w14:textId="77777777" w:rsidR="00B756C2" w:rsidRPr="00FE73DE" w:rsidRDefault="00B756C2">
      <w:pPr>
        <w:pStyle w:val="ListParagraph"/>
        <w:numPr>
          <w:ilvl w:val="0"/>
          <w:numId w:val="14"/>
        </w:numPr>
        <w:spacing w:after="120" w:line="240" w:lineRule="auto"/>
        <w:rPr>
          <w:szCs w:val="24"/>
        </w:rPr>
      </w:pPr>
      <w:r w:rsidRPr="00FE73DE">
        <w:rPr>
          <w:b/>
          <w:bCs/>
          <w:szCs w:val="24"/>
        </w:rPr>
        <w:t>Energy Department’s Tribal Energy Loan Guarantee Program (TELGP).</w:t>
      </w:r>
      <w:r w:rsidRPr="00FE73DE">
        <w:rPr>
          <w:szCs w:val="24"/>
        </w:rPr>
        <w:t xml:space="preserve"> The TELGP operates in a similar way to the ILGP. The Department of Energy guarantees “up to 90 percent of the </w:t>
      </w:r>
      <w:r w:rsidRPr="00FE73DE">
        <w:t>unpaid</w:t>
      </w:r>
      <w:r w:rsidRPr="00FE73DE">
        <w:rPr>
          <w:szCs w:val="24"/>
        </w:rPr>
        <w:t xml:space="preserve"> principal and interest due on any loan made to a federally recognized Indian tribe or Alaska Native Corporation for energy development”.</w:t>
      </w:r>
      <w:r w:rsidRPr="00FE73DE">
        <w:rPr>
          <w:rStyle w:val="FootnoteReference"/>
          <w:szCs w:val="24"/>
        </w:rPr>
        <w:footnoteReference w:id="99"/>
      </w:r>
      <w:r w:rsidRPr="00FE73DE">
        <w:rPr>
          <w:szCs w:val="24"/>
        </w:rPr>
        <w:t xml:space="preserve"> Loans are restricted to federally recognised tribes and tribal energy development organisations. Up to $2 billion is available for loan guarantees through the program. </w:t>
      </w:r>
    </w:p>
    <w:p w14:paraId="6081F90F" w14:textId="467B1BCF" w:rsidR="00B756C2" w:rsidRPr="00FE73DE" w:rsidRDefault="00B756C2">
      <w:pPr>
        <w:pStyle w:val="ListParagraph"/>
        <w:numPr>
          <w:ilvl w:val="0"/>
          <w:numId w:val="14"/>
        </w:numPr>
        <w:spacing w:after="120" w:line="240" w:lineRule="auto"/>
        <w:rPr>
          <w:szCs w:val="24"/>
        </w:rPr>
      </w:pPr>
      <w:r w:rsidRPr="00FE73DE">
        <w:rPr>
          <w:b/>
          <w:bCs/>
          <w:szCs w:val="24"/>
        </w:rPr>
        <w:t>Native American Business Development Institute</w:t>
      </w:r>
      <w:r w:rsidRPr="00FE73DE">
        <w:rPr>
          <w:szCs w:val="24"/>
        </w:rPr>
        <w:t xml:space="preserve"> </w:t>
      </w:r>
      <w:r w:rsidRPr="00FE73DE">
        <w:rPr>
          <w:b/>
          <w:bCs/>
          <w:szCs w:val="24"/>
        </w:rPr>
        <w:t>(NABDI) grants.</w:t>
      </w:r>
      <w:r w:rsidRPr="00FE73DE">
        <w:rPr>
          <w:szCs w:val="24"/>
        </w:rPr>
        <w:t xml:space="preserve"> This grant program provides funds for tribes to hire consultants to conduct feasibility studies “on the viability of a business, </w:t>
      </w:r>
      <w:r w:rsidRPr="00FE73DE">
        <w:t>technology</w:t>
      </w:r>
      <w:r w:rsidRPr="00FE73DE">
        <w:rPr>
          <w:szCs w:val="24"/>
        </w:rPr>
        <w:t>, or economic development project”.</w:t>
      </w:r>
      <w:r w:rsidRPr="00FE73DE">
        <w:rPr>
          <w:rStyle w:val="FootnoteReference"/>
          <w:szCs w:val="24"/>
        </w:rPr>
        <w:footnoteReference w:id="100"/>
      </w:r>
      <w:r w:rsidRPr="00FE73DE">
        <w:rPr>
          <w:szCs w:val="24"/>
        </w:rPr>
        <w:t xml:space="preserve"> NABDI planned to award 2</w:t>
      </w:r>
      <w:r w:rsidR="008557E8">
        <w:rPr>
          <w:szCs w:val="24"/>
        </w:rPr>
        <w:t>0–</w:t>
      </w:r>
      <w:r w:rsidRPr="00FE73DE">
        <w:rPr>
          <w:szCs w:val="24"/>
        </w:rPr>
        <w:t xml:space="preserve">35 grants in 2021. Grants are typically between US$25,000 and $75,000. </w:t>
      </w:r>
    </w:p>
    <w:p w14:paraId="753C9E2C" w14:textId="77777777" w:rsidR="00B756C2" w:rsidRPr="00FE73DE" w:rsidRDefault="00B756C2">
      <w:pPr>
        <w:pStyle w:val="ListParagraph"/>
        <w:numPr>
          <w:ilvl w:val="0"/>
          <w:numId w:val="14"/>
        </w:numPr>
        <w:spacing w:after="120" w:line="240" w:lineRule="auto"/>
        <w:rPr>
          <w:szCs w:val="24"/>
        </w:rPr>
      </w:pPr>
      <w:r w:rsidRPr="00FE73DE">
        <w:rPr>
          <w:b/>
          <w:bCs/>
          <w:szCs w:val="24"/>
        </w:rPr>
        <w:t xml:space="preserve">Small Business Administration (SBA) loans. </w:t>
      </w:r>
      <w:r w:rsidRPr="00FE73DE">
        <w:rPr>
          <w:szCs w:val="24"/>
        </w:rPr>
        <w:t>SBA loans are not limited to Native American borrowers, but one of the agency’s goals is to support minorities and communities lacking access to capital. Consequently, nearly one-third of its past loans were made to minority business owners.</w:t>
      </w:r>
      <w:r w:rsidRPr="00FE73DE">
        <w:rPr>
          <w:rStyle w:val="FootnoteReference"/>
          <w:szCs w:val="24"/>
        </w:rPr>
        <w:footnoteReference w:id="101"/>
      </w:r>
      <w:r w:rsidRPr="00FE73DE">
        <w:rPr>
          <w:szCs w:val="24"/>
        </w:rPr>
        <w:t xml:space="preserve"> SBA provides a variety of loan types, with the standard ‘7(a)’ loan capped at US$5 million.</w:t>
      </w:r>
      <w:r w:rsidRPr="00FE73DE">
        <w:rPr>
          <w:rStyle w:val="FootnoteReference"/>
          <w:szCs w:val="24"/>
        </w:rPr>
        <w:footnoteReference w:id="102"/>
      </w:r>
    </w:p>
    <w:bookmarkEnd w:id="172"/>
    <w:p w14:paraId="318CE324" w14:textId="77777777" w:rsidR="00B756C2" w:rsidRPr="00FE73DE" w:rsidRDefault="00B756C2" w:rsidP="00B756C2">
      <w:r w:rsidRPr="00FE73DE">
        <w:t>Recognising the broader underlying government policy of support for Indigenous Australians being Indigenous owned, and Indigenous lead, in the future delivery of support to Indigenous businesses, the consideration should be given to whether the Australian government is interested in following the example of Canada and the US and helping fund the provision of financial support to Indigenous businesses through Indigenous-owned financial institutions.</w:t>
      </w:r>
    </w:p>
    <w:p w14:paraId="04F297F3" w14:textId="77777777" w:rsidR="00B756C2" w:rsidRPr="00FE73DE" w:rsidRDefault="00B756C2" w:rsidP="00B756C2">
      <w:pPr>
        <w:spacing w:after="200" w:line="276" w:lineRule="auto"/>
        <w:jc w:val="left"/>
      </w:pPr>
      <w:r w:rsidRPr="00FE73DE">
        <w:br w:type="page"/>
      </w:r>
    </w:p>
    <w:p w14:paraId="7926530D" w14:textId="33955CA2" w:rsidR="00590F02" w:rsidRPr="00FE73DE" w:rsidRDefault="00590F02">
      <w:pPr>
        <w:spacing w:after="200" w:line="276" w:lineRule="auto"/>
        <w:jc w:val="left"/>
      </w:pPr>
    </w:p>
    <w:p w14:paraId="5A3CC9C5" w14:textId="77777777" w:rsidR="00192E95" w:rsidRPr="00FE73DE" w:rsidRDefault="00192E95">
      <w:pPr>
        <w:spacing w:after="200" w:line="276" w:lineRule="auto"/>
        <w:jc w:val="left"/>
      </w:pPr>
    </w:p>
    <w:p w14:paraId="581E0F92" w14:textId="77777777" w:rsidR="00B24AB4" w:rsidRPr="00FE73DE" w:rsidRDefault="00B24AB4" w:rsidP="00ED238A">
      <w:pPr>
        <w:spacing w:after="200" w:line="276" w:lineRule="auto"/>
        <w:jc w:val="left"/>
      </w:pPr>
    </w:p>
    <w:p w14:paraId="3864A9F1" w14:textId="08D8482A" w:rsidR="00B24AB4" w:rsidRPr="00FE73DE" w:rsidRDefault="00B24AB4" w:rsidP="00ED238A">
      <w:pPr>
        <w:spacing w:after="200" w:line="276" w:lineRule="auto"/>
        <w:jc w:val="left"/>
      </w:pPr>
    </w:p>
    <w:p w14:paraId="6C551CEA" w14:textId="18433CEA" w:rsidR="00B24AB4" w:rsidRPr="00FE73DE" w:rsidRDefault="00B24AB4" w:rsidP="00ED238A">
      <w:pPr>
        <w:spacing w:after="200" w:line="276" w:lineRule="auto"/>
        <w:jc w:val="left"/>
      </w:pPr>
    </w:p>
    <w:p w14:paraId="668492E1" w14:textId="0703B296" w:rsidR="00B24AB4" w:rsidRPr="00FE73DE" w:rsidRDefault="00B24AB4" w:rsidP="00ED238A">
      <w:pPr>
        <w:spacing w:after="200" w:line="276" w:lineRule="auto"/>
        <w:jc w:val="left"/>
      </w:pPr>
    </w:p>
    <w:p w14:paraId="33E6C6BC" w14:textId="3762F483" w:rsidR="00B24AB4" w:rsidRPr="00FE73DE" w:rsidRDefault="00B24AB4" w:rsidP="00ED238A">
      <w:pPr>
        <w:spacing w:after="200" w:line="276" w:lineRule="auto"/>
        <w:jc w:val="left"/>
      </w:pPr>
    </w:p>
    <w:p w14:paraId="6A4B13BD" w14:textId="5D4124CE" w:rsidR="00B24AB4" w:rsidRPr="00FE73DE" w:rsidRDefault="00B24AB4" w:rsidP="00ED238A">
      <w:pPr>
        <w:spacing w:after="200" w:line="276" w:lineRule="auto"/>
        <w:jc w:val="left"/>
      </w:pPr>
    </w:p>
    <w:p w14:paraId="272DE94D" w14:textId="275BE91E" w:rsidR="00B24AB4" w:rsidRPr="00FE73DE" w:rsidRDefault="00B24AB4" w:rsidP="00ED238A">
      <w:pPr>
        <w:spacing w:after="200" w:line="276" w:lineRule="auto"/>
        <w:jc w:val="left"/>
      </w:pPr>
    </w:p>
    <w:p w14:paraId="0C0AFBF1" w14:textId="1C701070" w:rsidR="00B24AB4" w:rsidRPr="00FE73DE" w:rsidRDefault="00B24AB4" w:rsidP="00ED238A">
      <w:pPr>
        <w:spacing w:after="200" w:line="276" w:lineRule="auto"/>
        <w:jc w:val="left"/>
      </w:pPr>
    </w:p>
    <w:p w14:paraId="123361E5" w14:textId="583F536D" w:rsidR="00B24AB4" w:rsidRPr="00FE73DE" w:rsidRDefault="00B24AB4" w:rsidP="00ED238A">
      <w:pPr>
        <w:spacing w:after="200" w:line="276" w:lineRule="auto"/>
        <w:jc w:val="left"/>
      </w:pPr>
    </w:p>
    <w:p w14:paraId="10705025" w14:textId="3FBF6339" w:rsidR="00B24AB4" w:rsidRPr="00FE73DE" w:rsidRDefault="00B24AB4" w:rsidP="00ED238A">
      <w:pPr>
        <w:spacing w:after="200" w:line="276" w:lineRule="auto"/>
        <w:jc w:val="left"/>
      </w:pPr>
    </w:p>
    <w:p w14:paraId="2C4E5BFF" w14:textId="552C1AC1" w:rsidR="00B24AB4" w:rsidRPr="00FE73DE" w:rsidRDefault="00B24AB4" w:rsidP="00ED238A">
      <w:pPr>
        <w:spacing w:after="200" w:line="276" w:lineRule="auto"/>
        <w:jc w:val="left"/>
      </w:pPr>
    </w:p>
    <w:p w14:paraId="180B4524" w14:textId="0368468E" w:rsidR="00B24AB4" w:rsidRPr="00FE73DE" w:rsidRDefault="00B24AB4" w:rsidP="00ED238A">
      <w:pPr>
        <w:spacing w:after="200" w:line="276" w:lineRule="auto"/>
        <w:jc w:val="left"/>
      </w:pPr>
    </w:p>
    <w:p w14:paraId="52676C35" w14:textId="64AF170D" w:rsidR="00B24AB4" w:rsidRPr="00FE73DE" w:rsidRDefault="00B24AB4" w:rsidP="00ED238A">
      <w:pPr>
        <w:spacing w:after="200" w:line="276" w:lineRule="auto"/>
        <w:jc w:val="left"/>
      </w:pPr>
    </w:p>
    <w:p w14:paraId="2C1439D9" w14:textId="1EFBF16E" w:rsidR="00B24AB4" w:rsidRPr="00FE73DE" w:rsidRDefault="00B24AB4" w:rsidP="00ED238A">
      <w:pPr>
        <w:spacing w:after="200" w:line="276" w:lineRule="auto"/>
        <w:jc w:val="left"/>
      </w:pPr>
    </w:p>
    <w:p w14:paraId="4400D14C" w14:textId="6E6A1A90" w:rsidR="00B24AB4" w:rsidRPr="00FE73DE" w:rsidRDefault="00B24AB4" w:rsidP="00ED238A">
      <w:pPr>
        <w:spacing w:after="200" w:line="276" w:lineRule="auto"/>
        <w:jc w:val="left"/>
      </w:pPr>
    </w:p>
    <w:p w14:paraId="7789EADD" w14:textId="01041780" w:rsidR="00B24AB4" w:rsidRPr="00FE73DE" w:rsidRDefault="00B24AB4" w:rsidP="00ED238A">
      <w:pPr>
        <w:spacing w:after="200" w:line="276" w:lineRule="auto"/>
        <w:jc w:val="left"/>
      </w:pPr>
    </w:p>
    <w:p w14:paraId="15063CAE" w14:textId="2B529503" w:rsidR="00B24AB4" w:rsidRPr="00FE73DE" w:rsidRDefault="00B24AB4" w:rsidP="00ED238A">
      <w:pPr>
        <w:spacing w:after="200" w:line="276" w:lineRule="auto"/>
        <w:jc w:val="left"/>
      </w:pPr>
    </w:p>
    <w:p w14:paraId="5457F3FA" w14:textId="4D37B1E2" w:rsidR="00B24AB4" w:rsidRPr="00FE73DE" w:rsidRDefault="00B24AB4" w:rsidP="00ED238A">
      <w:pPr>
        <w:spacing w:after="200" w:line="276" w:lineRule="auto"/>
        <w:jc w:val="left"/>
      </w:pPr>
    </w:p>
    <w:p w14:paraId="6CB012CD" w14:textId="40DA3F25" w:rsidR="00B24AB4" w:rsidRPr="00FE73DE" w:rsidRDefault="00B24AB4" w:rsidP="00ED238A">
      <w:pPr>
        <w:spacing w:after="200" w:line="276" w:lineRule="auto"/>
        <w:jc w:val="left"/>
      </w:pPr>
    </w:p>
    <w:p w14:paraId="0FB542F7" w14:textId="37D6AD03" w:rsidR="00131A63" w:rsidRPr="00FE73DE" w:rsidRDefault="00131A63" w:rsidP="00ED238A">
      <w:pPr>
        <w:spacing w:after="200" w:line="276" w:lineRule="auto"/>
        <w:jc w:val="left"/>
      </w:pPr>
    </w:p>
    <w:p w14:paraId="41B8172B" w14:textId="77777777" w:rsidR="00131A63" w:rsidRPr="00FE73DE" w:rsidRDefault="00131A63" w:rsidP="00ED238A">
      <w:pPr>
        <w:spacing w:after="200" w:line="276" w:lineRule="auto"/>
        <w:jc w:val="left"/>
      </w:pPr>
    </w:p>
    <w:p w14:paraId="136210EE" w14:textId="462DCA2C" w:rsidR="00B24AB4" w:rsidRPr="00FE73DE" w:rsidRDefault="00B24AB4" w:rsidP="00131A63">
      <w:pPr>
        <w:jc w:val="left"/>
      </w:pPr>
      <w:r w:rsidRPr="00FE73DE">
        <w:t>Sustineo Pty Ltd</w:t>
      </w:r>
      <w:r w:rsidR="00131A63" w:rsidRPr="00FE73DE">
        <w:br/>
      </w:r>
      <w:r w:rsidRPr="00FE73DE">
        <w:t>Suite 1B, Level 1</w:t>
      </w:r>
      <w:r w:rsidR="00D8688E">
        <w:t>,</w:t>
      </w:r>
      <w:r w:rsidRPr="00FE73DE">
        <w:t xml:space="preserve"> 32 Thesiger </w:t>
      </w:r>
      <w:r w:rsidR="00D8688E" w:rsidRPr="00FE73DE">
        <w:t>Court</w:t>
      </w:r>
      <w:r w:rsidR="00D8688E">
        <w:t>,</w:t>
      </w:r>
      <w:r w:rsidR="00D8688E" w:rsidRPr="00FE73DE">
        <w:t xml:space="preserve"> Deakin ACT</w:t>
      </w:r>
      <w:r w:rsidRPr="00FE73DE">
        <w:t xml:space="preserve">  2600  Australia</w:t>
      </w:r>
      <w:r w:rsidR="00131A63" w:rsidRPr="00FE73DE">
        <w:br/>
      </w:r>
      <w:r w:rsidRPr="00FE73DE">
        <w:t>GPO Box 591  Canberra  ACT  2601  Australia</w:t>
      </w:r>
      <w:r w:rsidR="00131A63" w:rsidRPr="00FE73DE">
        <w:br/>
      </w:r>
      <w:r w:rsidRPr="00FE73DE">
        <w:t xml:space="preserve">E: enquiries@sustineo.com.au </w:t>
      </w:r>
    </w:p>
    <w:p w14:paraId="343040AB" w14:textId="77777777" w:rsidR="00B24AB4" w:rsidRPr="00FE73DE" w:rsidRDefault="00B24AB4" w:rsidP="00131A63">
      <w:pPr>
        <w:jc w:val="left"/>
      </w:pPr>
    </w:p>
    <w:p w14:paraId="1CEEA657" w14:textId="0A700FBB" w:rsidR="00A56087" w:rsidRPr="00FE73DE" w:rsidRDefault="00B24AB4" w:rsidP="00131A63">
      <w:pPr>
        <w:jc w:val="left"/>
      </w:pPr>
      <w:r w:rsidRPr="00FE73DE">
        <w:t>The document may only be used for the purpose for which it was prepared.</w:t>
      </w:r>
    </w:p>
    <w:sectPr w:rsidR="00A56087" w:rsidRPr="00FE73DE" w:rsidSect="00A56087">
      <w:footerReference w:type="default" r:id="rId54"/>
      <w:pgSz w:w="11906" w:h="16838" w:code="9"/>
      <w:pgMar w:top="1418" w:right="1503" w:bottom="1418" w:left="1503"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9CE83" w14:textId="77777777" w:rsidR="001960F3" w:rsidRDefault="001960F3" w:rsidP="009D60D2">
      <w:r>
        <w:separator/>
      </w:r>
    </w:p>
  </w:endnote>
  <w:endnote w:type="continuationSeparator" w:id="0">
    <w:p w14:paraId="4D76BCB4" w14:textId="77777777" w:rsidR="001960F3" w:rsidRDefault="001960F3" w:rsidP="009D60D2">
      <w:r>
        <w:continuationSeparator/>
      </w:r>
    </w:p>
  </w:endnote>
  <w:endnote w:type="continuationNotice" w:id="1">
    <w:p w14:paraId="1F35BF82" w14:textId="77777777" w:rsidR="001960F3" w:rsidRDefault="00196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rEavesXLModOTBook">
    <w:altName w:val="Calibri"/>
    <w:panose1 w:val="00000000000000000000"/>
    <w:charset w:val="00"/>
    <w:family w:val="swiss"/>
    <w:notTrueType/>
    <w:pitch w:val="default"/>
    <w:sig w:usb0="00000003" w:usb1="00000000" w:usb2="00000000" w:usb3="00000000" w:csb0="00000001" w:csb1="00000000"/>
  </w:font>
  <w:font w:name="Source Sans Pro ExtraLight">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C4F3" w14:textId="69871B5D" w:rsidR="00272B9C" w:rsidRPr="00BF0082" w:rsidRDefault="00272B9C" w:rsidP="008819B7">
    <w:pPr>
      <w:pStyle w:val="Footer"/>
      <w:tabs>
        <w:tab w:val="clear" w:pos="4513"/>
        <w:tab w:val="clear" w:pos="9026"/>
        <w:tab w:val="center" w:pos="8505"/>
        <w:tab w:val="left" w:pos="13183"/>
        <w:tab w:val="right" w:pos="14570"/>
      </w:tabs>
    </w:pPr>
    <w:r w:rsidRPr="000B2DAC">
      <w:t>www.sustineo.com.au</w:t>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51DCF">
      <w:rPr>
        <w:rStyle w:val="PageNumber"/>
        <w:noProof/>
      </w:rPr>
      <w:t>21</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51DCF">
      <w:rPr>
        <w:rStyle w:val="PageNumber"/>
        <w:noProof/>
      </w:rPr>
      <w:t>139</w:t>
    </w:r>
    <w:r w:rsidRPr="00A362A1">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9EB0" w14:textId="0C87411A" w:rsidR="00272B9C" w:rsidRPr="00BF0082" w:rsidRDefault="00272B9C" w:rsidP="002D458E">
    <w:pPr>
      <w:pStyle w:val="Footer"/>
      <w:tabs>
        <w:tab w:val="clear" w:pos="4513"/>
        <w:tab w:val="clear" w:pos="9026"/>
        <w:tab w:val="center" w:pos="8505"/>
        <w:tab w:val="left" w:pos="13041"/>
        <w:tab w:val="right" w:pos="14002"/>
      </w:tabs>
    </w:pPr>
    <w:r w:rsidRPr="000B2DAC">
      <w:t>www.sustineo.com.au</w:t>
    </w:r>
    <w:r>
      <w:tab/>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7271C8">
      <w:rPr>
        <w:rStyle w:val="PageNumber"/>
        <w:noProof/>
      </w:rPr>
      <w:t>38</w:t>
    </w:r>
    <w:r w:rsidRPr="00E51D1C">
      <w:rPr>
        <w:rStyle w:val="PageNumber"/>
      </w:rPr>
      <w:fldChar w:fldCharType="end"/>
    </w:r>
    <w:r>
      <w:rPr>
        <w:rStyle w:val="PageNumber"/>
      </w:rPr>
      <w:t xml:space="preserve"> </w:t>
    </w:r>
    <w:r>
      <w:t xml:space="preserve">/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7271C8">
      <w:rPr>
        <w:rStyle w:val="PageNumber"/>
        <w:noProof/>
      </w:rPr>
      <w:t>139</w:t>
    </w:r>
    <w:r w:rsidRPr="00A362A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D9D3" w14:textId="02DCDF8A" w:rsidR="00272B9C" w:rsidRPr="00BF0082" w:rsidRDefault="00272B9C" w:rsidP="008819B7">
    <w:pPr>
      <w:pStyle w:val="Footer"/>
      <w:tabs>
        <w:tab w:val="clear" w:pos="4513"/>
        <w:tab w:val="clear" w:pos="9026"/>
        <w:tab w:val="center" w:pos="8505"/>
        <w:tab w:val="left" w:pos="13183"/>
        <w:tab w:val="right" w:pos="14570"/>
      </w:tabs>
    </w:pPr>
    <w:r w:rsidRPr="000B2DAC">
      <w:t>www.sustineo.com.au</w:t>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82</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F2E8" w14:textId="421E8769" w:rsidR="00272B9C" w:rsidRPr="00BF0082" w:rsidRDefault="00272B9C" w:rsidP="008819B7">
    <w:pPr>
      <w:pStyle w:val="Footer"/>
      <w:tabs>
        <w:tab w:val="clear" w:pos="4513"/>
        <w:tab w:val="clear" w:pos="9026"/>
        <w:tab w:val="center" w:pos="8505"/>
        <w:tab w:val="left" w:pos="13183"/>
        <w:tab w:val="right" w:pos="14570"/>
      </w:tabs>
    </w:pPr>
    <w:r w:rsidRPr="008819B7">
      <w:t>www.sustineo.com.au</w:t>
    </w:r>
    <w:r>
      <w:tab/>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101</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1CDC" w14:textId="41AC6899" w:rsidR="00272B9C" w:rsidRPr="00BF0082" w:rsidRDefault="00272B9C" w:rsidP="008819B7">
    <w:pPr>
      <w:pStyle w:val="Footer"/>
      <w:tabs>
        <w:tab w:val="clear" w:pos="4513"/>
        <w:tab w:val="clear" w:pos="9026"/>
        <w:tab w:val="left" w:pos="7938"/>
        <w:tab w:val="center" w:pos="13183"/>
        <w:tab w:val="right" w:pos="14570"/>
      </w:tabs>
    </w:pPr>
    <w:r w:rsidRPr="008819B7">
      <w:t>www.sustineo.com.au</w:t>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104</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F7B6" w14:textId="5520D408" w:rsidR="00272B9C" w:rsidRPr="00BF0082" w:rsidRDefault="00272B9C" w:rsidP="008819B7">
    <w:pPr>
      <w:pStyle w:val="Footer"/>
      <w:tabs>
        <w:tab w:val="clear" w:pos="4513"/>
        <w:tab w:val="clear" w:pos="9026"/>
        <w:tab w:val="left" w:pos="7938"/>
        <w:tab w:val="center" w:pos="13183"/>
        <w:tab w:val="right" w:pos="14570"/>
      </w:tabs>
    </w:pPr>
    <w:r w:rsidRPr="008819B7">
      <w:t>www.sustineo.com.au</w:t>
    </w:r>
    <w:r>
      <w:tab/>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110</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FF3B" w14:textId="3C1C9F77" w:rsidR="00272B9C" w:rsidRPr="00BF0082" w:rsidRDefault="00272B9C" w:rsidP="008819B7">
    <w:pPr>
      <w:pStyle w:val="Footer"/>
      <w:tabs>
        <w:tab w:val="clear" w:pos="4513"/>
        <w:tab w:val="clear" w:pos="9026"/>
        <w:tab w:val="center" w:pos="8505"/>
        <w:tab w:val="left" w:pos="13183"/>
        <w:tab w:val="right" w:pos="14570"/>
      </w:tabs>
    </w:pPr>
    <w:r w:rsidRPr="008819B7">
      <w:t>www.sustineo.com.au</w:t>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120</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A1F" w14:textId="2614FF62" w:rsidR="00272B9C" w:rsidRPr="00BF0082" w:rsidRDefault="00272B9C" w:rsidP="008819B7">
    <w:pPr>
      <w:pStyle w:val="Footer"/>
      <w:tabs>
        <w:tab w:val="clear" w:pos="4513"/>
        <w:tab w:val="clear" w:pos="9026"/>
        <w:tab w:val="center" w:pos="13183"/>
        <w:tab w:val="right" w:pos="14570"/>
      </w:tabs>
    </w:pPr>
    <w:r w:rsidRPr="008819B7">
      <w:t>www.sustineo.com.au</w:t>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133</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205E" w14:textId="61F00B3A" w:rsidR="00272B9C" w:rsidRPr="00BF0082" w:rsidRDefault="00272B9C" w:rsidP="008819B7">
    <w:pPr>
      <w:pStyle w:val="Footer"/>
      <w:tabs>
        <w:tab w:val="clear" w:pos="4513"/>
        <w:tab w:val="clear" w:pos="9026"/>
        <w:tab w:val="left" w:pos="7797"/>
        <w:tab w:val="center" w:pos="13183"/>
        <w:tab w:val="right" w:pos="14570"/>
      </w:tabs>
    </w:pPr>
    <w:r w:rsidRPr="008819B7">
      <w:t>www.sustineo.com.au</w:t>
    </w:r>
    <w:r>
      <w:tab/>
    </w:r>
    <w:r w:rsidRPr="00E51D1C">
      <w:rPr>
        <w:rStyle w:val="PageNumber"/>
      </w:rPr>
      <w:fldChar w:fldCharType="begin"/>
    </w:r>
    <w:r w:rsidRPr="00E51D1C">
      <w:rPr>
        <w:rStyle w:val="PageNumber"/>
      </w:rPr>
      <w:instrText xml:space="preserve"> PAGE  \* Arabic  \* MERGEFORMAT </w:instrText>
    </w:r>
    <w:r w:rsidRPr="00E51D1C">
      <w:rPr>
        <w:rStyle w:val="PageNumber"/>
      </w:rPr>
      <w:fldChar w:fldCharType="separate"/>
    </w:r>
    <w:r w:rsidR="00B353BA">
      <w:rPr>
        <w:rStyle w:val="PageNumber"/>
        <w:noProof/>
      </w:rPr>
      <w:t>139</w:t>
    </w:r>
    <w:r w:rsidRPr="00E51D1C">
      <w:rPr>
        <w:rStyle w:val="PageNumber"/>
      </w:rPr>
      <w:fldChar w:fldCharType="end"/>
    </w:r>
    <w:r>
      <w:t xml:space="preserve"> / </w:t>
    </w:r>
    <w:r w:rsidRPr="00A362A1">
      <w:rPr>
        <w:rStyle w:val="PageNumber"/>
      </w:rPr>
      <w:fldChar w:fldCharType="begin"/>
    </w:r>
    <w:r w:rsidRPr="00A362A1">
      <w:rPr>
        <w:rStyle w:val="PageNumber"/>
      </w:rPr>
      <w:instrText xml:space="preserve"> NUMPAGES  \* Arabic  \* MERGEFORMAT </w:instrText>
    </w:r>
    <w:r w:rsidRPr="00A362A1">
      <w:rPr>
        <w:rStyle w:val="PageNumber"/>
      </w:rPr>
      <w:fldChar w:fldCharType="separate"/>
    </w:r>
    <w:r w:rsidR="00B353BA">
      <w:rPr>
        <w:rStyle w:val="PageNumber"/>
        <w:noProof/>
      </w:rPr>
      <w:t>139</w:t>
    </w:r>
    <w:r w:rsidRPr="00A362A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11C2C" w14:textId="77777777" w:rsidR="001960F3" w:rsidRDefault="001960F3" w:rsidP="009D60D2">
      <w:r>
        <w:separator/>
      </w:r>
    </w:p>
  </w:footnote>
  <w:footnote w:type="continuationSeparator" w:id="0">
    <w:p w14:paraId="31D76EDE" w14:textId="77777777" w:rsidR="001960F3" w:rsidRDefault="001960F3" w:rsidP="009D60D2">
      <w:r>
        <w:continuationSeparator/>
      </w:r>
    </w:p>
  </w:footnote>
  <w:footnote w:type="continuationNotice" w:id="1">
    <w:p w14:paraId="10968BC8" w14:textId="77777777" w:rsidR="001960F3" w:rsidRDefault="001960F3">
      <w:pPr>
        <w:spacing w:after="0" w:line="240" w:lineRule="auto"/>
      </w:pPr>
    </w:p>
  </w:footnote>
  <w:footnote w:id="2">
    <w:p w14:paraId="6190F2BD" w14:textId="77777777" w:rsidR="00E00044" w:rsidRPr="00C37E9E" w:rsidRDefault="00E00044" w:rsidP="00E00044">
      <w:pPr>
        <w:pStyle w:val="FootnoteText"/>
        <w:rPr>
          <w:lang w:val="en-AU"/>
        </w:rPr>
      </w:pPr>
      <w:r>
        <w:rPr>
          <w:rStyle w:val="FootnoteReference"/>
        </w:rPr>
        <w:footnoteRef/>
      </w:r>
      <w:r>
        <w:t xml:space="preserve"> </w:t>
      </w:r>
      <w:r>
        <w:rPr>
          <w:lang w:val="en-AU"/>
        </w:rPr>
        <w:t>See ‘Abbreviations and glossary of key terms’ for definition.</w:t>
      </w:r>
    </w:p>
  </w:footnote>
  <w:footnote w:id="3">
    <w:p w14:paraId="12F734AD" w14:textId="77777777" w:rsidR="009A691D" w:rsidRPr="00EF2107" w:rsidRDefault="009A691D" w:rsidP="009A691D">
      <w:pPr>
        <w:pStyle w:val="FootnoteText"/>
        <w:rPr>
          <w:i/>
          <w:iCs/>
        </w:rPr>
      </w:pPr>
      <w:r>
        <w:rPr>
          <w:rStyle w:val="FootnoteReference"/>
        </w:rPr>
        <w:footnoteRef/>
      </w:r>
      <w:r>
        <w:t xml:space="preserve"> ANAO (2021), Auditor General Report No.36 2020-21, </w:t>
      </w:r>
      <w:r>
        <w:rPr>
          <w:i/>
          <w:iCs/>
        </w:rPr>
        <w:t>Indigenous Business Australia’s Business Support and Investment Activities</w:t>
      </w:r>
      <w:r w:rsidRPr="00EF2107">
        <w:t>.</w:t>
      </w:r>
    </w:p>
  </w:footnote>
  <w:footnote w:id="4">
    <w:p w14:paraId="2CAB1FF3" w14:textId="77777777" w:rsidR="007F0C30" w:rsidRPr="00A02034" w:rsidRDefault="007F0C30" w:rsidP="007F0C30">
      <w:pPr>
        <w:pStyle w:val="FootnoteText"/>
        <w:rPr>
          <w:lang w:val="en-AU"/>
        </w:rPr>
      </w:pPr>
      <w:r>
        <w:rPr>
          <w:rStyle w:val="FootnoteReference"/>
        </w:rPr>
        <w:footnoteRef/>
      </w:r>
      <w:r>
        <w:t xml:space="preserve"> </w:t>
      </w:r>
      <w:r w:rsidRPr="009834D1">
        <w:rPr>
          <w:szCs w:val="18"/>
        </w:rPr>
        <w:t>Indigenous Business Australia</w:t>
      </w:r>
      <w:r>
        <w:rPr>
          <w:szCs w:val="18"/>
        </w:rPr>
        <w:t>,</w:t>
      </w:r>
      <w:r w:rsidRPr="009834D1">
        <w:rPr>
          <w:szCs w:val="18"/>
        </w:rPr>
        <w:t xml:space="preserve"> </w:t>
      </w:r>
      <w:r w:rsidRPr="00D65790">
        <w:rPr>
          <w:i/>
          <w:iCs/>
          <w:szCs w:val="18"/>
        </w:rPr>
        <w:t>Annual Report 2015–2016</w:t>
      </w:r>
      <w:r>
        <w:rPr>
          <w:szCs w:val="18"/>
        </w:rPr>
        <w:t>, p. 40.</w:t>
      </w:r>
    </w:p>
  </w:footnote>
  <w:footnote w:id="5">
    <w:p w14:paraId="5581228B" w14:textId="77777777" w:rsidR="00414EAD" w:rsidRPr="00C37E9E" w:rsidRDefault="00414EAD" w:rsidP="00414EAD">
      <w:pPr>
        <w:pStyle w:val="FootnoteText"/>
        <w:rPr>
          <w:lang w:val="en-AU"/>
        </w:rPr>
      </w:pPr>
      <w:r>
        <w:rPr>
          <w:rStyle w:val="FootnoteReference"/>
        </w:rPr>
        <w:footnoteRef/>
      </w:r>
      <w:r>
        <w:t xml:space="preserve"> </w:t>
      </w:r>
      <w:r>
        <w:rPr>
          <w:lang w:val="en-AU"/>
        </w:rPr>
        <w:t>See ‘Abbreviations and glossary of key terms’ for definition.</w:t>
      </w:r>
    </w:p>
  </w:footnote>
  <w:footnote w:id="6">
    <w:p w14:paraId="4B134A85" w14:textId="75C03F85" w:rsidR="007F0C30" w:rsidRPr="000204BF" w:rsidRDefault="007F0C30" w:rsidP="007F0C30">
      <w:pPr>
        <w:pStyle w:val="FootnoteText"/>
        <w:rPr>
          <w:lang w:val="en-AU"/>
        </w:rPr>
      </w:pPr>
      <w:r>
        <w:rPr>
          <w:rStyle w:val="FootnoteReference"/>
        </w:rPr>
        <w:footnoteRef/>
      </w:r>
      <w:r>
        <w:t xml:space="preserve"> </w:t>
      </w:r>
      <w:r>
        <w:rPr>
          <w:lang w:val="en-AU"/>
        </w:rPr>
        <w:t xml:space="preserve">The annual appropriation covered the provision of business support services whereas </w:t>
      </w:r>
      <w:r w:rsidR="00281560">
        <w:rPr>
          <w:lang w:val="en-AU"/>
        </w:rPr>
        <w:t xml:space="preserve">a </w:t>
      </w:r>
      <w:r>
        <w:rPr>
          <w:lang w:val="en-AU"/>
        </w:rPr>
        <w:t xml:space="preserve">capital equity injection was used to fund the provision of financial products to eligible Indigenous-owned and managed businesses. </w:t>
      </w:r>
    </w:p>
  </w:footnote>
  <w:footnote w:id="7">
    <w:p w14:paraId="39F48125" w14:textId="77777777" w:rsidR="00BB6880" w:rsidRPr="00D65790" w:rsidRDefault="00BB6880" w:rsidP="00BB6880">
      <w:pPr>
        <w:pStyle w:val="FootnoteText"/>
        <w:rPr>
          <w:lang w:val="en-AU"/>
        </w:rPr>
      </w:pPr>
      <w:r>
        <w:rPr>
          <w:rStyle w:val="FootnoteReference"/>
        </w:rPr>
        <w:footnoteRef/>
      </w:r>
      <w:r>
        <w:t xml:space="preserve"> Australian Government, </w:t>
      </w:r>
      <w:r w:rsidRPr="00D65790">
        <w:rPr>
          <w:i/>
          <w:iCs/>
          <w:lang w:val="en-AU"/>
        </w:rPr>
        <w:t>Budget Measures: Budget Paper No. 2: 2016-17</w:t>
      </w:r>
      <w:r>
        <w:rPr>
          <w:lang w:val="en-AU"/>
        </w:rPr>
        <w:t>, 2016, p. 136.</w:t>
      </w:r>
    </w:p>
  </w:footnote>
  <w:footnote w:id="8">
    <w:p w14:paraId="200FC8A3" w14:textId="77777777" w:rsidR="009634F2" w:rsidRPr="00D65790" w:rsidRDefault="009634F2" w:rsidP="009634F2">
      <w:pPr>
        <w:pStyle w:val="FootnoteText"/>
        <w:rPr>
          <w:lang w:val="en-AU"/>
        </w:rPr>
      </w:pPr>
      <w:r>
        <w:rPr>
          <w:rStyle w:val="FootnoteReference"/>
        </w:rPr>
        <w:footnoteRef/>
      </w:r>
      <w:r>
        <w:t xml:space="preserve"> Australian Government, </w:t>
      </w:r>
      <w:r w:rsidRPr="00D65790">
        <w:rPr>
          <w:i/>
          <w:iCs/>
          <w:lang w:val="en-AU"/>
        </w:rPr>
        <w:t>Budget Measures: Budget Paper No. 2: 2017</w:t>
      </w:r>
      <w:r>
        <w:rPr>
          <w:i/>
          <w:iCs/>
          <w:lang w:val="en-AU"/>
        </w:rPr>
        <w:t>-18</w:t>
      </w:r>
      <w:r>
        <w:rPr>
          <w:lang w:val="en-AU"/>
        </w:rPr>
        <w:t>, 2017, p. 138.</w:t>
      </w:r>
    </w:p>
  </w:footnote>
  <w:footnote w:id="9">
    <w:p w14:paraId="7BD362D0" w14:textId="77777777" w:rsidR="00B9140C" w:rsidRPr="00F72D59" w:rsidRDefault="00B9140C" w:rsidP="00B9140C">
      <w:pPr>
        <w:pStyle w:val="FootnoteText"/>
        <w:rPr>
          <w:lang w:val="en-AU"/>
        </w:rPr>
      </w:pPr>
      <w:r>
        <w:rPr>
          <w:rStyle w:val="FootnoteReference"/>
        </w:rPr>
        <w:footnoteRef/>
      </w:r>
      <w:r>
        <w:t xml:space="preserve"> </w:t>
      </w:r>
      <w:r w:rsidRPr="00414EEA">
        <w:t>Due to a variety of external factors, including the COVID-19 pandemic, the BSP grant arrangements between NIAA and IBA have been extended, and the agreed evaluation was delayed.</w:t>
      </w:r>
    </w:p>
  </w:footnote>
  <w:footnote w:id="10">
    <w:p w14:paraId="2CAE29B6" w14:textId="342EDE3B" w:rsidR="00B9140C" w:rsidRPr="00C37E9E" w:rsidRDefault="00B9140C" w:rsidP="00B9140C">
      <w:pPr>
        <w:pStyle w:val="FootnoteText"/>
        <w:rPr>
          <w:lang w:val="en-AU"/>
        </w:rPr>
      </w:pPr>
      <w:r>
        <w:rPr>
          <w:rStyle w:val="FootnoteReference"/>
        </w:rPr>
        <w:footnoteRef/>
      </w:r>
      <w:r>
        <w:t xml:space="preserve"> </w:t>
      </w:r>
      <w:r w:rsidRPr="00FE73DE">
        <w:t>In May 2021, prior to the commencement of the evaluation, the Australian National Audit Office (ANAO) tabled a performance audit of IBA’s business support and investment activities</w:t>
      </w:r>
      <w:r w:rsidR="003A0DE0">
        <w:t xml:space="preserve"> (see ANAO (2021), Auditor General Report No.36 2020-21, </w:t>
      </w:r>
      <w:r w:rsidR="003A0DE0">
        <w:rPr>
          <w:i/>
          <w:iCs/>
        </w:rPr>
        <w:t>Indigenous Business Australia’s Business Support and Investment Activities</w:t>
      </w:r>
      <w:r w:rsidR="003A0DE0">
        <w:t>)</w:t>
      </w:r>
      <w:r w:rsidR="001C6781">
        <w:t>.</w:t>
      </w:r>
      <w:r w:rsidR="003A0DE0">
        <w:t xml:space="preserve"> </w:t>
      </w:r>
      <w:r w:rsidRPr="00FE73DE">
        <w:t>Evaluation planning had regard to the findings and recommendations from this audit to minimise overlap and duplication.</w:t>
      </w:r>
      <w:r w:rsidRPr="00FE73DE">
        <w:rPr>
          <w:rFonts w:eastAsia="Times New Roman"/>
        </w:rPr>
        <w:t xml:space="preserve"> </w:t>
      </w:r>
      <w:r w:rsidRPr="00FE73DE">
        <w:t>Th</w:t>
      </w:r>
      <w:r>
        <w:t>e</w:t>
      </w:r>
      <w:r w:rsidRPr="00FE73DE">
        <w:t xml:space="preserve"> evaluation sought to maximise the use of these audit findings as a relevant and timely data source, rather than duplicate the audit enquiries. Where relevant, IBA’s response to audit findings and additional management actions as a result of the audit findings have been included in this report.</w:t>
      </w:r>
      <w:r w:rsidR="003A0DE0">
        <w:t xml:space="preserve"> </w:t>
      </w:r>
    </w:p>
  </w:footnote>
  <w:footnote w:id="11">
    <w:p w14:paraId="3D9A8E96" w14:textId="7D2CE8F1" w:rsidR="00272B9C" w:rsidRPr="009B0150" w:rsidRDefault="00272B9C">
      <w:pPr>
        <w:pStyle w:val="FootnoteText"/>
        <w:rPr>
          <w:lang w:val="en-AU"/>
        </w:rPr>
      </w:pPr>
      <w:r>
        <w:rPr>
          <w:rStyle w:val="FootnoteReference"/>
        </w:rPr>
        <w:footnoteRef/>
      </w:r>
      <w:r>
        <w:t xml:space="preserve"> The BSP is delivered through internal and external business support, provided by IBA staff and subcontracted experts.</w:t>
      </w:r>
      <w:r w:rsidRPr="00664F91">
        <w:t xml:space="preserve"> IBA staff and IBA’s external business support providers </w:t>
      </w:r>
      <w:r>
        <w:t xml:space="preserve">were </w:t>
      </w:r>
      <w:r w:rsidRPr="00664F91">
        <w:t xml:space="preserve">invited to complete </w:t>
      </w:r>
      <w:r>
        <w:t xml:space="preserve">the </w:t>
      </w:r>
      <w:r w:rsidRPr="00664F91">
        <w:t>survey</w:t>
      </w:r>
      <w:r>
        <w:t>.</w:t>
      </w:r>
    </w:p>
  </w:footnote>
  <w:footnote w:id="12">
    <w:p w14:paraId="1D5A1AC4" w14:textId="58021D04" w:rsidR="005C3630" w:rsidRPr="00F72D59" w:rsidRDefault="005C3630">
      <w:pPr>
        <w:pStyle w:val="FootnoteText"/>
        <w:rPr>
          <w:lang w:val="en-AU"/>
        </w:rPr>
      </w:pPr>
      <w:r>
        <w:rPr>
          <w:rStyle w:val="FootnoteReference"/>
        </w:rPr>
        <w:footnoteRef/>
      </w:r>
      <w:r>
        <w:t xml:space="preserve"> </w:t>
      </w:r>
      <w:r>
        <w:rPr>
          <w:lang w:val="en-AU"/>
        </w:rPr>
        <w:t xml:space="preserve">See </w:t>
      </w:r>
      <w:r w:rsidRPr="00D35FFF">
        <w:rPr>
          <w:lang w:val="en-AU"/>
        </w:rPr>
        <w:t xml:space="preserve">Appendix </w:t>
      </w:r>
      <w:r w:rsidR="00736FE4" w:rsidRPr="00D35FFF">
        <w:rPr>
          <w:lang w:val="en-AU"/>
        </w:rPr>
        <w:t>B</w:t>
      </w:r>
      <w:r w:rsidRPr="00D35FFF">
        <w:rPr>
          <w:lang w:val="en-AU"/>
        </w:rPr>
        <w:t xml:space="preserve"> for</w:t>
      </w:r>
      <w:r>
        <w:rPr>
          <w:lang w:val="en-AU"/>
        </w:rPr>
        <w:t xml:space="preserve"> more details on the IBSS, including detail on the suite of services.</w:t>
      </w:r>
    </w:p>
  </w:footnote>
  <w:footnote w:id="13">
    <w:p w14:paraId="3FA910B2" w14:textId="039063AA" w:rsidR="00272B9C" w:rsidRPr="00B4379F" w:rsidRDefault="00272B9C" w:rsidP="00B00D48">
      <w:pPr>
        <w:pStyle w:val="FootnoteText"/>
        <w:rPr>
          <w:lang w:val="en-AU"/>
        </w:rPr>
      </w:pPr>
      <w:r>
        <w:rPr>
          <w:rStyle w:val="FootnoteReference"/>
        </w:rPr>
        <w:footnoteRef/>
      </w:r>
      <w:r>
        <w:t xml:space="preserve"> Australian Government (2018), ‘The Indigenous Business Sector Strategy: </w:t>
      </w:r>
      <w:r w:rsidRPr="007E1041">
        <w:rPr>
          <w:i/>
          <w:iCs/>
        </w:rPr>
        <w:t>Supercharging Indigenous Business Start-Up and Growth 2018-2028</w:t>
      </w:r>
      <w:r>
        <w:t xml:space="preserve">’, available at </w:t>
      </w:r>
      <w:hyperlink r:id="rId1" w:history="1">
        <w:r w:rsidRPr="00054606">
          <w:rPr>
            <w:rStyle w:val="Hyperlink"/>
            <w:rFonts w:cstheme="minorBidi"/>
          </w:rPr>
          <w:t>https://www.niaa.gov.au/sites/default/files/publications/ibss_strategy.pdf</w:t>
        </w:r>
      </w:hyperlink>
      <w:r>
        <w:t xml:space="preserve">, p. 5. </w:t>
      </w:r>
    </w:p>
  </w:footnote>
  <w:footnote w:id="14">
    <w:p w14:paraId="45B8171B" w14:textId="77777777" w:rsidR="00272B9C" w:rsidRPr="00B4379F" w:rsidRDefault="00272B9C" w:rsidP="00E01D46">
      <w:pPr>
        <w:pStyle w:val="FootnoteText"/>
        <w:rPr>
          <w:lang w:val="en-AU"/>
        </w:rPr>
      </w:pPr>
      <w:r>
        <w:rPr>
          <w:rStyle w:val="FootnoteReference"/>
        </w:rPr>
        <w:footnoteRef/>
      </w:r>
      <w:r>
        <w:t xml:space="preserve"> Australian Government (2018), ‘The Indigenous Business Sector Strategy: </w:t>
      </w:r>
      <w:r w:rsidRPr="007E1041">
        <w:rPr>
          <w:i/>
          <w:iCs/>
        </w:rPr>
        <w:t>Supercharging Indigenous Business Start-Up and Growth 2018-2028</w:t>
      </w:r>
      <w:r>
        <w:t xml:space="preserve">’, available at </w:t>
      </w:r>
      <w:hyperlink r:id="rId2" w:history="1">
        <w:r w:rsidRPr="00054606">
          <w:rPr>
            <w:rStyle w:val="Hyperlink"/>
            <w:rFonts w:cstheme="minorBidi"/>
          </w:rPr>
          <w:t>https://www.niaa.gov.au/sites/default/files/publications/ibss_strategy.pdf</w:t>
        </w:r>
      </w:hyperlink>
      <w:r>
        <w:t xml:space="preserve">, p. 11. </w:t>
      </w:r>
    </w:p>
  </w:footnote>
  <w:footnote w:id="15">
    <w:p w14:paraId="067F20DB" w14:textId="09932B73" w:rsidR="00826FD6" w:rsidRPr="00826FD6" w:rsidRDefault="00826FD6">
      <w:pPr>
        <w:pStyle w:val="FootnoteText"/>
        <w:rPr>
          <w:lang w:val="en-AU"/>
        </w:rPr>
      </w:pPr>
      <w:r>
        <w:rPr>
          <w:rStyle w:val="FootnoteReference"/>
        </w:rPr>
        <w:footnoteRef/>
      </w:r>
      <w:r>
        <w:t xml:space="preserve"> </w:t>
      </w:r>
      <w:r w:rsidRPr="00C35DE1">
        <w:rPr>
          <w:szCs w:val="18"/>
        </w:rPr>
        <w:t>The requirement to measure or report the numbers of new v</w:t>
      </w:r>
      <w:r>
        <w:rPr>
          <w:szCs w:val="18"/>
        </w:rPr>
        <w:t>er</w:t>
      </w:r>
      <w:r w:rsidRPr="00C35DE1">
        <w:rPr>
          <w:szCs w:val="18"/>
        </w:rPr>
        <w:t>s</w:t>
      </w:r>
      <w:r>
        <w:rPr>
          <w:szCs w:val="18"/>
        </w:rPr>
        <w:t>us</w:t>
      </w:r>
      <w:r w:rsidRPr="00C35DE1">
        <w:rPr>
          <w:szCs w:val="18"/>
        </w:rPr>
        <w:t xml:space="preserve"> existing BSP customers was not in the agreement after 1 July 2017.</w:t>
      </w:r>
    </w:p>
  </w:footnote>
  <w:footnote w:id="16">
    <w:p w14:paraId="259E9E10" w14:textId="29A6F1EE" w:rsidR="00272B9C" w:rsidRPr="00DA082C" w:rsidRDefault="00272B9C">
      <w:pPr>
        <w:pStyle w:val="FootnoteText"/>
        <w:rPr>
          <w:lang w:val="en-AU"/>
        </w:rPr>
      </w:pPr>
      <w:r>
        <w:rPr>
          <w:rStyle w:val="FootnoteReference"/>
        </w:rPr>
        <w:footnoteRef/>
      </w:r>
      <w:r>
        <w:t xml:space="preserve"> </w:t>
      </w:r>
      <w:r w:rsidRPr="00FE73DE">
        <w:t>Industry concentration of the business loan portfolio was included in IBA’s Annual Reports up until 2015</w:t>
      </w:r>
      <w:r w:rsidRPr="00077391">
        <w:rPr>
          <w:rFonts w:ascii="Franklin Gothic Book" w:hAnsi="Franklin Gothic Book"/>
        </w:rPr>
        <w:t>–</w:t>
      </w:r>
      <w:r w:rsidRPr="00FE73DE">
        <w:t>16.</w:t>
      </w:r>
    </w:p>
  </w:footnote>
  <w:footnote w:id="17">
    <w:p w14:paraId="366E57DB" w14:textId="54876054" w:rsidR="00272B9C" w:rsidRPr="00CC2954" w:rsidRDefault="00272B9C" w:rsidP="00B35750">
      <w:pPr>
        <w:pStyle w:val="FootnoteText"/>
        <w:rPr>
          <w:lang w:val="en-AU"/>
        </w:rPr>
      </w:pPr>
      <w:r>
        <w:rPr>
          <w:rStyle w:val="FootnoteReference"/>
        </w:rPr>
        <w:footnoteRef/>
      </w:r>
      <w:r>
        <w:t xml:space="preserve"> See for </w:t>
      </w:r>
      <w:r w:rsidRPr="00B35750">
        <w:t xml:space="preserve">example the House of Representatives Standing Committee on Aboriginal and Torres Strait Islander Affairs 2008 enquiry into developing Indigenous enterprises entitled </w:t>
      </w:r>
      <w:r w:rsidRPr="00B35750">
        <w:rPr>
          <w:i/>
          <w:iCs/>
        </w:rPr>
        <w:t>Open for Business: Developing Indigenous enterprises in Australia</w:t>
      </w:r>
      <w:r>
        <w:rPr>
          <w:i/>
          <w:iCs/>
        </w:rPr>
        <w:t>,</w:t>
      </w:r>
      <w:r w:rsidRPr="00B35750">
        <w:rPr>
          <w:i/>
          <w:iCs/>
          <w:szCs w:val="24"/>
        </w:rPr>
        <w:t xml:space="preserve"> </w:t>
      </w:r>
      <w:hyperlink r:id="rId3" w:history="1">
        <w:r w:rsidRPr="004550CC">
          <w:rPr>
            <w:rStyle w:val="Hyperlink"/>
            <w:rFonts w:cstheme="minorBidi"/>
          </w:rPr>
          <w:t>https://www.aph.gov.au/parliamentary_business/committees/house_of_representatives_committees?url=atsia/indigenousenterprises/report.htm</w:t>
        </w:r>
      </w:hyperlink>
      <w:r>
        <w:t xml:space="preserve"> </w:t>
      </w:r>
    </w:p>
  </w:footnote>
  <w:footnote w:id="18">
    <w:p w14:paraId="7AE378B1" w14:textId="15C08D3C" w:rsidR="00272B9C" w:rsidRPr="00932F81" w:rsidRDefault="00272B9C" w:rsidP="004D321A">
      <w:pPr>
        <w:pStyle w:val="FootnoteText"/>
        <w:rPr>
          <w:rStyle w:val="FootnoteTextChar"/>
          <w:lang w:val="en-AU"/>
        </w:rPr>
      </w:pPr>
      <w:r>
        <w:rPr>
          <w:rStyle w:val="FootnoteReference"/>
        </w:rPr>
        <w:footnoteRef/>
      </w:r>
      <w:r>
        <w:t xml:space="preserve"> </w:t>
      </w:r>
      <w:r w:rsidRPr="00932F81">
        <w:rPr>
          <w:rStyle w:val="FootnoteTextChar"/>
          <w:lang w:val="en-AU" w:eastAsia="en-US"/>
        </w:rPr>
        <w:t xml:space="preserve">Morley S 2014. </w:t>
      </w:r>
      <w:r w:rsidRPr="00B8100C">
        <w:rPr>
          <w:rStyle w:val="FootnoteTextChar"/>
          <w:i/>
          <w:iCs/>
          <w:lang w:val="en-AU" w:eastAsia="en-US"/>
        </w:rPr>
        <w:t>Success factors for Indigenous entrepreneurs and community-based enterprises</w:t>
      </w:r>
      <w:r w:rsidRPr="00932F81">
        <w:rPr>
          <w:rStyle w:val="FootnoteTextChar"/>
          <w:lang w:val="en-AU" w:eastAsia="en-US"/>
        </w:rPr>
        <w:t xml:space="preserve">. Resource sheet no. 30. Produced for the Closing the Gap Clearinghouse. Canberra: Australian Institute of Health and Welfare &amp; </w:t>
      </w:r>
      <w:r w:rsidRPr="004D321A">
        <w:t>Melbourne</w:t>
      </w:r>
      <w:r w:rsidRPr="00932F81">
        <w:rPr>
          <w:rStyle w:val="FootnoteTextChar"/>
          <w:lang w:val="en-AU" w:eastAsia="en-US"/>
        </w:rPr>
        <w:t>: Australian Institute of Family Studies</w:t>
      </w:r>
      <w:r w:rsidR="00074C2F">
        <w:rPr>
          <w:rStyle w:val="FootnoteTextChar"/>
          <w:lang w:val="en-AU" w:eastAsia="en-US"/>
        </w:rPr>
        <w:t>.</w:t>
      </w:r>
    </w:p>
  </w:footnote>
  <w:footnote w:id="19">
    <w:p w14:paraId="17591354" w14:textId="670DF47C" w:rsidR="00272B9C" w:rsidRPr="005A6F22" w:rsidRDefault="00272B9C">
      <w:pPr>
        <w:pStyle w:val="FootnoteText"/>
        <w:rPr>
          <w:lang w:val="en-AU"/>
        </w:rPr>
      </w:pPr>
      <w:r>
        <w:rPr>
          <w:rStyle w:val="FootnoteReference"/>
        </w:rPr>
        <w:footnoteRef/>
      </w:r>
      <w:r>
        <w:t xml:space="preserve"> </w:t>
      </w:r>
      <w:r w:rsidRPr="00064E07">
        <w:t>Supply Nation, First Nations Capital,</w:t>
      </w:r>
      <w:r>
        <w:t xml:space="preserve"> </w:t>
      </w:r>
      <w:r w:rsidR="004F14FC" w:rsidRPr="00B8100C">
        <w:rPr>
          <w:i/>
          <w:iCs/>
        </w:rPr>
        <w:t xml:space="preserve">Indigenous </w:t>
      </w:r>
      <w:r w:rsidRPr="00B8100C">
        <w:rPr>
          <w:i/>
          <w:iCs/>
        </w:rPr>
        <w:t>Business Growth: Working together to realise potential,</w:t>
      </w:r>
      <w:r>
        <w:t xml:space="preserve"> </w:t>
      </w:r>
      <w:r w:rsidRPr="00064E07">
        <w:t>September 2018</w:t>
      </w:r>
      <w:r>
        <w:t>, p</w:t>
      </w:r>
      <w:r w:rsidR="004D321A">
        <w:t>.</w:t>
      </w:r>
      <w:r>
        <w:t xml:space="preserve"> 6.</w:t>
      </w:r>
    </w:p>
  </w:footnote>
  <w:footnote w:id="20">
    <w:p w14:paraId="7AC5FE7B" w14:textId="69830B7E" w:rsidR="00272B9C" w:rsidRPr="00932F81" w:rsidRDefault="00272B9C" w:rsidP="004D321A">
      <w:pPr>
        <w:pStyle w:val="FootnoteText"/>
        <w:rPr>
          <w:rStyle w:val="FootnoteTextChar"/>
          <w:lang w:val="en-AU"/>
        </w:rPr>
      </w:pPr>
      <w:r>
        <w:rPr>
          <w:rStyle w:val="FootnoteReference"/>
        </w:rPr>
        <w:footnoteRef/>
      </w:r>
      <w:r>
        <w:t xml:space="preserve"> </w:t>
      </w:r>
      <w:r w:rsidRPr="00932F81">
        <w:rPr>
          <w:rStyle w:val="FootnoteTextChar"/>
          <w:lang w:val="en-AU" w:eastAsia="en-US"/>
        </w:rPr>
        <w:t xml:space="preserve">Morley S 2014. </w:t>
      </w:r>
      <w:r w:rsidRPr="00B8100C">
        <w:rPr>
          <w:rStyle w:val="FootnoteTextChar"/>
          <w:i/>
          <w:iCs/>
          <w:lang w:val="en-AU" w:eastAsia="en-US"/>
        </w:rPr>
        <w:t>Success factors for Indigenous entrepreneurs and community-based enterprises</w:t>
      </w:r>
      <w:r w:rsidRPr="00932F81">
        <w:rPr>
          <w:rStyle w:val="FootnoteTextChar"/>
          <w:lang w:val="en-AU" w:eastAsia="en-US"/>
        </w:rPr>
        <w:t xml:space="preserve">. Resource sheet no. 30. Produced for the Closing the Gap Clearinghouse. Canberra: Australian Institute of Health and Welfare &amp; Melbourne: </w:t>
      </w:r>
      <w:r w:rsidRPr="004D321A">
        <w:t>Australian</w:t>
      </w:r>
      <w:r w:rsidRPr="00932F81">
        <w:rPr>
          <w:rStyle w:val="FootnoteTextChar"/>
          <w:lang w:val="en-AU" w:eastAsia="en-US"/>
        </w:rPr>
        <w:t xml:space="preserve"> Institute of Family Studies</w:t>
      </w:r>
      <w:r>
        <w:rPr>
          <w:rStyle w:val="FootnoteTextChar"/>
          <w:lang w:val="en-AU" w:eastAsia="en-US"/>
        </w:rPr>
        <w:t>.</w:t>
      </w:r>
    </w:p>
  </w:footnote>
  <w:footnote w:id="21">
    <w:p w14:paraId="36C0C335" w14:textId="0586AC89" w:rsidR="00610A37" w:rsidRPr="00610A37" w:rsidRDefault="00610A37">
      <w:pPr>
        <w:pStyle w:val="FootnoteText"/>
        <w:rPr>
          <w:lang w:val="en-AU"/>
        </w:rPr>
      </w:pPr>
      <w:r>
        <w:rPr>
          <w:rStyle w:val="FootnoteReference"/>
        </w:rPr>
        <w:footnoteRef/>
      </w:r>
      <w:r>
        <w:t xml:space="preserve"> </w:t>
      </w:r>
      <w:r>
        <w:rPr>
          <w:lang w:val="en-AU"/>
        </w:rPr>
        <w:t>Regional representatives were defined in the variation as the Commonwealth’s Regional Managers and the Provider’s (IBA) regional staff.</w:t>
      </w:r>
    </w:p>
  </w:footnote>
  <w:footnote w:id="22">
    <w:p w14:paraId="0F11A4E2" w14:textId="4843D662" w:rsidR="00272B9C" w:rsidRPr="00DF0A7C" w:rsidRDefault="00272B9C">
      <w:pPr>
        <w:pStyle w:val="FootnoteText"/>
        <w:rPr>
          <w:lang w:val="en-AU"/>
        </w:rPr>
      </w:pPr>
      <w:r>
        <w:rPr>
          <w:rStyle w:val="FootnoteReference"/>
        </w:rPr>
        <w:footnoteRef/>
      </w:r>
      <w:r>
        <w:t xml:space="preserve"> </w:t>
      </w:r>
      <w:r w:rsidRPr="00DF0A7C">
        <w:rPr>
          <w:iCs/>
        </w:rPr>
        <w:t>Supply Nation, First Nations Capital,</w:t>
      </w:r>
      <w:r>
        <w:t xml:space="preserve"> </w:t>
      </w:r>
      <w:r w:rsidRPr="00DF0A7C">
        <w:rPr>
          <w:i/>
          <w:iCs/>
        </w:rPr>
        <w:t>Indigenous Business Growth: Working together to realise potential</w:t>
      </w:r>
      <w:r>
        <w:t xml:space="preserve">, </w:t>
      </w:r>
      <w:r w:rsidRPr="00B77F98">
        <w:rPr>
          <w:i/>
        </w:rPr>
        <w:t>September 2018</w:t>
      </w:r>
      <w:r>
        <w:rPr>
          <w:i/>
        </w:rPr>
        <w:t>.</w:t>
      </w:r>
    </w:p>
  </w:footnote>
  <w:footnote w:id="23">
    <w:p w14:paraId="2B6EC7C5" w14:textId="77777777" w:rsidR="00272B9C" w:rsidRPr="00713FEA" w:rsidRDefault="00272B9C" w:rsidP="00BD5B59">
      <w:pPr>
        <w:pStyle w:val="FootnoteText"/>
        <w:rPr>
          <w:lang w:val="en-AU"/>
        </w:rPr>
      </w:pPr>
      <w:r>
        <w:rPr>
          <w:rStyle w:val="FootnoteReference"/>
        </w:rPr>
        <w:footnoteRef/>
      </w:r>
      <w:r>
        <w:t xml:space="preserve"> ANAO (2021), Auditor General Report No.36 2020-21, </w:t>
      </w:r>
      <w:r>
        <w:rPr>
          <w:i/>
          <w:iCs/>
        </w:rPr>
        <w:t xml:space="preserve">Indigenous Business Australia’s Business Support and Investment Activities, </w:t>
      </w:r>
      <w:r w:rsidRPr="00992D89">
        <w:t xml:space="preserve">p. </w:t>
      </w:r>
      <w:r>
        <w:t>53.</w:t>
      </w:r>
    </w:p>
  </w:footnote>
  <w:footnote w:id="24">
    <w:p w14:paraId="4C7744D9" w14:textId="39D8B2A2" w:rsidR="00272B9C" w:rsidRPr="00535EE6" w:rsidRDefault="00272B9C" w:rsidP="0031689B">
      <w:pPr>
        <w:pStyle w:val="FootnoteText"/>
        <w:rPr>
          <w:lang w:val="en-GB"/>
        </w:rPr>
      </w:pPr>
      <w:r>
        <w:rPr>
          <w:rStyle w:val="FootnoteReference"/>
        </w:rPr>
        <w:footnoteRef/>
      </w:r>
      <w:r>
        <w:t xml:space="preserve"> </w:t>
      </w:r>
      <w:r w:rsidRPr="00FE5449">
        <w:t>In 2017-18, there were two similar indicators that have been combined here: “Number of customers who receive initial assessment of their business ideas from IBA staff</w:t>
      </w:r>
      <w:r>
        <w:t xml:space="preserve"> – target of 600</w:t>
      </w:r>
      <w:r w:rsidRPr="00FE5449">
        <w:t>” and “Number of customers who receive further support from IBA staff to develop their business idea</w:t>
      </w:r>
      <w:r>
        <w:t xml:space="preserve"> – target 300</w:t>
      </w:r>
      <w:r w:rsidRPr="00FE5449">
        <w:t>”</w:t>
      </w:r>
      <w:r>
        <w:t>. The initial contract had slightly different wording with the target of 600 business customers being provided with non-tailored business support, and 300 customers provided with tailored support.</w:t>
      </w:r>
    </w:p>
  </w:footnote>
  <w:footnote w:id="25">
    <w:p w14:paraId="37D4002A" w14:textId="35836E9B" w:rsidR="00272B9C" w:rsidRPr="00535EE6" w:rsidRDefault="00272B9C" w:rsidP="0031689B">
      <w:pPr>
        <w:pStyle w:val="FootnoteText"/>
        <w:rPr>
          <w:lang w:val="en-GB"/>
        </w:rPr>
      </w:pPr>
      <w:r>
        <w:rPr>
          <w:rStyle w:val="FootnoteReference"/>
        </w:rPr>
        <w:footnoteRef/>
      </w:r>
      <w:r>
        <w:t xml:space="preserve"> The </w:t>
      </w:r>
      <w:r w:rsidRPr="00FE5449">
        <w:t>201</w:t>
      </w:r>
      <w:r>
        <w:t>8</w:t>
      </w:r>
      <w:r w:rsidRPr="00FE5449">
        <w:t>-1</w:t>
      </w:r>
      <w:r>
        <w:t>9 indicator for internal business support has the same anomalies as 2017-18 as noted in the footnote above.</w:t>
      </w:r>
    </w:p>
  </w:footnote>
  <w:footnote w:id="26">
    <w:p w14:paraId="4C097D99" w14:textId="5286514B" w:rsidR="00272B9C" w:rsidRPr="00E11E81" w:rsidRDefault="00272B9C" w:rsidP="00290561">
      <w:pPr>
        <w:pStyle w:val="FootnoteText"/>
        <w:rPr>
          <w:lang w:val="en-GB"/>
        </w:rPr>
      </w:pPr>
      <w:r>
        <w:rPr>
          <w:rStyle w:val="FootnoteReference"/>
        </w:rPr>
        <w:footnoteRef/>
      </w:r>
      <w:r>
        <w:t xml:space="preserve"> This figure is taken from IBA performance reporting. It does not match detailed BSP customer data provided by IBA.</w:t>
      </w:r>
      <w:r w:rsidR="00777394">
        <w:t xml:space="preserve"> Target was still achieved.</w:t>
      </w:r>
    </w:p>
  </w:footnote>
  <w:footnote w:id="27">
    <w:p w14:paraId="2324415B" w14:textId="201092E2" w:rsidR="00272B9C" w:rsidRPr="00E11E81" w:rsidRDefault="00272B9C" w:rsidP="00290561">
      <w:pPr>
        <w:pStyle w:val="FootnoteText"/>
        <w:rPr>
          <w:lang w:val="en-GB"/>
        </w:rPr>
      </w:pPr>
      <w:r>
        <w:rPr>
          <w:rStyle w:val="FootnoteReference"/>
        </w:rPr>
        <w:footnoteRef/>
      </w:r>
      <w:r>
        <w:t xml:space="preserve"> This figure is taken from IBA performance reporting. It does not match detailed BSP customer data provided by IBA.</w:t>
      </w:r>
      <w:r w:rsidR="00777394">
        <w:t xml:space="preserve"> Target was still achieved.</w:t>
      </w:r>
    </w:p>
  </w:footnote>
  <w:footnote w:id="28">
    <w:p w14:paraId="40EC13AE" w14:textId="537BB5D7" w:rsidR="00272B9C" w:rsidRPr="00E11E81" w:rsidRDefault="00272B9C" w:rsidP="00290561">
      <w:pPr>
        <w:pStyle w:val="FootnoteText"/>
        <w:rPr>
          <w:lang w:val="en-GB"/>
        </w:rPr>
      </w:pPr>
      <w:r>
        <w:rPr>
          <w:rStyle w:val="FootnoteReference"/>
        </w:rPr>
        <w:footnoteRef/>
      </w:r>
      <w:r>
        <w:t xml:space="preserve"> This figure is taken from IBA performance reporting.</w:t>
      </w:r>
      <w:r w:rsidRPr="00DD3818">
        <w:t xml:space="preserve"> </w:t>
      </w:r>
      <w:r>
        <w:t>It does not match detailed BSP customer data provided by IBA.</w:t>
      </w:r>
      <w:r w:rsidR="00777394">
        <w:t xml:space="preserve"> Target was still achieved.</w:t>
      </w:r>
    </w:p>
  </w:footnote>
  <w:footnote w:id="29">
    <w:p w14:paraId="1DB49465" w14:textId="10A05A88" w:rsidR="00D310BA" w:rsidRPr="00D310BA" w:rsidRDefault="00D310BA">
      <w:pPr>
        <w:pStyle w:val="FootnoteText"/>
        <w:rPr>
          <w:lang w:val="en-AU"/>
        </w:rPr>
      </w:pPr>
      <w:r>
        <w:rPr>
          <w:rStyle w:val="FootnoteReference"/>
        </w:rPr>
        <w:footnoteRef/>
      </w:r>
      <w:r>
        <w:t xml:space="preserve"> </w:t>
      </w:r>
      <w:r w:rsidRPr="00BE71B3">
        <w:rPr>
          <w:spacing w:val="-2"/>
          <w:sz w:val="16"/>
          <w:szCs w:val="16"/>
        </w:rPr>
        <w:t>The reporting of loans by new customers and existing customers was a requirement in 2016–17, with 50 loans to go to new customers and 25 existing customers to receive an additional loan. These targets were removed from 2017–18 onwards.</w:t>
      </w:r>
    </w:p>
  </w:footnote>
  <w:footnote w:id="30">
    <w:p w14:paraId="63BE20F6" w14:textId="22D783DE" w:rsidR="00272B9C" w:rsidRPr="00435BD7" w:rsidRDefault="00272B9C">
      <w:pPr>
        <w:pStyle w:val="FootnoteText"/>
        <w:rPr>
          <w:lang w:val="en-AU"/>
        </w:rPr>
      </w:pPr>
      <w:r>
        <w:rPr>
          <w:rStyle w:val="FootnoteReference"/>
        </w:rPr>
        <w:footnoteRef/>
      </w:r>
      <w:r>
        <w:t xml:space="preserve"> </w:t>
      </w:r>
      <w:r>
        <w:rPr>
          <w:lang w:val="en-AU"/>
        </w:rPr>
        <w:t xml:space="preserve">Indigenous Business Australia, </w:t>
      </w:r>
      <w:r>
        <w:rPr>
          <w:i/>
          <w:iCs/>
          <w:lang w:val="en-AU"/>
        </w:rPr>
        <w:t xml:space="preserve">Annual Report 2020-21: Recovery, Rebound, Impact, </w:t>
      </w:r>
      <w:r>
        <w:rPr>
          <w:lang w:val="en-AU"/>
        </w:rPr>
        <w:t>(September 2021), Measure 8: Value of business finance approved, p. 29.</w:t>
      </w:r>
    </w:p>
  </w:footnote>
  <w:footnote w:id="31">
    <w:p w14:paraId="4BB6649F" w14:textId="5AA6E22E" w:rsidR="00995B6C" w:rsidRPr="00995B6C" w:rsidRDefault="00995B6C">
      <w:pPr>
        <w:pStyle w:val="FootnoteText"/>
        <w:rPr>
          <w:lang w:val="en-AU"/>
        </w:rPr>
      </w:pPr>
      <w:r>
        <w:rPr>
          <w:rStyle w:val="FootnoteReference"/>
        </w:rPr>
        <w:footnoteRef/>
      </w:r>
      <w:r>
        <w:t xml:space="preserve"> </w:t>
      </w:r>
      <w:r w:rsidRPr="00FE73DE">
        <w:t>When considering the policy intent of supporting early stage and pre-bank customers, as well as those who are assessed as high</w:t>
      </w:r>
      <w:r>
        <w:t>er-</w:t>
      </w:r>
      <w:r w:rsidRPr="00FE73DE">
        <w:t xml:space="preserve">risk, </w:t>
      </w:r>
      <w:r>
        <w:t xml:space="preserve">analysis </w:t>
      </w:r>
      <w:r w:rsidRPr="00FE73DE">
        <w:t>combin</w:t>
      </w:r>
      <w:r>
        <w:t xml:space="preserve">ed both </w:t>
      </w:r>
      <w:r w:rsidRPr="00FE73DE">
        <w:t>the risk and loan type categories.</w:t>
      </w:r>
    </w:p>
  </w:footnote>
  <w:footnote w:id="32">
    <w:p w14:paraId="7FB6459C" w14:textId="04BC5E04" w:rsidR="00995B6C" w:rsidRPr="00995B6C" w:rsidRDefault="00995B6C" w:rsidP="00995B6C">
      <w:pPr>
        <w:pStyle w:val="FootnoteText"/>
        <w:rPr>
          <w:lang w:val="en-AU"/>
        </w:rPr>
      </w:pPr>
      <w:r>
        <w:rPr>
          <w:rStyle w:val="FootnoteReference"/>
        </w:rPr>
        <w:footnoteRef/>
      </w:r>
      <w:r>
        <w:t xml:space="preserve"> </w:t>
      </w:r>
      <w:r w:rsidRPr="00FE73DE">
        <w:t xml:space="preserve">In most financial years for which there is data, </w:t>
      </w:r>
      <w:r>
        <w:t>higher-risk</w:t>
      </w:r>
      <w:r w:rsidRPr="00FE73DE">
        <w:t xml:space="preserve"> pre-bank loans were lower in total value compared to high</w:t>
      </w:r>
      <w:r>
        <w:t>er-</w:t>
      </w:r>
      <w:r w:rsidRPr="00FE73DE">
        <w:t>risk bankable loans (</w:t>
      </w:r>
      <w:r w:rsidRPr="00FE73DE">
        <w:fldChar w:fldCharType="begin"/>
      </w:r>
      <w:r w:rsidRPr="00FE73DE">
        <w:instrText xml:space="preserve"> REF _Ref105430630 \h </w:instrText>
      </w:r>
      <w:r w:rsidRPr="00FE73DE">
        <w:fldChar w:fldCharType="separate"/>
      </w:r>
      <w:r w:rsidR="004718C9" w:rsidRPr="00FE73DE">
        <w:t xml:space="preserve">Figure </w:t>
      </w:r>
      <w:r w:rsidR="004718C9">
        <w:rPr>
          <w:noProof/>
        </w:rPr>
        <w:t>14</w:t>
      </w:r>
      <w:r w:rsidRPr="00FE73DE">
        <w:fldChar w:fldCharType="end"/>
      </w:r>
      <w:r w:rsidRPr="00FE73DE">
        <w:t>). While high</w:t>
      </w:r>
      <w:r>
        <w:t>er-</w:t>
      </w:r>
      <w:r w:rsidRPr="00FE73DE">
        <w:t>risk pre-bank loans accounted for around half of all loans in each financial year (</w:t>
      </w:r>
      <w:r w:rsidRPr="00FE73DE">
        <w:fldChar w:fldCharType="begin"/>
      </w:r>
      <w:r w:rsidRPr="00FE73DE">
        <w:instrText xml:space="preserve"> REF _Ref105430638 \h </w:instrText>
      </w:r>
      <w:r w:rsidRPr="00FE73DE">
        <w:fldChar w:fldCharType="separate"/>
      </w:r>
      <w:r w:rsidR="004718C9" w:rsidRPr="00FE73DE">
        <w:t xml:space="preserve">Figure </w:t>
      </w:r>
      <w:r w:rsidR="004718C9">
        <w:rPr>
          <w:noProof/>
        </w:rPr>
        <w:t>15</w:t>
      </w:r>
      <w:r w:rsidRPr="00FE73DE">
        <w:fldChar w:fldCharType="end"/>
      </w:r>
      <w:r w:rsidRPr="00FE73DE">
        <w:t xml:space="preserve"> and </w:t>
      </w:r>
      <w:r w:rsidRPr="00FE73DE">
        <w:fldChar w:fldCharType="begin"/>
      </w:r>
      <w:r w:rsidRPr="00FE73DE">
        <w:instrText xml:space="preserve"> REF _Ref105430645 \h </w:instrText>
      </w:r>
      <w:r w:rsidRPr="00FE73DE">
        <w:fldChar w:fldCharType="separate"/>
      </w:r>
      <w:r w:rsidR="004718C9" w:rsidRPr="00FE73DE">
        <w:t xml:space="preserve">Figure </w:t>
      </w:r>
      <w:r w:rsidR="004718C9">
        <w:rPr>
          <w:noProof/>
        </w:rPr>
        <w:t>16</w:t>
      </w:r>
      <w:r w:rsidRPr="00FE73DE">
        <w:fldChar w:fldCharType="end"/>
      </w:r>
      <w:r w:rsidRPr="00FE73DE">
        <w:t>), the value of these loans only accounted for 37</w:t>
      </w:r>
      <w:r>
        <w:t xml:space="preserve">% </w:t>
      </w:r>
      <w:r w:rsidRPr="00FE73DE">
        <w:t>or less of total loan commitment in each financial year (</w:t>
      </w:r>
      <w:r w:rsidRPr="00FE73DE">
        <w:fldChar w:fldCharType="begin"/>
      </w:r>
      <w:r w:rsidRPr="00FE73DE">
        <w:instrText xml:space="preserve"> REF _Ref105430630 \h </w:instrText>
      </w:r>
      <w:r w:rsidRPr="00FE73DE">
        <w:fldChar w:fldCharType="separate"/>
      </w:r>
      <w:r w:rsidR="004718C9" w:rsidRPr="00FE73DE">
        <w:t xml:space="preserve">Figure </w:t>
      </w:r>
      <w:r w:rsidR="004718C9">
        <w:rPr>
          <w:noProof/>
        </w:rPr>
        <w:t>14</w:t>
      </w:r>
      <w:r w:rsidRPr="00FE73DE">
        <w:fldChar w:fldCharType="end"/>
      </w:r>
      <w:r w:rsidRPr="00FE73DE">
        <w:t>). The value of high</w:t>
      </w:r>
      <w:r>
        <w:t>er-</w:t>
      </w:r>
      <w:r w:rsidRPr="00FE73DE">
        <w:t>risk loans for both pre-bank and bankable customers combined accounted for over half of the loan commitments in each financial year (</w:t>
      </w:r>
      <w:r w:rsidRPr="00FE73DE">
        <w:fldChar w:fldCharType="begin"/>
      </w:r>
      <w:r w:rsidRPr="00FE73DE">
        <w:instrText xml:space="preserve"> REF _Ref105430630 \h </w:instrText>
      </w:r>
      <w:r w:rsidRPr="00FE73DE">
        <w:fldChar w:fldCharType="separate"/>
      </w:r>
      <w:r w:rsidR="004718C9" w:rsidRPr="00FE73DE">
        <w:t xml:space="preserve">Figure </w:t>
      </w:r>
      <w:r w:rsidR="004718C9">
        <w:rPr>
          <w:noProof/>
        </w:rPr>
        <w:t>14</w:t>
      </w:r>
      <w:r w:rsidRPr="00FE73DE">
        <w:fldChar w:fldCharType="end"/>
      </w:r>
      <w:r w:rsidRPr="00FE73DE">
        <w:t xml:space="preserve"> and </w:t>
      </w:r>
      <w:r w:rsidRPr="00FE73DE">
        <w:fldChar w:fldCharType="begin"/>
      </w:r>
      <w:r w:rsidRPr="00FE73DE">
        <w:instrText xml:space="preserve"> REF _Ref105430645 \h </w:instrText>
      </w:r>
      <w:r w:rsidRPr="00FE73DE">
        <w:fldChar w:fldCharType="separate"/>
      </w:r>
      <w:r w:rsidR="004718C9" w:rsidRPr="00FE73DE">
        <w:t xml:space="preserve">Figure </w:t>
      </w:r>
      <w:r w:rsidR="004718C9">
        <w:rPr>
          <w:noProof/>
        </w:rPr>
        <w:t>16</w:t>
      </w:r>
      <w:r w:rsidRPr="00FE73DE">
        <w:fldChar w:fldCharType="end"/>
      </w:r>
      <w:r w:rsidRPr="00FE73DE">
        <w:t>), and 75</w:t>
      </w:r>
      <w:r>
        <w:t>%</w:t>
      </w:r>
      <w:r w:rsidRPr="00FE73DE">
        <w:t xml:space="preserve"> to 82</w:t>
      </w:r>
      <w:r>
        <w:t>%</w:t>
      </w:r>
      <w:r w:rsidRPr="00FE73DE">
        <w:t xml:space="preserve"> of the total number of loans for each financial year (</w:t>
      </w:r>
      <w:r w:rsidRPr="00FE73DE">
        <w:fldChar w:fldCharType="begin"/>
      </w:r>
      <w:r w:rsidRPr="00FE73DE">
        <w:instrText xml:space="preserve"> REF _Ref105430638 \h </w:instrText>
      </w:r>
      <w:r w:rsidRPr="00FE73DE">
        <w:fldChar w:fldCharType="separate"/>
      </w:r>
      <w:r w:rsidR="004718C9" w:rsidRPr="00FE73DE">
        <w:t xml:space="preserve">Figure </w:t>
      </w:r>
      <w:r w:rsidR="004718C9">
        <w:rPr>
          <w:noProof/>
        </w:rPr>
        <w:t>15</w:t>
      </w:r>
      <w:r w:rsidRPr="00FE73DE">
        <w:fldChar w:fldCharType="end"/>
      </w:r>
      <w:r w:rsidRPr="00FE73DE">
        <w:t xml:space="preserve"> and </w:t>
      </w:r>
      <w:r w:rsidRPr="00FE73DE">
        <w:fldChar w:fldCharType="begin"/>
      </w:r>
      <w:r w:rsidRPr="00FE73DE">
        <w:instrText xml:space="preserve"> REF _Ref105430645 \h </w:instrText>
      </w:r>
      <w:r w:rsidRPr="00FE73DE">
        <w:fldChar w:fldCharType="separate"/>
      </w:r>
      <w:r w:rsidR="004718C9" w:rsidRPr="00FE73DE">
        <w:t xml:space="preserve">Figure </w:t>
      </w:r>
      <w:r w:rsidR="004718C9">
        <w:rPr>
          <w:noProof/>
        </w:rPr>
        <w:t>16</w:t>
      </w:r>
      <w:r w:rsidRPr="00FE73DE">
        <w:fldChar w:fldCharType="end"/>
      </w:r>
      <w:r w:rsidRPr="00FE73DE">
        <w:t>).</w:t>
      </w:r>
    </w:p>
  </w:footnote>
  <w:footnote w:id="33">
    <w:p w14:paraId="7553DBCD" w14:textId="0BD9E795" w:rsidR="00857ACF" w:rsidRPr="00B8100C" w:rsidRDefault="00857ACF">
      <w:pPr>
        <w:pStyle w:val="FootnoteText"/>
        <w:rPr>
          <w:lang w:val="en-AU"/>
        </w:rPr>
      </w:pPr>
      <w:r>
        <w:rPr>
          <w:rStyle w:val="FootnoteReference"/>
        </w:rPr>
        <w:footnoteRef/>
      </w:r>
      <w:r>
        <w:t xml:space="preserve"> </w:t>
      </w:r>
      <w:r>
        <w:rPr>
          <w:lang w:val="en-AU"/>
        </w:rPr>
        <w:t xml:space="preserve">See for example </w:t>
      </w:r>
      <w:r w:rsidRPr="009834D1">
        <w:rPr>
          <w:szCs w:val="18"/>
        </w:rPr>
        <w:t>Indigenous Business Australia</w:t>
      </w:r>
      <w:r>
        <w:rPr>
          <w:szCs w:val="18"/>
        </w:rPr>
        <w:t>,</w:t>
      </w:r>
      <w:r w:rsidRPr="009834D1">
        <w:rPr>
          <w:szCs w:val="18"/>
        </w:rPr>
        <w:t xml:space="preserve"> </w:t>
      </w:r>
      <w:r w:rsidRPr="00D65790">
        <w:rPr>
          <w:i/>
          <w:iCs/>
          <w:szCs w:val="18"/>
        </w:rPr>
        <w:t>Annual Report 2015–2016</w:t>
      </w:r>
      <w:r>
        <w:rPr>
          <w:szCs w:val="18"/>
        </w:rPr>
        <w:t xml:space="preserve">, p. </w:t>
      </w:r>
      <w:r w:rsidR="00C0486F">
        <w:rPr>
          <w:szCs w:val="18"/>
        </w:rPr>
        <w:t xml:space="preserve">13; </w:t>
      </w:r>
      <w:r w:rsidR="00C0486F" w:rsidRPr="009834D1">
        <w:rPr>
          <w:szCs w:val="18"/>
        </w:rPr>
        <w:t>Indigenous Business Australia</w:t>
      </w:r>
      <w:r w:rsidR="00C0486F">
        <w:rPr>
          <w:szCs w:val="18"/>
        </w:rPr>
        <w:t>,</w:t>
      </w:r>
      <w:r w:rsidR="00C0486F" w:rsidRPr="009834D1">
        <w:rPr>
          <w:szCs w:val="18"/>
        </w:rPr>
        <w:t xml:space="preserve"> </w:t>
      </w:r>
      <w:r w:rsidR="00C0486F" w:rsidRPr="00D65790">
        <w:rPr>
          <w:i/>
          <w:iCs/>
          <w:szCs w:val="18"/>
        </w:rPr>
        <w:t>Annual Report 201</w:t>
      </w:r>
      <w:r w:rsidR="00C0486F">
        <w:rPr>
          <w:i/>
          <w:iCs/>
          <w:szCs w:val="18"/>
        </w:rPr>
        <w:t>6</w:t>
      </w:r>
      <w:r w:rsidR="00C0486F" w:rsidRPr="00D65790">
        <w:rPr>
          <w:i/>
          <w:iCs/>
          <w:szCs w:val="18"/>
        </w:rPr>
        <w:t>–201</w:t>
      </w:r>
      <w:r w:rsidR="00C0486F">
        <w:rPr>
          <w:i/>
          <w:iCs/>
          <w:szCs w:val="18"/>
        </w:rPr>
        <w:t>7</w:t>
      </w:r>
      <w:r w:rsidR="00C0486F">
        <w:rPr>
          <w:szCs w:val="18"/>
        </w:rPr>
        <w:t>, pp. 15</w:t>
      </w:r>
      <w:r w:rsidR="00C0486F">
        <w:rPr>
          <w:szCs w:val="18"/>
        </w:rPr>
        <w:softHyphen/>
        <w:t xml:space="preserve">17; and </w:t>
      </w:r>
      <w:r w:rsidR="00C0486F" w:rsidRPr="009834D1">
        <w:rPr>
          <w:szCs w:val="18"/>
        </w:rPr>
        <w:t>Indigenous Business Australia</w:t>
      </w:r>
      <w:r w:rsidR="00C0486F">
        <w:rPr>
          <w:szCs w:val="18"/>
        </w:rPr>
        <w:t>,</w:t>
      </w:r>
      <w:r w:rsidR="00C0486F" w:rsidRPr="009834D1">
        <w:rPr>
          <w:szCs w:val="18"/>
        </w:rPr>
        <w:t xml:space="preserve"> </w:t>
      </w:r>
      <w:r w:rsidR="00C0486F" w:rsidRPr="00D65790">
        <w:rPr>
          <w:i/>
          <w:iCs/>
          <w:szCs w:val="18"/>
        </w:rPr>
        <w:t>Annual Report 201</w:t>
      </w:r>
      <w:r w:rsidR="00C0486F">
        <w:rPr>
          <w:i/>
          <w:iCs/>
          <w:szCs w:val="18"/>
        </w:rPr>
        <w:t>7</w:t>
      </w:r>
      <w:r w:rsidR="00C0486F" w:rsidRPr="00D65790">
        <w:rPr>
          <w:i/>
          <w:iCs/>
          <w:szCs w:val="18"/>
        </w:rPr>
        <w:t>–201</w:t>
      </w:r>
      <w:r w:rsidR="00C0486F">
        <w:rPr>
          <w:i/>
          <w:iCs/>
          <w:szCs w:val="18"/>
        </w:rPr>
        <w:t>8</w:t>
      </w:r>
      <w:r w:rsidR="00C0486F">
        <w:rPr>
          <w:szCs w:val="18"/>
        </w:rPr>
        <w:t>, p. 15.</w:t>
      </w:r>
    </w:p>
  </w:footnote>
  <w:footnote w:id="34">
    <w:p w14:paraId="0ACBCF29" w14:textId="5917788E" w:rsidR="00272B9C" w:rsidRPr="00DD459B" w:rsidRDefault="00272B9C" w:rsidP="00F03431">
      <w:pPr>
        <w:pStyle w:val="Default"/>
        <w:rPr>
          <w:rFonts w:asciiTheme="majorHAnsi" w:eastAsiaTheme="minorEastAsia" w:hAnsiTheme="majorHAnsi" w:cstheme="minorBidi"/>
          <w:color w:val="auto"/>
          <w:kern w:val="10"/>
          <w:sz w:val="18"/>
          <w:szCs w:val="20"/>
          <w:lang w:eastAsia="ja-JP"/>
        </w:rPr>
      </w:pPr>
      <w:r w:rsidRPr="006274F0">
        <w:rPr>
          <w:rStyle w:val="FootnoteReference"/>
          <w:rFonts w:asciiTheme="majorHAnsi" w:hAnsiTheme="majorHAnsi"/>
          <w:sz w:val="18"/>
          <w:szCs w:val="18"/>
        </w:rPr>
        <w:footnoteRef/>
      </w:r>
      <w:r w:rsidRPr="006274F0">
        <w:rPr>
          <w:rFonts w:asciiTheme="majorHAnsi" w:hAnsiTheme="majorHAnsi"/>
          <w:sz w:val="18"/>
          <w:szCs w:val="18"/>
        </w:rPr>
        <w:t xml:space="preserve"> </w:t>
      </w:r>
      <w:r w:rsidRPr="006274F0">
        <w:rPr>
          <w:rFonts w:asciiTheme="majorHAnsi" w:eastAsiaTheme="minorEastAsia" w:hAnsiTheme="majorHAnsi" w:cstheme="minorBidi"/>
          <w:color w:val="auto"/>
          <w:kern w:val="10"/>
          <w:sz w:val="18"/>
          <w:szCs w:val="18"/>
          <w:lang w:eastAsia="ja-JP"/>
        </w:rPr>
        <w:t>R</w:t>
      </w:r>
      <w:r w:rsidRPr="00DD459B">
        <w:rPr>
          <w:rFonts w:asciiTheme="majorHAnsi" w:eastAsiaTheme="minorEastAsia" w:hAnsiTheme="majorHAnsi" w:cstheme="minorBidi"/>
          <w:color w:val="auto"/>
          <w:kern w:val="10"/>
          <w:sz w:val="18"/>
          <w:szCs w:val="20"/>
          <w:lang w:eastAsia="ja-JP"/>
        </w:rPr>
        <w:t>esults are compared with data showing “survival rate by employment size” as published by the</w:t>
      </w:r>
      <w:r>
        <w:rPr>
          <w:rFonts w:asciiTheme="majorHAnsi" w:eastAsiaTheme="minorEastAsia" w:hAnsiTheme="majorHAnsi" w:cstheme="minorBidi"/>
          <w:color w:val="auto"/>
          <w:kern w:val="10"/>
          <w:sz w:val="18"/>
          <w:szCs w:val="20"/>
          <w:lang w:eastAsia="ja-JP"/>
        </w:rPr>
        <w:t xml:space="preserve"> ABS</w:t>
      </w:r>
      <w:r w:rsidRPr="00DD459B">
        <w:rPr>
          <w:rFonts w:asciiTheme="majorHAnsi" w:eastAsiaTheme="minorEastAsia" w:hAnsiTheme="majorHAnsi" w:cstheme="minorBidi"/>
          <w:color w:val="auto"/>
          <w:kern w:val="10"/>
          <w:sz w:val="18"/>
          <w:szCs w:val="20"/>
          <w:lang w:eastAsia="ja-JP"/>
        </w:rPr>
        <w:t xml:space="preserve"> in the most recent available version of: Cat no. 81650.01 Counts of Australian Businesses, including entry and exits.</w:t>
      </w:r>
      <w:r>
        <w:rPr>
          <w:rFonts w:asciiTheme="majorHAnsi" w:eastAsiaTheme="minorEastAsia" w:hAnsiTheme="majorHAnsi" w:cstheme="minorBidi"/>
          <w:color w:val="auto"/>
          <w:kern w:val="10"/>
          <w:sz w:val="18"/>
          <w:szCs w:val="20"/>
          <w:lang w:eastAsia="ja-JP"/>
        </w:rPr>
        <w:t xml:space="preserve"> </w:t>
      </w:r>
      <w:r w:rsidRPr="00F03431">
        <w:t xml:space="preserve"> </w:t>
      </w:r>
      <w:r w:rsidRPr="00F03431">
        <w:rPr>
          <w:rFonts w:asciiTheme="majorHAnsi" w:eastAsiaTheme="minorEastAsia" w:hAnsiTheme="majorHAnsi" w:cstheme="minorBidi"/>
          <w:color w:val="auto"/>
          <w:kern w:val="10"/>
          <w:sz w:val="18"/>
          <w:szCs w:val="20"/>
          <w:lang w:eastAsia="ja-JP"/>
        </w:rPr>
        <w:t>The data collected and reported by IBA currently assumes that all businesses have at least one employee, while the ABS data includes a category for non-employing firms. Due to the delay in ABS releasing their survival rate estimates, IBA results for a financial year have to be compared to results for the previous financial year</w:t>
      </w:r>
      <w:r>
        <w:rPr>
          <w:rFonts w:asciiTheme="majorHAnsi" w:eastAsiaTheme="minorEastAsia" w:hAnsiTheme="majorHAnsi" w:cstheme="minorBidi"/>
          <w:color w:val="auto"/>
          <w:kern w:val="10"/>
          <w:sz w:val="18"/>
          <w:szCs w:val="20"/>
          <w:lang w:eastAsia="ja-JP"/>
        </w:rPr>
        <w:t>.</w:t>
      </w:r>
    </w:p>
  </w:footnote>
  <w:footnote w:id="35">
    <w:p w14:paraId="508EB80C" w14:textId="3EF1DE40" w:rsidR="00272B9C" w:rsidRPr="008C5AB9" w:rsidRDefault="00272B9C">
      <w:pPr>
        <w:pStyle w:val="FootnoteText"/>
      </w:pPr>
      <w:r>
        <w:rPr>
          <w:rStyle w:val="FootnoteReference"/>
        </w:rPr>
        <w:footnoteRef/>
      </w:r>
      <w:r>
        <w:t xml:space="preserve"> </w:t>
      </w:r>
      <w:r>
        <w:rPr>
          <w:lang w:val="en-AU"/>
        </w:rPr>
        <w:t xml:space="preserve">See for example </w:t>
      </w:r>
      <w:hyperlink r:id="rId4" w:history="1">
        <w:r w:rsidRPr="008C5AB9">
          <w:rPr>
            <w:rStyle w:val="Hyperlink"/>
            <w:rFonts w:cstheme="minorBidi"/>
            <w:lang w:val="en-AU"/>
          </w:rPr>
          <w:t>https://fundsquire.com.au/business-startup-statistics-australia/</w:t>
        </w:r>
      </w:hyperlink>
      <w:r>
        <w:rPr>
          <w:lang w:val="en-AU"/>
        </w:rPr>
        <w:t xml:space="preserve">, </w:t>
      </w:r>
      <w:r w:rsidRPr="00BE77C3">
        <w:rPr>
          <w:lang w:val="en-AU"/>
        </w:rPr>
        <w:t>https://www.smh.com.au/politics/federal/half-of-australia-s-new-businesses-failed-to-survive-to-2021-20210824-p58leo.html</w:t>
      </w:r>
      <w:r>
        <w:rPr>
          <w:lang w:val="en-AU"/>
        </w:rPr>
        <w:t xml:space="preserve"> and </w:t>
      </w:r>
      <w:r w:rsidRPr="00BE77C3">
        <w:rPr>
          <w:lang w:val="en-AU"/>
        </w:rPr>
        <w:t>https://www.boq.com.au/business/small-business/business-knowledge-hub/opening-a-small-business/the-top-ten-reasons-small-businesses-fail</w:t>
      </w:r>
    </w:p>
  </w:footnote>
  <w:footnote w:id="36">
    <w:p w14:paraId="7AD6360A" w14:textId="77777777" w:rsidR="00272B9C" w:rsidRDefault="00272B9C" w:rsidP="00954361">
      <w:pPr>
        <w:pStyle w:val="FootnoteText"/>
        <w:rPr>
          <w:lang w:val="en-AU"/>
        </w:rPr>
      </w:pPr>
      <w:r>
        <w:rPr>
          <w:rStyle w:val="FootnoteReference"/>
        </w:rPr>
        <w:footnoteRef/>
      </w:r>
      <w:r>
        <w:t xml:space="preserve"> This was a change from the interim arrangement in 2016-17 that required an increase in the number of customers receiving business support and/ or loan services in regional and remote Australia of at least 25 per cent when compared to numbers in the previous year.</w:t>
      </w:r>
    </w:p>
  </w:footnote>
  <w:footnote w:id="37">
    <w:p w14:paraId="7B5BCA91" w14:textId="5A5633CD" w:rsidR="00272B9C" w:rsidRPr="009B0150" w:rsidRDefault="00272B9C">
      <w:pPr>
        <w:pStyle w:val="FootnoteText"/>
        <w:rPr>
          <w:lang w:val="en-AU"/>
        </w:rPr>
      </w:pPr>
      <w:r>
        <w:rPr>
          <w:rStyle w:val="FootnoteReference"/>
        </w:rPr>
        <w:footnoteRef/>
      </w:r>
      <w:r>
        <w:t xml:space="preserve"> </w:t>
      </w:r>
      <w:r>
        <w:rPr>
          <w:lang w:val="en-AU"/>
        </w:rPr>
        <w:t xml:space="preserve">While the result of 78% is less than the target of 80%, the grant agreement considers a missed KPI is where the result has failed to achieve the result by more than 10% of the relevant KPI. </w:t>
      </w:r>
    </w:p>
  </w:footnote>
  <w:footnote w:id="38">
    <w:p w14:paraId="3F56A978" w14:textId="4F307C46" w:rsidR="00272B9C" w:rsidRPr="001C5FBE" w:rsidRDefault="00272B9C">
      <w:pPr>
        <w:pStyle w:val="FootnoteText"/>
        <w:rPr>
          <w:lang w:val="en-AU"/>
        </w:rPr>
      </w:pPr>
      <w:r>
        <w:rPr>
          <w:rStyle w:val="FootnoteReference"/>
        </w:rPr>
        <w:footnoteRef/>
      </w:r>
      <w:r>
        <w:t xml:space="preserve"> </w:t>
      </w:r>
      <w:r>
        <w:rPr>
          <w:lang w:val="en-AU"/>
        </w:rPr>
        <w:t xml:space="preserve">Indigenous Business Australia, </w:t>
      </w:r>
      <w:r>
        <w:rPr>
          <w:i/>
          <w:iCs/>
          <w:lang w:val="en-AU"/>
        </w:rPr>
        <w:t xml:space="preserve">Annual Report 2019-20: 1990-2020 Celebrating 30 years of Indigenous Success, </w:t>
      </w:r>
      <w:r>
        <w:rPr>
          <w:lang w:val="en-AU"/>
        </w:rPr>
        <w:t>(September 2021), p. 37.</w:t>
      </w:r>
    </w:p>
  </w:footnote>
  <w:footnote w:id="39">
    <w:p w14:paraId="0ED7B5F7" w14:textId="62A98F7A" w:rsidR="00272B9C" w:rsidRPr="001C5FBE" w:rsidRDefault="00272B9C">
      <w:pPr>
        <w:pStyle w:val="FootnoteText"/>
        <w:rPr>
          <w:lang w:val="en-AU"/>
        </w:rPr>
      </w:pPr>
      <w:r>
        <w:rPr>
          <w:rStyle w:val="FootnoteReference"/>
        </w:rPr>
        <w:footnoteRef/>
      </w:r>
      <w:r>
        <w:t xml:space="preserve"> </w:t>
      </w:r>
      <w:r>
        <w:rPr>
          <w:lang w:val="en-AU"/>
        </w:rPr>
        <w:t xml:space="preserve">Indigenous Business Australia, </w:t>
      </w:r>
      <w:r>
        <w:rPr>
          <w:i/>
          <w:iCs/>
          <w:lang w:val="en-AU"/>
        </w:rPr>
        <w:t xml:space="preserve">Annual Report 2020-21: Recovery, Rebound, Impact, </w:t>
      </w:r>
      <w:r>
        <w:rPr>
          <w:lang w:val="en-AU"/>
        </w:rPr>
        <w:t>(September 2021), p. 33.</w:t>
      </w:r>
    </w:p>
  </w:footnote>
  <w:footnote w:id="40">
    <w:p w14:paraId="13CCA2CC" w14:textId="77777777" w:rsidR="00C473A0" w:rsidRPr="00C473A0" w:rsidRDefault="00C473A0" w:rsidP="00C473A0">
      <w:pPr>
        <w:pStyle w:val="FootnoteText"/>
        <w:rPr>
          <w:lang w:val="en-AU"/>
        </w:rPr>
      </w:pPr>
      <w:r>
        <w:rPr>
          <w:rStyle w:val="FootnoteReference"/>
        </w:rPr>
        <w:footnoteRef/>
      </w:r>
      <w:r>
        <w:t xml:space="preserve"> </w:t>
      </w:r>
      <w:r w:rsidRPr="00FE73DE">
        <w:rPr>
          <w:szCs w:val="24"/>
        </w:rPr>
        <w:t xml:space="preserve">IBA’s KPIs include annual targets of third parties with whom a collaborative partnership has been formed. IBA also includes an appendix to its quarterly performance reports on the entities with whom a partnership is formed, the contract value, and the outcomes achieved or to be achieved from the partnership. Partnerships are also classified on whether they provide a wrap-around services to customers that fall within </w:t>
      </w:r>
      <w:r>
        <w:rPr>
          <w:szCs w:val="24"/>
        </w:rPr>
        <w:t xml:space="preserve">the </w:t>
      </w:r>
      <w:r w:rsidRPr="00FE73DE">
        <w:rPr>
          <w:szCs w:val="24"/>
        </w:rPr>
        <w:t>remit of IBA and bolster services where IBA does not have internal capacity.</w:t>
      </w:r>
    </w:p>
  </w:footnote>
  <w:footnote w:id="41">
    <w:p w14:paraId="7B807217" w14:textId="6D6968B8" w:rsidR="00272B9C" w:rsidRPr="00EF2107" w:rsidRDefault="00272B9C" w:rsidP="0086282D">
      <w:pPr>
        <w:pStyle w:val="FootnoteText"/>
        <w:rPr>
          <w:i/>
          <w:iCs/>
        </w:rPr>
      </w:pPr>
      <w:r>
        <w:rPr>
          <w:rStyle w:val="FootnoteReference"/>
        </w:rPr>
        <w:footnoteRef/>
      </w:r>
      <w:r>
        <w:t xml:space="preserve"> ANAO (2021), Auditor General Report No.36 2020-21, </w:t>
      </w:r>
      <w:r>
        <w:rPr>
          <w:i/>
          <w:iCs/>
        </w:rPr>
        <w:t>Indigenous Business Australia’s Business Support and Investment Activities</w:t>
      </w:r>
      <w:r w:rsidRPr="00EF2107">
        <w:t>.</w:t>
      </w:r>
      <w:r w:rsidR="00C87EC9">
        <w:t xml:space="preserve"> </w:t>
      </w:r>
    </w:p>
  </w:footnote>
  <w:footnote w:id="42">
    <w:p w14:paraId="059074FB" w14:textId="330DE023" w:rsidR="00272B9C" w:rsidRPr="00A65BD8" w:rsidRDefault="00272B9C">
      <w:pPr>
        <w:pStyle w:val="FootnoteText"/>
        <w:rPr>
          <w:lang w:val="en-AU"/>
        </w:rPr>
      </w:pPr>
      <w:r>
        <w:rPr>
          <w:rStyle w:val="FootnoteReference"/>
        </w:rPr>
        <w:footnoteRef/>
      </w:r>
      <w:r>
        <w:t xml:space="preserve"> ANAO (2021), Auditor General Report No.36 2020-21, </w:t>
      </w:r>
      <w:r>
        <w:rPr>
          <w:i/>
          <w:iCs/>
        </w:rPr>
        <w:t xml:space="preserve">Indigenous Business Australia’s Business Support and Investment Activities, </w:t>
      </w:r>
      <w:r w:rsidRPr="00A65BD8">
        <w:t>p. 32.</w:t>
      </w:r>
    </w:p>
  </w:footnote>
  <w:footnote w:id="43">
    <w:p w14:paraId="4CEFD7DB" w14:textId="772DB0F0" w:rsidR="00272B9C" w:rsidRPr="0083029A" w:rsidRDefault="00272B9C">
      <w:pPr>
        <w:pStyle w:val="FootnoteText"/>
        <w:rPr>
          <w:lang w:val="en-AU"/>
        </w:rPr>
      </w:pPr>
      <w:r>
        <w:rPr>
          <w:rStyle w:val="FootnoteReference"/>
        </w:rPr>
        <w:footnoteRef/>
      </w:r>
      <w:r>
        <w:t xml:space="preserve"> ANAO (2021), Auditor General Report No.36 2020-21, </w:t>
      </w:r>
      <w:r>
        <w:rPr>
          <w:i/>
          <w:iCs/>
        </w:rPr>
        <w:t>Indigenous Business Australia’s Business Support and Investment Activities</w:t>
      </w:r>
      <w:r>
        <w:t>, pp. 21-25.</w:t>
      </w:r>
    </w:p>
  </w:footnote>
  <w:footnote w:id="44">
    <w:p w14:paraId="072F1CED" w14:textId="2B999637" w:rsidR="00272B9C" w:rsidRPr="00992D89" w:rsidRDefault="00272B9C">
      <w:pPr>
        <w:pStyle w:val="FootnoteText"/>
        <w:rPr>
          <w:lang w:val="en-AU"/>
        </w:rPr>
      </w:pPr>
      <w:r>
        <w:rPr>
          <w:rStyle w:val="FootnoteReference"/>
        </w:rPr>
        <w:footnoteRef/>
      </w:r>
      <w:r>
        <w:t xml:space="preserve"> ANAO (2021), Auditor General Report No.36 2020-21, </w:t>
      </w:r>
      <w:r>
        <w:rPr>
          <w:i/>
          <w:iCs/>
        </w:rPr>
        <w:t xml:space="preserve">Indigenous Business Australia’s Business Support and Investment Activities, </w:t>
      </w:r>
      <w:r w:rsidRPr="00992D89">
        <w:t>p. 35</w:t>
      </w:r>
      <w:r>
        <w:t>.</w:t>
      </w:r>
    </w:p>
  </w:footnote>
  <w:footnote w:id="45">
    <w:p w14:paraId="7E247074" w14:textId="3E248CFA" w:rsidR="00272B9C" w:rsidRPr="00992D89" w:rsidRDefault="00272B9C" w:rsidP="00741ECC">
      <w:pPr>
        <w:pStyle w:val="FootnoteText"/>
        <w:rPr>
          <w:lang w:val="en-AU"/>
        </w:rPr>
      </w:pPr>
      <w:r>
        <w:rPr>
          <w:rStyle w:val="FootnoteReference"/>
        </w:rPr>
        <w:footnoteRef/>
      </w:r>
      <w:r>
        <w:t xml:space="preserve"> ANAO (2021), Auditor General Report No.36 2020-21, </w:t>
      </w:r>
      <w:r>
        <w:rPr>
          <w:i/>
          <w:iCs/>
        </w:rPr>
        <w:t xml:space="preserve">Indigenous Business Australia’s Business Support and Investment Activities, </w:t>
      </w:r>
      <w:r w:rsidRPr="00992D89">
        <w:t>p. 3</w:t>
      </w:r>
      <w:r>
        <w:t>8.</w:t>
      </w:r>
    </w:p>
  </w:footnote>
  <w:footnote w:id="46">
    <w:p w14:paraId="6632DC36" w14:textId="29F25B58" w:rsidR="00294757" w:rsidRPr="00B8100C" w:rsidRDefault="00294757">
      <w:pPr>
        <w:pStyle w:val="FootnoteText"/>
        <w:rPr>
          <w:lang w:val="en-AU"/>
        </w:rPr>
      </w:pPr>
      <w:r>
        <w:rPr>
          <w:rStyle w:val="FootnoteReference"/>
        </w:rPr>
        <w:footnoteRef/>
      </w:r>
      <w:r>
        <w:t xml:space="preserve"> </w:t>
      </w:r>
      <w:r w:rsidR="00142367">
        <w:t>Internal d</w:t>
      </w:r>
      <w:r>
        <w:t xml:space="preserve">ocumentation shared by IBA to the evaluation team included the Business Solutions Program Policy, the Business Support Procedure, the Commercial Account Management Handbook and Commercial Finance Handbook. </w:t>
      </w:r>
      <w:r w:rsidR="00142367">
        <w:t>Versions of the IBA’s r</w:t>
      </w:r>
      <w:r>
        <w:t xml:space="preserve">isk </w:t>
      </w:r>
      <w:r w:rsidR="00142367">
        <w:t>m</w:t>
      </w:r>
      <w:r>
        <w:t xml:space="preserve">anagement </w:t>
      </w:r>
      <w:r w:rsidR="00142367">
        <w:t>f</w:t>
      </w:r>
      <w:r>
        <w:t>ramework</w:t>
      </w:r>
      <w:r w:rsidR="00142367">
        <w:t xml:space="preserve"> and associated policy documents were </w:t>
      </w:r>
      <w:r w:rsidR="00B8100C">
        <w:t>a</w:t>
      </w:r>
      <w:r w:rsidR="00142367">
        <w:t xml:space="preserve">lso provided, as were former and current credit policy documents. The provision of these documents </w:t>
      </w:r>
      <w:r w:rsidR="00D35F08">
        <w:t>was</w:t>
      </w:r>
      <w:r w:rsidR="00142367">
        <w:t xml:space="preserve"> underpinned by four comprehensive presentations covering the BSP; Governance and Risk Management; Customer Voice and Cultural Capability; and </w:t>
      </w:r>
      <w:r w:rsidR="00D35F08">
        <w:t>IBA’s COVID-19 Indigenous Business Relief Package (IBRP).</w:t>
      </w:r>
    </w:p>
  </w:footnote>
  <w:footnote w:id="47">
    <w:p w14:paraId="6CB76A32" w14:textId="57DB7218" w:rsidR="00C473A0" w:rsidRPr="00C473A0" w:rsidRDefault="00C473A0">
      <w:pPr>
        <w:pStyle w:val="FootnoteText"/>
        <w:rPr>
          <w:lang w:val="en-AU"/>
        </w:rPr>
      </w:pPr>
      <w:r>
        <w:rPr>
          <w:rStyle w:val="FootnoteReference"/>
        </w:rPr>
        <w:footnoteRef/>
      </w:r>
      <w:r>
        <w:t xml:space="preserve"> </w:t>
      </w:r>
      <w:r w:rsidRPr="00FE73DE">
        <w:t xml:space="preserve">The data provided was that which underpinned each year’s </w:t>
      </w:r>
      <w:r>
        <w:t>fourth</w:t>
      </w:r>
      <w:r w:rsidRPr="00FE73DE">
        <w:t xml:space="preserve"> Quarterly Performance Report as required under the</w:t>
      </w:r>
      <w:r>
        <w:t xml:space="preserve"> grant agreement</w:t>
      </w:r>
      <w:r w:rsidRPr="00FE73DE">
        <w:t xml:space="preserve">. This data was provided by IBA in </w:t>
      </w:r>
      <w:r>
        <w:t>three</w:t>
      </w:r>
      <w:r w:rsidRPr="00FE73DE">
        <w:t xml:space="preserve"> tranches</w:t>
      </w:r>
      <w:r>
        <w:rPr>
          <w:rFonts w:ascii="Franklin Gothic Book" w:hAnsi="Franklin Gothic Book"/>
        </w:rPr>
        <w:t>—</w:t>
      </w:r>
      <w:r w:rsidRPr="00FE73DE">
        <w:t>internal business support, external business support</w:t>
      </w:r>
      <w:r>
        <w:t>,</w:t>
      </w:r>
      <w:r w:rsidRPr="00FE73DE">
        <w:t xml:space="preserve"> and loan data</w:t>
      </w:r>
      <w:r>
        <w:rPr>
          <w:rFonts w:ascii="Franklin Gothic Book" w:hAnsi="Franklin Gothic Book"/>
        </w:rPr>
        <w:t>—</w:t>
      </w:r>
      <w:r w:rsidRPr="00FE73DE">
        <w:t xml:space="preserve">and by year. Due to the dataset being significantly deidentified (to protect the privacy of customers), with duplicate customer details removed in a year of data, it was not possible to determine whether a customer had received assistance over multiple years for the same service tranche, nor whether they had received any assistance under the other tranches, </w:t>
      </w:r>
      <w:r>
        <w:t>l</w:t>
      </w:r>
      <w:r w:rsidRPr="00FE73DE">
        <w:t xml:space="preserve">et alone in what year this occurred. This made </w:t>
      </w:r>
      <w:r>
        <w:t>assessing</w:t>
      </w:r>
      <w:r w:rsidRPr="00FE73DE">
        <w:t xml:space="preserve"> a customer’s journey through the types of support offered, or an assessment by demographics across service offerings, impossible to complete. Noting limitations in IBA’s data management systems, IBA was unable to provide BSP customer data in a different format.</w:t>
      </w:r>
    </w:p>
  </w:footnote>
  <w:footnote w:id="48">
    <w:p w14:paraId="25127FDD" w14:textId="53F6414A" w:rsidR="00272B9C" w:rsidRPr="00232938" w:rsidRDefault="00272B9C">
      <w:pPr>
        <w:pStyle w:val="FootnoteText"/>
        <w:rPr>
          <w:lang w:val="en-AU"/>
        </w:rPr>
      </w:pPr>
      <w:r>
        <w:rPr>
          <w:rStyle w:val="FootnoteReference"/>
        </w:rPr>
        <w:footnoteRef/>
      </w:r>
      <w:r>
        <w:t xml:space="preserve"> It should be noted that this analysis is limited to business loans only and excludes the other suite of business services and products provided by IBA such a performance bonds, invoice finance and financial leasing. </w:t>
      </w:r>
    </w:p>
  </w:footnote>
  <w:footnote w:id="49">
    <w:p w14:paraId="44EA79E3" w14:textId="71AC93D0" w:rsidR="00272B9C" w:rsidRPr="00932F81" w:rsidRDefault="00272B9C" w:rsidP="00932F81">
      <w:pPr>
        <w:pStyle w:val="Default"/>
        <w:rPr>
          <w:rStyle w:val="FootnoteTextChar"/>
          <w:lang w:val="en-AU"/>
        </w:rPr>
      </w:pPr>
      <w:r w:rsidRPr="00CA53FE">
        <w:rPr>
          <w:rStyle w:val="FootnoteReference"/>
          <w:rFonts w:asciiTheme="majorHAnsi" w:hAnsiTheme="majorHAnsi"/>
          <w:sz w:val="18"/>
          <w:szCs w:val="18"/>
        </w:rPr>
        <w:footnoteRef/>
      </w:r>
      <w:r w:rsidRPr="00CA53FE">
        <w:rPr>
          <w:rFonts w:asciiTheme="majorHAnsi" w:hAnsiTheme="majorHAnsi"/>
          <w:sz w:val="18"/>
          <w:szCs w:val="18"/>
        </w:rPr>
        <w:t xml:space="preserve"> </w:t>
      </w:r>
      <w:r w:rsidRPr="00CA53FE">
        <w:rPr>
          <w:rStyle w:val="FootnoteTextChar"/>
          <w:szCs w:val="18"/>
          <w:lang w:val="en-AU" w:eastAsia="en-US"/>
        </w:rPr>
        <w:t>Morley S</w:t>
      </w:r>
      <w:r w:rsidR="00D35FFF">
        <w:rPr>
          <w:rStyle w:val="FootnoteTextChar"/>
          <w:szCs w:val="18"/>
          <w:lang w:val="en-AU" w:eastAsia="en-US"/>
        </w:rPr>
        <w:t>.,</w:t>
      </w:r>
      <w:r w:rsidRPr="00CA53FE">
        <w:rPr>
          <w:rStyle w:val="FootnoteTextChar"/>
          <w:szCs w:val="18"/>
          <w:lang w:val="en-AU" w:eastAsia="en-US"/>
        </w:rPr>
        <w:t xml:space="preserve"> </w:t>
      </w:r>
      <w:r w:rsidR="00D35FFF">
        <w:rPr>
          <w:rStyle w:val="FootnoteTextChar"/>
          <w:szCs w:val="18"/>
          <w:lang w:val="en-AU" w:eastAsia="en-US"/>
        </w:rPr>
        <w:t>(</w:t>
      </w:r>
      <w:r w:rsidRPr="00CA53FE">
        <w:rPr>
          <w:rStyle w:val="FootnoteTextChar"/>
          <w:szCs w:val="18"/>
          <w:lang w:val="en-AU" w:eastAsia="en-US"/>
        </w:rPr>
        <w:t>2014</w:t>
      </w:r>
      <w:r w:rsidR="00D35FFF">
        <w:rPr>
          <w:rStyle w:val="FootnoteTextChar"/>
          <w:szCs w:val="18"/>
          <w:lang w:val="en-AU" w:eastAsia="en-US"/>
        </w:rPr>
        <w:t>)</w:t>
      </w:r>
      <w:r w:rsidRPr="00CA53FE">
        <w:rPr>
          <w:rStyle w:val="FootnoteTextChar"/>
          <w:szCs w:val="18"/>
          <w:lang w:val="en-AU" w:eastAsia="en-US"/>
        </w:rPr>
        <w:t xml:space="preserve">. </w:t>
      </w:r>
      <w:r w:rsidRPr="00D35FFF">
        <w:rPr>
          <w:rStyle w:val="FootnoteTextChar"/>
          <w:i/>
          <w:iCs/>
          <w:szCs w:val="18"/>
          <w:lang w:val="en-AU" w:eastAsia="en-US"/>
        </w:rPr>
        <w:t>Success factors for Indigenous entrepreneurs and community-based enterprises</w:t>
      </w:r>
      <w:r w:rsidRPr="00CA53FE">
        <w:rPr>
          <w:rStyle w:val="FootnoteTextChar"/>
          <w:szCs w:val="18"/>
          <w:lang w:val="en-AU" w:eastAsia="en-US"/>
        </w:rPr>
        <w:t>. Resource</w:t>
      </w:r>
      <w:r w:rsidRPr="00932F81">
        <w:rPr>
          <w:rStyle w:val="FootnoteTextChar"/>
          <w:lang w:val="en-AU" w:eastAsia="en-US"/>
        </w:rPr>
        <w:t xml:space="preserve"> sheet no. 30. Produced for the Closing the Gap Clearinghouse. Canberra: Australian Institute of Health and Welfare &amp; Melbourne: Australian Institute of Family Studies</w:t>
      </w:r>
    </w:p>
  </w:footnote>
  <w:footnote w:id="50">
    <w:p w14:paraId="406DAB27" w14:textId="66879B6A" w:rsidR="00272B9C" w:rsidRDefault="00272B9C" w:rsidP="00CD1706">
      <w:pPr>
        <w:pStyle w:val="FootnoteText"/>
        <w:rPr>
          <w:szCs w:val="18"/>
        </w:rPr>
      </w:pPr>
      <w:r>
        <w:rPr>
          <w:rStyle w:val="FootnoteReference"/>
        </w:rPr>
        <w:footnoteRef/>
      </w:r>
      <w:r>
        <w:t xml:space="preserve"> </w:t>
      </w:r>
      <w:r>
        <w:rPr>
          <w:szCs w:val="18"/>
        </w:rPr>
        <w:t>Indigenous Business Australia,</w:t>
      </w:r>
      <w:r>
        <w:rPr>
          <w:i/>
          <w:iCs/>
          <w:szCs w:val="18"/>
        </w:rPr>
        <w:t xml:space="preserve"> Annual Report 2009–2010</w:t>
      </w:r>
      <w:r>
        <w:rPr>
          <w:szCs w:val="18"/>
        </w:rPr>
        <w:t>, pp. 3-5, 9-10, 16.</w:t>
      </w:r>
    </w:p>
  </w:footnote>
  <w:footnote w:id="51">
    <w:p w14:paraId="58B815BE" w14:textId="20BE4F5C" w:rsidR="00272B9C" w:rsidRDefault="00272B9C" w:rsidP="00CD1706">
      <w:pPr>
        <w:pStyle w:val="FootnoteText"/>
        <w:rPr>
          <w:lang w:val="en-AU"/>
        </w:rPr>
      </w:pPr>
      <w:r w:rsidRPr="00BC53C4">
        <w:rPr>
          <w:b/>
          <w:bCs/>
          <w:vertAlign w:val="superscript"/>
          <w:lang w:val="en-AU"/>
        </w:rPr>
        <w:footnoteRef/>
      </w:r>
      <w:r w:rsidRPr="00BC53C4">
        <w:rPr>
          <w:b/>
          <w:bCs/>
          <w:lang w:val="en-AU"/>
        </w:rPr>
        <w:t xml:space="preserve"> </w:t>
      </w:r>
      <w:r w:rsidRPr="005640BA">
        <w:rPr>
          <w:lang w:val="en-AU"/>
        </w:rPr>
        <w:t xml:space="preserve">The BSP project schedule refers to building commercial capacity and development of Indigenous entrepreneurs. While mention is made to building partnership with other service providers including commercial banks, BSP performance reporting is silent on any activity involving supporting business customers to access commercial finance in this way. </w:t>
      </w:r>
    </w:p>
  </w:footnote>
  <w:footnote w:id="52">
    <w:p w14:paraId="29E75489" w14:textId="06944654" w:rsidR="00272B9C" w:rsidRPr="00C424B7" w:rsidRDefault="00272B9C" w:rsidP="00C361B7">
      <w:pPr>
        <w:pStyle w:val="FootnoteText"/>
        <w:rPr>
          <w:lang w:val="en-AU"/>
        </w:rPr>
      </w:pPr>
      <w:r>
        <w:rPr>
          <w:rStyle w:val="FootnoteReference"/>
        </w:rPr>
        <w:footnoteRef/>
      </w:r>
      <w:r>
        <w:t xml:space="preserve"> As shown below in </w:t>
      </w:r>
      <w:r w:rsidR="001F2BA9">
        <w:fldChar w:fldCharType="begin"/>
      </w:r>
      <w:r w:rsidR="001F2BA9">
        <w:instrText xml:space="preserve"> REF _Ref116664063 \h </w:instrText>
      </w:r>
      <w:r w:rsidR="001F2BA9">
        <w:fldChar w:fldCharType="separate"/>
      </w:r>
      <w:r w:rsidR="004718C9" w:rsidRPr="00FE73DE">
        <w:t xml:space="preserve">Figure </w:t>
      </w:r>
      <w:r w:rsidR="004718C9">
        <w:rPr>
          <w:noProof/>
        </w:rPr>
        <w:t>27</w:t>
      </w:r>
      <w:r w:rsidR="001F2BA9">
        <w:fldChar w:fldCharType="end"/>
      </w:r>
      <w:r w:rsidR="001F2BA9">
        <w:t>.</w:t>
      </w:r>
    </w:p>
  </w:footnote>
  <w:footnote w:id="53">
    <w:p w14:paraId="5EB075D8" w14:textId="7BBE5F68" w:rsidR="00272B9C" w:rsidRPr="00A40AD9" w:rsidRDefault="00272B9C" w:rsidP="00A40AD9">
      <w:pPr>
        <w:pStyle w:val="FootnoteText"/>
        <w:rPr>
          <w:lang w:val="en-AU"/>
        </w:rPr>
      </w:pPr>
      <w:r>
        <w:rPr>
          <w:rStyle w:val="FootnoteReference"/>
        </w:rPr>
        <w:footnoteRef/>
      </w:r>
      <w:r>
        <w:t xml:space="preserve"> </w:t>
      </w:r>
      <w:r w:rsidRPr="00A40AD9">
        <w:rPr>
          <w:lang w:val="en-AU"/>
        </w:rPr>
        <w:t xml:space="preserve">Evans, M., Polidano, C., Moschion, J., Langton, M., Storey, M., Jensen, P., &amp; Kurland, S. (2021) </w:t>
      </w:r>
      <w:r w:rsidRPr="00A40AD9">
        <w:rPr>
          <w:i/>
          <w:iCs/>
          <w:lang w:val="en-AU"/>
        </w:rPr>
        <w:t>Indigenous Businesses Sector Snapshot Study, Insights from I-BLADE 1.0</w:t>
      </w:r>
      <w:r w:rsidRPr="00A40AD9">
        <w:rPr>
          <w:lang w:val="en-AU"/>
        </w:rPr>
        <w:t xml:space="preserve">. The University of Melbourne. </w:t>
      </w:r>
      <w:hyperlink r:id="rId5" w:history="1">
        <w:r w:rsidRPr="000B4194">
          <w:rPr>
            <w:rStyle w:val="Hyperlink"/>
            <w:rFonts w:cstheme="minorBidi"/>
            <w:lang w:val="en-AU"/>
          </w:rPr>
          <w:t>https://fbe.unimelb.edu.au/ibl/assets/snapshot/RFQ03898-M-and-M-Snapshot-Study.pdf</w:t>
        </w:r>
      </w:hyperlink>
      <w:r>
        <w:rPr>
          <w:lang w:val="en-AU"/>
        </w:rPr>
        <w:t xml:space="preserve">, p. 6. </w:t>
      </w:r>
    </w:p>
  </w:footnote>
  <w:footnote w:id="54">
    <w:p w14:paraId="0BAD9DB1" w14:textId="3BFD26E0" w:rsidR="00E368F8" w:rsidRPr="001C5EEB" w:rsidRDefault="00E368F8" w:rsidP="00E368F8">
      <w:pPr>
        <w:pStyle w:val="FootnoteText"/>
        <w:rPr>
          <w:lang w:val="en-AU"/>
        </w:rPr>
      </w:pPr>
      <w:r>
        <w:rPr>
          <w:rStyle w:val="FootnoteReference"/>
        </w:rPr>
        <w:footnoteRef/>
      </w:r>
      <w:r>
        <w:t xml:space="preserve"> </w:t>
      </w:r>
      <w:r w:rsidRPr="001C5EEB">
        <w:t>Shirodkar</w:t>
      </w:r>
      <w:r>
        <w:t>, S.</w:t>
      </w:r>
      <w:r w:rsidRPr="001C5EEB">
        <w:t>, Hunter</w:t>
      </w:r>
      <w:r>
        <w:t>, B.,</w:t>
      </w:r>
      <w:r w:rsidRPr="001C5EEB">
        <w:t xml:space="preserve"> and Foley</w:t>
      </w:r>
      <w:r>
        <w:t xml:space="preserve">, D., (2020) </w:t>
      </w:r>
      <w:r w:rsidRPr="00676FB7">
        <w:rPr>
          <w:i/>
          <w:iCs/>
        </w:rPr>
        <w:t>A new method of estimating the number of Indigenous business owner–managers</w:t>
      </w:r>
      <w:r>
        <w:t>, ANU Centre for Social Research &amp; Methods, CSRM &amp; SRC Methods Paper No. 2/2020.</w:t>
      </w:r>
    </w:p>
  </w:footnote>
  <w:footnote w:id="55">
    <w:p w14:paraId="39BEEEA5" w14:textId="2BF21598" w:rsidR="00272B9C" w:rsidRPr="00A40AD9" w:rsidRDefault="00272B9C" w:rsidP="006464F3">
      <w:pPr>
        <w:pStyle w:val="FootnoteText"/>
        <w:rPr>
          <w:lang w:val="en-AU"/>
        </w:rPr>
      </w:pPr>
      <w:r>
        <w:rPr>
          <w:rStyle w:val="FootnoteReference"/>
        </w:rPr>
        <w:footnoteRef/>
      </w:r>
      <w:r>
        <w:t xml:space="preserve"> </w:t>
      </w:r>
      <w:r w:rsidRPr="00A40AD9">
        <w:rPr>
          <w:lang w:val="en-AU"/>
        </w:rPr>
        <w:t xml:space="preserve">Evans, M., Polidano, C., Moschion, J., Langton, M., Storey, M., Jensen, P., &amp; Kurland, S. (2021) </w:t>
      </w:r>
      <w:r w:rsidRPr="00A40AD9">
        <w:rPr>
          <w:i/>
          <w:iCs/>
          <w:lang w:val="en-AU"/>
        </w:rPr>
        <w:t>Indigenous Businesses Sector Snapshot Study, Insights from I-BLADE 1.0</w:t>
      </w:r>
      <w:r w:rsidRPr="00A40AD9">
        <w:rPr>
          <w:lang w:val="en-AU"/>
        </w:rPr>
        <w:t xml:space="preserve">. The University of Melbourne. </w:t>
      </w:r>
      <w:hyperlink r:id="rId6" w:history="1">
        <w:r w:rsidRPr="000B4194">
          <w:rPr>
            <w:rStyle w:val="Hyperlink"/>
            <w:rFonts w:cstheme="minorBidi"/>
            <w:lang w:val="en-AU"/>
          </w:rPr>
          <w:t>https://fbe.unimelb.edu.au/ibl/assets/snapshot/RFQ03898-M-and-M-Snapshot-Study.pdf</w:t>
        </w:r>
      </w:hyperlink>
      <w:r>
        <w:rPr>
          <w:lang w:val="en-AU"/>
        </w:rPr>
        <w:t xml:space="preserve">, p. 16. </w:t>
      </w:r>
    </w:p>
  </w:footnote>
  <w:footnote w:id="56">
    <w:p w14:paraId="10946825" w14:textId="77777777" w:rsidR="00B417C4" w:rsidRPr="000734E4" w:rsidRDefault="00B417C4" w:rsidP="00B417C4">
      <w:pPr>
        <w:pStyle w:val="FootnoteText"/>
        <w:rPr>
          <w:lang w:val="en-AU"/>
        </w:rPr>
      </w:pPr>
      <w:r>
        <w:rPr>
          <w:rStyle w:val="FootnoteReference"/>
        </w:rPr>
        <w:footnoteRef/>
      </w:r>
      <w:r>
        <w:t xml:space="preserve"> </w:t>
      </w:r>
      <w:r>
        <w:rPr>
          <w:lang w:val="en-AU"/>
        </w:rPr>
        <w:t xml:space="preserve">See for example </w:t>
      </w:r>
      <w:r w:rsidRPr="000734E4">
        <w:rPr>
          <w:lang w:val="en-AU"/>
        </w:rPr>
        <w:t>Minderoo Foundation, Generation One</w:t>
      </w:r>
      <w:r>
        <w:rPr>
          <w:lang w:val="en-AU"/>
        </w:rPr>
        <w:t>,</w:t>
      </w:r>
      <w:r w:rsidRPr="000734E4">
        <w:rPr>
          <w:i/>
          <w:iCs/>
          <w:lang w:val="en-AU"/>
        </w:rPr>
        <w:t xml:space="preserve"> Backing Black Business: Greater financial inclusion for Australia’s Indigenous business sector</w:t>
      </w:r>
      <w:r>
        <w:rPr>
          <w:i/>
          <w:iCs/>
          <w:lang w:val="en-AU"/>
        </w:rPr>
        <w:t>, February 2021</w:t>
      </w:r>
      <w:r>
        <w:rPr>
          <w:lang w:val="en-AU"/>
        </w:rPr>
        <w:t>. See</w:t>
      </w:r>
      <w:r w:rsidRPr="000734E4">
        <w:rPr>
          <w:lang w:val="en-AU"/>
        </w:rPr>
        <w:t xml:space="preserve"> </w:t>
      </w:r>
      <w:hyperlink r:id="rId7" w:history="1">
        <w:r w:rsidRPr="00B417C4">
          <w:rPr>
            <w:rStyle w:val="Hyperlink"/>
            <w:rFonts w:cstheme="minorBidi"/>
            <w:lang w:val="en-AU"/>
          </w:rPr>
          <w:t>https://www.minderoo.org/generation-one/reports/backing-black-business</w:t>
        </w:r>
        <w:r w:rsidRPr="00252225">
          <w:rPr>
            <w:rStyle w:val="Hyperlink"/>
            <w:rFonts w:cstheme="minorBidi"/>
            <w:lang w:val="en-AU"/>
          </w:rPr>
          <w:t>/</w:t>
        </w:r>
      </w:hyperlink>
      <w:r>
        <w:rPr>
          <w:lang w:val="en-AU"/>
        </w:rPr>
        <w:t xml:space="preserve"> </w:t>
      </w:r>
    </w:p>
  </w:footnote>
  <w:footnote w:id="57">
    <w:p w14:paraId="7B121716" w14:textId="2EEC9054" w:rsidR="00272B9C" w:rsidRPr="00471D87" w:rsidRDefault="00272B9C">
      <w:pPr>
        <w:pStyle w:val="FootnoteText"/>
        <w:rPr>
          <w:lang w:val="en-AU"/>
        </w:rPr>
      </w:pPr>
      <w:r>
        <w:rPr>
          <w:rStyle w:val="FootnoteReference"/>
        </w:rPr>
        <w:footnoteRef/>
      </w:r>
      <w:r>
        <w:t xml:space="preserve"> </w:t>
      </w:r>
      <w:r>
        <w:rPr>
          <w:lang w:val="en-AU"/>
        </w:rPr>
        <w:t xml:space="preserve">IBA, Impact Report 2020: Full Report, February 2021. See </w:t>
      </w:r>
      <w:hyperlink r:id="rId8" w:history="1">
        <w:r w:rsidRPr="004550CC">
          <w:rPr>
            <w:rStyle w:val="Hyperlink"/>
            <w:rFonts w:cstheme="minorBidi"/>
            <w:lang w:val="en-AU"/>
          </w:rPr>
          <w:t>https://iba.gov.au/impact-report-2020/</w:t>
        </w:r>
      </w:hyperlink>
      <w:r>
        <w:rPr>
          <w:lang w:val="en-AU"/>
        </w:rPr>
        <w:t xml:space="preserve"> </w:t>
      </w:r>
    </w:p>
  </w:footnote>
  <w:footnote w:id="58">
    <w:p w14:paraId="5932598A" w14:textId="77777777" w:rsidR="00736FE4" w:rsidRPr="00A1402E" w:rsidRDefault="00736FE4" w:rsidP="00736FE4">
      <w:pPr>
        <w:pStyle w:val="FootnoteText"/>
        <w:rPr>
          <w:lang w:val="en-AU"/>
        </w:rPr>
      </w:pPr>
      <w:r>
        <w:rPr>
          <w:rStyle w:val="FootnoteReference"/>
        </w:rPr>
        <w:footnoteRef/>
      </w:r>
      <w:r>
        <w:t xml:space="preserve"> </w:t>
      </w:r>
      <w:r>
        <w:rPr>
          <w:lang w:val="en-AU"/>
        </w:rPr>
        <w:t xml:space="preserve">Such as the </w:t>
      </w:r>
      <w:r w:rsidRPr="00DF0A7C">
        <w:rPr>
          <w:iCs/>
        </w:rPr>
        <w:t>Supply Nation, First Nations Capital,</w:t>
      </w:r>
      <w:r>
        <w:t xml:space="preserve"> </w:t>
      </w:r>
      <w:r w:rsidRPr="00DF0A7C">
        <w:rPr>
          <w:i/>
          <w:iCs/>
        </w:rPr>
        <w:t>Indigenous Business Growth: Working together to realise potential</w:t>
      </w:r>
      <w:r>
        <w:t xml:space="preserve">, </w:t>
      </w:r>
      <w:r w:rsidRPr="00B77F98">
        <w:rPr>
          <w:i/>
        </w:rPr>
        <w:t>September 2018</w:t>
      </w:r>
      <w:r>
        <w:rPr>
          <w:i/>
        </w:rPr>
        <w:t>.</w:t>
      </w:r>
    </w:p>
  </w:footnote>
  <w:footnote w:id="59">
    <w:p w14:paraId="222E17C1" w14:textId="77777777" w:rsidR="00272B9C" w:rsidRDefault="00272B9C" w:rsidP="00051AAA">
      <w:pPr>
        <w:pStyle w:val="FootnoteText"/>
        <w:rPr>
          <w:lang w:val="en-AU"/>
        </w:rPr>
      </w:pPr>
      <w:r>
        <w:rPr>
          <w:rStyle w:val="FootnoteReference"/>
        </w:rPr>
        <w:footnoteRef/>
      </w:r>
      <w:r>
        <w:t xml:space="preserve"> Participants included community-controlled organisations, industry peak bodies, business chambers, employer groups, government, education, service providers, unions, academia and entrepreneurs.</w:t>
      </w:r>
    </w:p>
  </w:footnote>
  <w:footnote w:id="60">
    <w:p w14:paraId="11FC20F0" w14:textId="2502BACD" w:rsidR="00E27D89" w:rsidRPr="00E047F8" w:rsidRDefault="00E27D89">
      <w:pPr>
        <w:pStyle w:val="FootnoteText"/>
        <w:rPr>
          <w:lang w:val="en-AU"/>
        </w:rPr>
      </w:pPr>
      <w:r>
        <w:rPr>
          <w:rStyle w:val="FootnoteReference"/>
        </w:rPr>
        <w:footnoteRef/>
      </w:r>
      <w:r>
        <w:t xml:space="preserve"> </w:t>
      </w:r>
      <w:r w:rsidRPr="00407069">
        <w:t xml:space="preserve">See Appendix </w:t>
      </w:r>
      <w:r>
        <w:t>G</w:t>
      </w:r>
      <w:r w:rsidRPr="00FE73DE">
        <w:t xml:space="preserve"> for further information</w:t>
      </w:r>
      <w:r>
        <w:t xml:space="preserve">. Also see </w:t>
      </w:r>
      <w:r w:rsidRPr="00DF0A7C">
        <w:rPr>
          <w:iCs/>
        </w:rPr>
        <w:t>Supply Nation, First Nations Capital,</w:t>
      </w:r>
      <w:r>
        <w:t xml:space="preserve"> </w:t>
      </w:r>
      <w:r w:rsidRPr="00DF0A7C">
        <w:rPr>
          <w:i/>
          <w:iCs/>
        </w:rPr>
        <w:t>Indigenous Business Growth: Working together to realise potential</w:t>
      </w:r>
      <w:r>
        <w:t xml:space="preserve">, </w:t>
      </w:r>
      <w:r w:rsidRPr="00B77F98">
        <w:rPr>
          <w:i/>
        </w:rPr>
        <w:t>September 2018</w:t>
      </w:r>
      <w:r>
        <w:rPr>
          <w:i/>
        </w:rPr>
        <w:t xml:space="preserve">, </w:t>
      </w:r>
      <w:r w:rsidRPr="00E047F8">
        <w:rPr>
          <w:iCs/>
        </w:rPr>
        <w:t>and</w:t>
      </w:r>
      <w:r>
        <w:rPr>
          <w:i/>
        </w:rPr>
        <w:t xml:space="preserve"> </w:t>
      </w:r>
      <w:r w:rsidRPr="000734E4">
        <w:rPr>
          <w:lang w:val="en-AU"/>
        </w:rPr>
        <w:t>Minderoo Foundation, Generation One</w:t>
      </w:r>
      <w:r>
        <w:rPr>
          <w:lang w:val="en-AU"/>
        </w:rPr>
        <w:t>,</w:t>
      </w:r>
      <w:r w:rsidRPr="000734E4">
        <w:rPr>
          <w:i/>
          <w:iCs/>
          <w:lang w:val="en-AU"/>
        </w:rPr>
        <w:t xml:space="preserve"> Backing Black Business: Greater financial inclusion for Australia’s Indigenous business sector</w:t>
      </w:r>
      <w:r>
        <w:rPr>
          <w:i/>
          <w:iCs/>
          <w:lang w:val="en-AU"/>
        </w:rPr>
        <w:t>, February 2021</w:t>
      </w:r>
    </w:p>
  </w:footnote>
  <w:footnote w:id="61">
    <w:p w14:paraId="252D1DF2" w14:textId="0D8ECBDA" w:rsidR="00DD3B85" w:rsidRPr="00DD3B85" w:rsidRDefault="00DD3B85" w:rsidP="00DD3B85">
      <w:pPr>
        <w:pStyle w:val="FootnoteText"/>
        <w:rPr>
          <w:lang w:val="en-AU"/>
        </w:rPr>
      </w:pPr>
      <w:r>
        <w:rPr>
          <w:rStyle w:val="FootnoteReference"/>
        </w:rPr>
        <w:footnoteRef/>
      </w:r>
      <w:r>
        <w:t xml:space="preserve"> Based </w:t>
      </w:r>
      <w:r w:rsidRPr="00FE73DE">
        <w:t>on publicly available material, and discussions with stakeholders who manage or use the services of these entities.</w:t>
      </w:r>
      <w:r w:rsidR="001C5EEB">
        <w:t xml:space="preserve"> Note </w:t>
      </w:r>
      <w:r w:rsidR="001C5EEB" w:rsidRPr="00FE73DE">
        <w:t>the support terms used are generic to encompass the varied descriptions of services provided by different entities.</w:t>
      </w:r>
    </w:p>
  </w:footnote>
  <w:footnote w:id="62">
    <w:p w14:paraId="23CC79BE" w14:textId="77777777" w:rsidR="00272B9C" w:rsidRDefault="00272B9C" w:rsidP="00FE11D0">
      <w:pPr>
        <w:pStyle w:val="FootnoteText"/>
        <w:rPr>
          <w:lang w:val="en-AU"/>
        </w:rPr>
      </w:pPr>
      <w:r>
        <w:rPr>
          <w:rStyle w:val="FootnoteReference"/>
        </w:rPr>
        <w:footnoteRef/>
      </w:r>
      <w:r>
        <w:t xml:space="preserve"> Other more ad hoc arrangements have emerged to support Indigenous businesses to get together and yarn, and to activate local Indigenous business communities. Once such movement is called ‘Black Coffee’, a grassroots Indigenous business networking event held in regions around Australia each month.  Originating in Queensland, the goal of Black Coffee is to provide a platform to connect micro and small business owners around Australia.</w:t>
      </w:r>
    </w:p>
  </w:footnote>
  <w:footnote w:id="63">
    <w:p w14:paraId="47505D3D" w14:textId="350273C8" w:rsidR="00272B9C" w:rsidRPr="009B0150" w:rsidRDefault="00272B9C">
      <w:pPr>
        <w:pStyle w:val="FootnoteText"/>
        <w:rPr>
          <w:lang w:val="en-AU"/>
        </w:rPr>
      </w:pPr>
      <w:r>
        <w:rPr>
          <w:rStyle w:val="FootnoteReference"/>
        </w:rPr>
        <w:footnoteRef/>
      </w:r>
      <w:r>
        <w:t xml:space="preserve"> </w:t>
      </w:r>
      <w:r>
        <w:rPr>
          <w:lang w:val="en-AU"/>
        </w:rPr>
        <w:t xml:space="preserve">See </w:t>
      </w:r>
      <w:r w:rsidRPr="00BE551E">
        <w:rPr>
          <w:lang w:val="en-AU"/>
        </w:rPr>
        <w:t>https://pursuit.unimelb.edu.au/articles/the-power-of-the-indigenous-business-sector</w:t>
      </w:r>
      <w:r>
        <w:rPr>
          <w:lang w:val="en-AU"/>
        </w:rPr>
        <w:t>.</w:t>
      </w:r>
    </w:p>
  </w:footnote>
  <w:footnote w:id="64">
    <w:p w14:paraId="2512F1F2" w14:textId="0024275A" w:rsidR="00272B9C" w:rsidRPr="002F2F8E" w:rsidRDefault="00272B9C">
      <w:pPr>
        <w:pStyle w:val="FootnoteText"/>
        <w:rPr>
          <w:iCs/>
          <w:lang w:val="en-AU"/>
        </w:rPr>
      </w:pPr>
      <w:r>
        <w:rPr>
          <w:rStyle w:val="FootnoteReference"/>
        </w:rPr>
        <w:footnoteRef/>
      </w:r>
      <w:r>
        <w:t xml:space="preserve"> </w:t>
      </w:r>
      <w:r w:rsidRPr="00DF0A7C">
        <w:rPr>
          <w:iCs/>
        </w:rPr>
        <w:t>Supply Nation, First Nations Capital,</w:t>
      </w:r>
      <w:r>
        <w:t xml:space="preserve"> </w:t>
      </w:r>
      <w:r w:rsidRPr="00DF0A7C">
        <w:rPr>
          <w:i/>
          <w:iCs/>
        </w:rPr>
        <w:t>Indigenous Business Growth: Working together to realise potential</w:t>
      </w:r>
      <w:r>
        <w:t xml:space="preserve">, </w:t>
      </w:r>
      <w:r w:rsidRPr="00E047F8">
        <w:rPr>
          <w:iCs/>
        </w:rPr>
        <w:t>September 2018</w:t>
      </w:r>
      <w:r>
        <w:rPr>
          <w:i/>
        </w:rPr>
        <w:t xml:space="preserve">, </w:t>
      </w:r>
      <w:r w:rsidRPr="00295C5C">
        <w:rPr>
          <w:iCs/>
        </w:rPr>
        <w:t>p</w:t>
      </w:r>
      <w:r>
        <w:rPr>
          <w:i/>
        </w:rPr>
        <w:t xml:space="preserve">. </w:t>
      </w:r>
      <w:r>
        <w:rPr>
          <w:iCs/>
        </w:rPr>
        <w:t>8.</w:t>
      </w:r>
    </w:p>
  </w:footnote>
  <w:footnote w:id="65">
    <w:p w14:paraId="215BE0ED" w14:textId="1B38EB3B" w:rsidR="00991188" w:rsidRPr="00E047F8" w:rsidRDefault="00991188">
      <w:pPr>
        <w:pStyle w:val="FootnoteText"/>
        <w:rPr>
          <w:lang w:val="en-AU"/>
        </w:rPr>
      </w:pPr>
      <w:r>
        <w:rPr>
          <w:rStyle w:val="FootnoteReference"/>
        </w:rPr>
        <w:footnoteRef/>
      </w:r>
      <w:r>
        <w:t xml:space="preserve"> </w:t>
      </w:r>
      <w:r w:rsidRPr="00FE73DE">
        <w:rPr>
          <w:szCs w:val="24"/>
        </w:rPr>
        <w:t>This was particularly in relation to other finance products and overall numbers of business finance approved each year</w:t>
      </w:r>
      <w:r>
        <w:rPr>
          <w:szCs w:val="24"/>
        </w:rPr>
        <w:t xml:space="preserve"> as noted in </w:t>
      </w:r>
      <w:r w:rsidR="00CC6D21">
        <w:rPr>
          <w:szCs w:val="24"/>
        </w:rPr>
        <w:t>s</w:t>
      </w:r>
      <w:r>
        <w:rPr>
          <w:szCs w:val="24"/>
        </w:rPr>
        <w:t>ection 4.1</w:t>
      </w:r>
      <w:r w:rsidRPr="00FE73DE">
        <w:rPr>
          <w:szCs w:val="24"/>
        </w:rPr>
        <w:t>.</w:t>
      </w:r>
      <w:r>
        <w:rPr>
          <w:szCs w:val="24"/>
        </w:rPr>
        <w:t xml:space="preserve"> </w:t>
      </w:r>
    </w:p>
  </w:footnote>
  <w:footnote w:id="66">
    <w:p w14:paraId="1D496BFA" w14:textId="176EE027" w:rsidR="00272B9C" w:rsidRDefault="00272B9C" w:rsidP="00DE0A18">
      <w:pPr>
        <w:pStyle w:val="FootnoteText"/>
        <w:rPr>
          <w:szCs w:val="18"/>
        </w:rPr>
      </w:pPr>
      <w:r>
        <w:rPr>
          <w:rStyle w:val="FootnoteReference"/>
        </w:rPr>
        <w:footnoteRef/>
      </w:r>
      <w:r>
        <w:t xml:space="preserve"> </w:t>
      </w:r>
      <w:r>
        <w:rPr>
          <w:szCs w:val="18"/>
        </w:rPr>
        <w:t>Indigenous Business Australia,</w:t>
      </w:r>
      <w:r>
        <w:rPr>
          <w:i/>
          <w:iCs/>
          <w:szCs w:val="18"/>
        </w:rPr>
        <w:t xml:space="preserve"> Annual Report 2020–2021</w:t>
      </w:r>
      <w:r>
        <w:rPr>
          <w:szCs w:val="18"/>
        </w:rPr>
        <w:t xml:space="preserve">, p. 6. </w:t>
      </w:r>
    </w:p>
  </w:footnote>
  <w:footnote w:id="67">
    <w:p w14:paraId="23E2082F" w14:textId="3324D6F8" w:rsidR="00A04A78" w:rsidRPr="00A04A78" w:rsidRDefault="00A04A78">
      <w:pPr>
        <w:pStyle w:val="FootnoteText"/>
        <w:rPr>
          <w:lang w:val="en-AU"/>
        </w:rPr>
      </w:pPr>
      <w:r>
        <w:rPr>
          <w:rStyle w:val="FootnoteReference"/>
        </w:rPr>
        <w:footnoteRef/>
      </w:r>
      <w:r>
        <w:t xml:space="preserve"> </w:t>
      </w:r>
      <w:r>
        <w:rPr>
          <w:lang w:val="en-AU"/>
        </w:rPr>
        <w:t xml:space="preserve">Indigenous Business Australia, </w:t>
      </w:r>
      <w:r>
        <w:rPr>
          <w:i/>
          <w:iCs/>
          <w:lang w:val="en-AU"/>
        </w:rPr>
        <w:t>Annual Report 2020-2021</w:t>
      </w:r>
      <w:r>
        <w:rPr>
          <w:lang w:val="en-AU"/>
        </w:rPr>
        <w:t>, pp. 27 and 30.</w:t>
      </w:r>
    </w:p>
  </w:footnote>
  <w:footnote w:id="68">
    <w:p w14:paraId="5E6595E3" w14:textId="40EE022E" w:rsidR="00CC6D21" w:rsidRPr="00F33154" w:rsidRDefault="00CC6D21">
      <w:pPr>
        <w:pStyle w:val="FootnoteText"/>
        <w:rPr>
          <w:lang w:val="en-AU"/>
        </w:rPr>
      </w:pPr>
      <w:r>
        <w:rPr>
          <w:rStyle w:val="FootnoteReference"/>
        </w:rPr>
        <w:footnoteRef/>
      </w:r>
      <w:r>
        <w:t xml:space="preserve"> </w:t>
      </w:r>
      <w:r>
        <w:rPr>
          <w:szCs w:val="24"/>
        </w:rPr>
        <w:t>It is important to recognise the e</w:t>
      </w:r>
      <w:r>
        <w:t xml:space="preserve">xtensive effort of IBA and NIAA staff in producing and reviewing these reports and reconciliations, and in improving the consistency in reporting. This is particularly in light of the absence of a </w:t>
      </w:r>
      <w:r w:rsidRPr="00FE73DE">
        <w:t>single source data warehouse</w:t>
      </w:r>
      <w:r>
        <w:t xml:space="preserve"> to underpin </w:t>
      </w:r>
      <w:r w:rsidRPr="00FE73DE">
        <w:t>reporting functions</w:t>
      </w:r>
      <w:r>
        <w:t>.</w:t>
      </w:r>
    </w:p>
  </w:footnote>
  <w:footnote w:id="69">
    <w:p w14:paraId="6BBE2769" w14:textId="77777777" w:rsidR="00BA474B" w:rsidRPr="000204BF" w:rsidRDefault="00BA474B" w:rsidP="00BA474B">
      <w:pPr>
        <w:pStyle w:val="FootnoteText"/>
        <w:rPr>
          <w:lang w:val="en-AU"/>
        </w:rPr>
      </w:pPr>
      <w:r>
        <w:rPr>
          <w:rStyle w:val="FootnoteReference"/>
        </w:rPr>
        <w:footnoteRef/>
      </w:r>
      <w:r>
        <w:t xml:space="preserve"> </w:t>
      </w:r>
      <w:r>
        <w:rPr>
          <w:lang w:val="en-AU"/>
        </w:rPr>
        <w:t xml:space="preserve">The annual appropriation covered the provision of business support services whereas the capital equity injection was used to fund the provision of financial products to eligible Indigenous-owned and managed businesses. </w:t>
      </w:r>
    </w:p>
  </w:footnote>
  <w:footnote w:id="70">
    <w:p w14:paraId="231E8B58" w14:textId="77777777" w:rsidR="00272B9C" w:rsidRPr="00464767" w:rsidRDefault="00272B9C" w:rsidP="00573860">
      <w:pPr>
        <w:pStyle w:val="FootnoteText"/>
        <w:rPr>
          <w:lang w:val="en-AU"/>
        </w:rPr>
      </w:pPr>
      <w:r>
        <w:rPr>
          <w:rStyle w:val="FootnoteReference"/>
        </w:rPr>
        <w:footnoteRef/>
      </w:r>
      <w:r>
        <w:t xml:space="preserve"> </w:t>
      </w:r>
      <w:r>
        <w:rPr>
          <w:lang w:val="en-AU"/>
        </w:rPr>
        <w:t>Source: Sustineo analysis of the IBSS, unless otherwise noted.</w:t>
      </w:r>
    </w:p>
  </w:footnote>
  <w:footnote w:id="71">
    <w:p w14:paraId="65D47FBD" w14:textId="66B0ADD9" w:rsidR="00272B9C" w:rsidRPr="00A907C9" w:rsidRDefault="00272B9C" w:rsidP="00573860">
      <w:pPr>
        <w:pStyle w:val="FootnoteText"/>
        <w:rPr>
          <w:lang w:val="en-AU"/>
        </w:rPr>
      </w:pPr>
      <w:r>
        <w:rPr>
          <w:rStyle w:val="FootnoteReference"/>
        </w:rPr>
        <w:footnoteRef/>
      </w:r>
      <w:r>
        <w:t xml:space="preserve"> </w:t>
      </w:r>
      <w:r>
        <w:rPr>
          <w:lang w:val="en-AU"/>
        </w:rPr>
        <w:t xml:space="preserve">The IEF was a 3-year grant program that ended on 30 June 2019. </w:t>
      </w:r>
      <w:r w:rsidRPr="00A907C9">
        <w:rPr>
          <w:lang w:val="en-AU"/>
        </w:rPr>
        <w:t xml:space="preserve">Funding under the IEF is no longer available. Potential applicants </w:t>
      </w:r>
      <w:r>
        <w:rPr>
          <w:lang w:val="en-AU"/>
        </w:rPr>
        <w:t xml:space="preserve">are advised that they should </w:t>
      </w:r>
      <w:r w:rsidRPr="00A907C9">
        <w:rPr>
          <w:lang w:val="en-AU"/>
        </w:rPr>
        <w:t>speak with their local NIAA office to discuss alternative optio</w:t>
      </w:r>
      <w:r>
        <w:rPr>
          <w:lang w:val="en-AU"/>
        </w:rPr>
        <w:t>ns under the Indigenous Advancement Strategy.</w:t>
      </w:r>
    </w:p>
  </w:footnote>
  <w:footnote w:id="72">
    <w:p w14:paraId="4CA9E86C" w14:textId="77777777" w:rsidR="00272B9C" w:rsidRPr="00464767" w:rsidRDefault="00272B9C" w:rsidP="00B00D48">
      <w:pPr>
        <w:pStyle w:val="FootnoteText"/>
        <w:rPr>
          <w:lang w:val="en-AU"/>
        </w:rPr>
      </w:pPr>
      <w:r>
        <w:rPr>
          <w:rStyle w:val="FootnoteReference"/>
        </w:rPr>
        <w:footnoteRef/>
      </w:r>
      <w:r>
        <w:t xml:space="preserve"> Australian Government (2018), ‘How the IBSS supports each business development stage’, available at </w:t>
      </w:r>
      <w:hyperlink r:id="rId9" w:history="1">
        <w:r w:rsidRPr="00DF1CAF">
          <w:rPr>
            <w:rStyle w:val="Hyperlink"/>
            <w:rFonts w:cstheme="minorBidi"/>
          </w:rPr>
          <w:t>https://www.niaa.gov.au/sites/default/files/publications/ibss_development_cycle.pdf</w:t>
        </w:r>
      </w:hyperlink>
      <w:r>
        <w:t xml:space="preserve"> </w:t>
      </w:r>
    </w:p>
  </w:footnote>
  <w:footnote w:id="73">
    <w:p w14:paraId="5078707E" w14:textId="5206E4AD" w:rsidR="002357D4" w:rsidRPr="00F33154" w:rsidRDefault="002357D4">
      <w:pPr>
        <w:pStyle w:val="FootnoteText"/>
        <w:rPr>
          <w:lang w:val="en-AU"/>
        </w:rPr>
      </w:pPr>
      <w:r>
        <w:rPr>
          <w:rStyle w:val="FootnoteReference"/>
        </w:rPr>
        <w:footnoteRef/>
      </w:r>
      <w:r>
        <w:t xml:space="preserve"> The numbering of questions has been updated as part of drafting this report for ease of reading.</w:t>
      </w:r>
      <w:r>
        <w:rPr>
          <w:lang w:val="en-AU"/>
        </w:rPr>
        <w:t xml:space="preserve"> </w:t>
      </w:r>
    </w:p>
  </w:footnote>
  <w:footnote w:id="74">
    <w:p w14:paraId="371FBCFE" w14:textId="77777777" w:rsidR="00272B9C" w:rsidRPr="007B6705" w:rsidRDefault="00272B9C" w:rsidP="003C699D">
      <w:pPr>
        <w:pStyle w:val="FootnoteText"/>
        <w:rPr>
          <w:lang w:val="en-GB"/>
        </w:rPr>
      </w:pPr>
      <w:r>
        <w:rPr>
          <w:rStyle w:val="FootnoteReference"/>
        </w:rPr>
        <w:footnoteRef/>
      </w:r>
      <w:r>
        <w:t xml:space="preserve"> </w:t>
      </w:r>
      <w:r>
        <w:rPr>
          <w:lang w:val="en-GB"/>
        </w:rPr>
        <w:t>There were 27 respondents for this question.</w:t>
      </w:r>
    </w:p>
  </w:footnote>
  <w:footnote w:id="75">
    <w:p w14:paraId="69BBFDC5" w14:textId="67F23420" w:rsidR="00272B9C" w:rsidRDefault="00272B9C" w:rsidP="00B756C2">
      <w:pPr>
        <w:pStyle w:val="FootnoteText"/>
      </w:pPr>
      <w:r>
        <w:rPr>
          <w:rStyle w:val="FootnoteReference"/>
        </w:rPr>
        <w:footnoteRef/>
      </w:r>
      <w:r>
        <w:t xml:space="preserve"> The review searched for similar programs in New Zealand but found no evidence of government-funded financial products specifically for Maori businesses. Instead, the New Zealand government provides a range of other business support services, such as advice and networking opportunities (see </w:t>
      </w:r>
      <w:hyperlink r:id="rId10" w:history="1">
        <w:r>
          <w:rPr>
            <w:rStyle w:val="Hyperlink"/>
          </w:rPr>
          <w:t>here</w:t>
        </w:r>
      </w:hyperlink>
      <w:r>
        <w:t>).</w:t>
      </w:r>
    </w:p>
  </w:footnote>
  <w:footnote w:id="76">
    <w:p w14:paraId="6C036D1E" w14:textId="77777777" w:rsidR="00272B9C" w:rsidRDefault="00272B9C" w:rsidP="00B756C2">
      <w:pPr>
        <w:pStyle w:val="FootnoteText"/>
      </w:pPr>
      <w:r>
        <w:rPr>
          <w:rStyle w:val="FootnoteReference"/>
        </w:rPr>
        <w:footnoteRef/>
      </w:r>
      <w:r>
        <w:t xml:space="preserve"> APEC Policy Support Unit (2020), p. 2.</w:t>
      </w:r>
    </w:p>
  </w:footnote>
  <w:footnote w:id="77">
    <w:p w14:paraId="5A7E1015" w14:textId="77777777" w:rsidR="00272B9C" w:rsidRDefault="00272B9C" w:rsidP="00B756C2">
      <w:pPr>
        <w:pStyle w:val="FootnoteText"/>
      </w:pPr>
      <w:r>
        <w:rPr>
          <w:rStyle w:val="FootnoteReference"/>
        </w:rPr>
        <w:footnoteRef/>
      </w:r>
      <w:r>
        <w:t xml:space="preserve"> Nickerson (2015), p. 1.</w:t>
      </w:r>
    </w:p>
  </w:footnote>
  <w:footnote w:id="78">
    <w:p w14:paraId="313BDCF5" w14:textId="77777777" w:rsidR="00272B9C" w:rsidRDefault="00272B9C" w:rsidP="00B756C2">
      <w:pPr>
        <w:pStyle w:val="FootnoteText"/>
      </w:pPr>
      <w:r>
        <w:rPr>
          <w:rStyle w:val="FootnoteReference"/>
        </w:rPr>
        <w:footnoteRef/>
      </w:r>
      <w:r>
        <w:t xml:space="preserve"> Nickerson (2015), p. 1.</w:t>
      </w:r>
    </w:p>
  </w:footnote>
  <w:footnote w:id="79">
    <w:p w14:paraId="609868FC" w14:textId="77777777" w:rsidR="00272B9C" w:rsidRDefault="00272B9C" w:rsidP="00B756C2">
      <w:pPr>
        <w:pStyle w:val="FootnoteText"/>
      </w:pPr>
      <w:r>
        <w:rPr>
          <w:rStyle w:val="FootnoteReference"/>
        </w:rPr>
        <w:footnoteRef/>
      </w:r>
      <w:r>
        <w:t xml:space="preserve"> </w:t>
      </w:r>
      <w:r w:rsidRPr="00CA6265">
        <w:t>National Aboriginal Capital Corporations Association</w:t>
      </w:r>
      <w:r>
        <w:t xml:space="preserve"> (2021a).</w:t>
      </w:r>
    </w:p>
  </w:footnote>
  <w:footnote w:id="80">
    <w:p w14:paraId="52007E69" w14:textId="77777777" w:rsidR="00272B9C" w:rsidRDefault="00272B9C" w:rsidP="00B756C2">
      <w:pPr>
        <w:pStyle w:val="FootnoteText"/>
      </w:pPr>
      <w:r>
        <w:rPr>
          <w:rStyle w:val="FootnoteReference"/>
        </w:rPr>
        <w:footnoteRef/>
      </w:r>
      <w:r>
        <w:t xml:space="preserve"> Collin and Rice (2019), p. 16.</w:t>
      </w:r>
    </w:p>
  </w:footnote>
  <w:footnote w:id="81">
    <w:p w14:paraId="77FE6D70" w14:textId="77777777" w:rsidR="00272B9C" w:rsidRDefault="00272B9C" w:rsidP="00B756C2">
      <w:pPr>
        <w:pStyle w:val="FootnoteText"/>
      </w:pPr>
      <w:r>
        <w:rPr>
          <w:rStyle w:val="FootnoteReference"/>
        </w:rPr>
        <w:footnoteRef/>
      </w:r>
      <w:r>
        <w:t xml:space="preserve"> Although these loans are higher risk average annual loan losses for AFIs in 2019-20 were 2.1%. </w:t>
      </w:r>
      <w:r w:rsidRPr="00CA6265">
        <w:t>National Aboriginal Capital Corporations Association</w:t>
      </w:r>
      <w:r>
        <w:t xml:space="preserve"> (2021a).</w:t>
      </w:r>
    </w:p>
  </w:footnote>
  <w:footnote w:id="82">
    <w:p w14:paraId="76B96615" w14:textId="77777777" w:rsidR="00272B9C" w:rsidRDefault="00272B9C" w:rsidP="00B756C2">
      <w:pPr>
        <w:pStyle w:val="FootnoteText"/>
      </w:pPr>
      <w:r>
        <w:rPr>
          <w:rStyle w:val="FootnoteReference"/>
        </w:rPr>
        <w:footnoteRef/>
      </w:r>
      <w:r>
        <w:t xml:space="preserve"> </w:t>
      </w:r>
      <w:r w:rsidRPr="00CA6265">
        <w:t>National Aboriginal Capital Corporations Association</w:t>
      </w:r>
      <w:r>
        <w:t xml:space="preserve"> (2021b).</w:t>
      </w:r>
    </w:p>
  </w:footnote>
  <w:footnote w:id="83">
    <w:p w14:paraId="418E3255" w14:textId="77777777" w:rsidR="00272B9C" w:rsidRDefault="00272B9C" w:rsidP="00B756C2">
      <w:pPr>
        <w:pStyle w:val="FootnoteText"/>
      </w:pPr>
      <w:r>
        <w:rPr>
          <w:rStyle w:val="FootnoteReference"/>
        </w:rPr>
        <w:footnoteRef/>
      </w:r>
      <w:r>
        <w:t xml:space="preserve"> Raderschall, Krawchenko and Leblanc (2020), p. 31.</w:t>
      </w:r>
    </w:p>
  </w:footnote>
  <w:footnote w:id="84">
    <w:p w14:paraId="072DC6B7" w14:textId="77777777" w:rsidR="00272B9C" w:rsidRDefault="00272B9C" w:rsidP="00B756C2">
      <w:pPr>
        <w:pStyle w:val="FootnoteText"/>
      </w:pPr>
      <w:r>
        <w:rPr>
          <w:rStyle w:val="FootnoteReference"/>
        </w:rPr>
        <w:footnoteRef/>
      </w:r>
      <w:r>
        <w:t xml:space="preserve"> Business Development Bank of Canada (2021).</w:t>
      </w:r>
    </w:p>
  </w:footnote>
  <w:footnote w:id="85">
    <w:p w14:paraId="022D1A2C" w14:textId="77777777" w:rsidR="00272B9C" w:rsidRDefault="00272B9C" w:rsidP="00B756C2">
      <w:pPr>
        <w:pStyle w:val="FootnoteText"/>
      </w:pPr>
      <w:r>
        <w:rPr>
          <w:rStyle w:val="FootnoteReference"/>
        </w:rPr>
        <w:footnoteRef/>
      </w:r>
      <w:r>
        <w:t xml:space="preserve"> </w:t>
      </w:r>
      <w:r w:rsidRPr="00CA6265">
        <w:t>National Aboriginal Capital Corporations Association</w:t>
      </w:r>
      <w:r>
        <w:t xml:space="preserve"> (2021c).</w:t>
      </w:r>
    </w:p>
  </w:footnote>
  <w:footnote w:id="86">
    <w:p w14:paraId="1751CC99" w14:textId="77777777" w:rsidR="00272B9C" w:rsidRDefault="00272B9C" w:rsidP="00B756C2">
      <w:pPr>
        <w:pStyle w:val="FootnoteText"/>
      </w:pPr>
      <w:r>
        <w:rPr>
          <w:rStyle w:val="FootnoteReference"/>
        </w:rPr>
        <w:footnoteRef/>
      </w:r>
      <w:r>
        <w:t xml:space="preserve"> Government of Canada (2021).</w:t>
      </w:r>
    </w:p>
  </w:footnote>
  <w:footnote w:id="87">
    <w:p w14:paraId="3822CF6B" w14:textId="77777777" w:rsidR="00272B9C" w:rsidRDefault="00272B9C" w:rsidP="00B756C2">
      <w:pPr>
        <w:pStyle w:val="FootnoteText"/>
      </w:pPr>
      <w:r>
        <w:rPr>
          <w:rStyle w:val="FootnoteReference"/>
        </w:rPr>
        <w:footnoteRef/>
      </w:r>
      <w:r>
        <w:t xml:space="preserve"> </w:t>
      </w:r>
      <w:r w:rsidRPr="004148A7">
        <w:rPr>
          <w:rStyle w:val="Hyperlink"/>
        </w:rPr>
        <w:t>United State Census Bureau</w:t>
      </w:r>
      <w:r>
        <w:rPr>
          <w:rStyle w:val="Hyperlink"/>
        </w:rPr>
        <w:t xml:space="preserve"> (2021).</w:t>
      </w:r>
    </w:p>
  </w:footnote>
  <w:footnote w:id="88">
    <w:p w14:paraId="2A7C1171" w14:textId="77777777" w:rsidR="00272B9C" w:rsidRDefault="00272B9C" w:rsidP="00B756C2">
      <w:pPr>
        <w:pStyle w:val="FootnoteText"/>
      </w:pPr>
      <w:r>
        <w:rPr>
          <w:rStyle w:val="FootnoteReference"/>
        </w:rPr>
        <w:footnoteRef/>
      </w:r>
      <w:r>
        <w:t xml:space="preserve"> Gregory Guedel and Colbert (2016), pp. 9-20.</w:t>
      </w:r>
    </w:p>
  </w:footnote>
  <w:footnote w:id="89">
    <w:p w14:paraId="74B5E028" w14:textId="77777777" w:rsidR="00272B9C" w:rsidRDefault="00272B9C" w:rsidP="00B756C2">
      <w:pPr>
        <w:pStyle w:val="FootnoteText"/>
      </w:pPr>
      <w:r>
        <w:rPr>
          <w:rStyle w:val="FootnoteReference"/>
        </w:rPr>
        <w:footnoteRef/>
      </w:r>
      <w:r>
        <w:t xml:space="preserve"> Native Nations Institute (2016), p. 13.</w:t>
      </w:r>
    </w:p>
  </w:footnote>
  <w:footnote w:id="90">
    <w:p w14:paraId="00656302" w14:textId="77777777" w:rsidR="00272B9C" w:rsidRDefault="00272B9C" w:rsidP="00B756C2">
      <w:pPr>
        <w:pStyle w:val="FootnoteText"/>
      </w:pPr>
      <w:r>
        <w:rPr>
          <w:rStyle w:val="FootnoteReference"/>
        </w:rPr>
        <w:footnoteRef/>
      </w:r>
      <w:r>
        <w:t xml:space="preserve"> For a Native CDFI to be certified, a</w:t>
      </w:r>
      <w:r w:rsidRPr="00B64118">
        <w:t xml:space="preserve">t least half of </w:t>
      </w:r>
      <w:r>
        <w:t>its</w:t>
      </w:r>
      <w:r w:rsidRPr="00B64118">
        <w:t xml:space="preserve"> activities </w:t>
      </w:r>
      <w:r>
        <w:t>must be</w:t>
      </w:r>
      <w:r w:rsidRPr="00B64118">
        <w:t xml:space="preserve"> directed toward serving Native Americans, Alaska Natives, </w:t>
      </w:r>
      <w:r>
        <w:t>or</w:t>
      </w:r>
      <w:r w:rsidRPr="00B64118">
        <w:t xml:space="preserve"> Native Hawaiians</w:t>
      </w:r>
      <w:r>
        <w:t>.</w:t>
      </w:r>
    </w:p>
  </w:footnote>
  <w:footnote w:id="91">
    <w:p w14:paraId="4C93FC99" w14:textId="77777777" w:rsidR="00272B9C" w:rsidRDefault="00272B9C" w:rsidP="00B756C2">
      <w:pPr>
        <w:pStyle w:val="FootnoteText"/>
      </w:pPr>
      <w:r>
        <w:rPr>
          <w:rStyle w:val="FootnoteReference"/>
        </w:rPr>
        <w:footnoteRef/>
      </w:r>
      <w:r>
        <w:t xml:space="preserve"> Native CDFI Network (2021).</w:t>
      </w:r>
    </w:p>
  </w:footnote>
  <w:footnote w:id="92">
    <w:p w14:paraId="644E4E40" w14:textId="77777777" w:rsidR="00272B9C" w:rsidRDefault="00272B9C" w:rsidP="00B756C2">
      <w:pPr>
        <w:pStyle w:val="FootnoteText"/>
      </w:pPr>
      <w:r>
        <w:rPr>
          <w:rStyle w:val="FootnoteReference"/>
        </w:rPr>
        <w:footnoteRef/>
      </w:r>
      <w:r>
        <w:t xml:space="preserve"> Native Nations Institute (2016), p. 13. </w:t>
      </w:r>
    </w:p>
  </w:footnote>
  <w:footnote w:id="93">
    <w:p w14:paraId="2B1CDF38" w14:textId="77777777" w:rsidR="00272B9C" w:rsidRDefault="00272B9C" w:rsidP="00B756C2">
      <w:pPr>
        <w:pStyle w:val="FootnoteText"/>
      </w:pPr>
      <w:r>
        <w:rPr>
          <w:rStyle w:val="FootnoteReference"/>
        </w:rPr>
        <w:footnoteRef/>
      </w:r>
      <w:r>
        <w:t xml:space="preserve"> Native Nations Institute (2016), p. 13. </w:t>
      </w:r>
    </w:p>
  </w:footnote>
  <w:footnote w:id="94">
    <w:p w14:paraId="0DAC2563" w14:textId="77777777" w:rsidR="00272B9C" w:rsidRDefault="00272B9C" w:rsidP="00B756C2">
      <w:pPr>
        <w:pStyle w:val="FootnoteText"/>
      </w:pPr>
      <w:r>
        <w:rPr>
          <w:rStyle w:val="FootnoteReference"/>
        </w:rPr>
        <w:footnoteRef/>
      </w:r>
      <w:r>
        <w:t xml:space="preserve"> Native CDFIs also receive funding through other federal government including the Bank Enterprise Awards, Core component, Small and Emerging CDFI Assistance, and New Market Tax Credit programs. </w:t>
      </w:r>
      <w:r w:rsidRPr="00B64118">
        <w:t xml:space="preserve">Dewees and Sarkozy-Banoczy </w:t>
      </w:r>
      <w:r>
        <w:t>(</w:t>
      </w:r>
      <w:r w:rsidRPr="00B64118">
        <w:t>2008</w:t>
      </w:r>
      <w:r>
        <w:t>), p. 33.</w:t>
      </w:r>
    </w:p>
  </w:footnote>
  <w:footnote w:id="95">
    <w:p w14:paraId="202309BA" w14:textId="77777777" w:rsidR="00272B9C" w:rsidRDefault="00272B9C" w:rsidP="00B756C2">
      <w:pPr>
        <w:pStyle w:val="FootnoteText"/>
      </w:pPr>
      <w:r>
        <w:rPr>
          <w:rStyle w:val="FootnoteReference"/>
        </w:rPr>
        <w:footnoteRef/>
      </w:r>
      <w:r>
        <w:t xml:space="preserve"> There are also a range of state government programs, but these are beyond the scope of this review.</w:t>
      </w:r>
    </w:p>
  </w:footnote>
  <w:footnote w:id="96">
    <w:p w14:paraId="7B38F856" w14:textId="77777777" w:rsidR="00272B9C" w:rsidRDefault="00272B9C" w:rsidP="00B756C2">
      <w:pPr>
        <w:pStyle w:val="FootnoteText"/>
      </w:pPr>
      <w:r>
        <w:rPr>
          <w:rStyle w:val="FootnoteReference"/>
        </w:rPr>
        <w:footnoteRef/>
      </w:r>
      <w:r>
        <w:t xml:space="preserve"> The business must have at least 51% Native American ownership, make a 20% down payment, and provide a product or service that benefits the economy of its tribal area or reservation.</w:t>
      </w:r>
    </w:p>
  </w:footnote>
  <w:footnote w:id="97">
    <w:p w14:paraId="539BFE4A" w14:textId="77777777" w:rsidR="00272B9C" w:rsidRDefault="00272B9C" w:rsidP="00B756C2">
      <w:pPr>
        <w:pStyle w:val="FootnoteText"/>
      </w:pPr>
      <w:r>
        <w:rPr>
          <w:rStyle w:val="FootnoteReference"/>
        </w:rPr>
        <w:footnoteRef/>
      </w:r>
      <w:r>
        <w:t xml:space="preserve"> US Department of the Interior: Indian Affairs (2021b).</w:t>
      </w:r>
    </w:p>
  </w:footnote>
  <w:footnote w:id="98">
    <w:p w14:paraId="22775140" w14:textId="77777777" w:rsidR="00272B9C" w:rsidRDefault="00272B9C" w:rsidP="00B756C2">
      <w:pPr>
        <w:pStyle w:val="FootnoteText"/>
      </w:pPr>
      <w:r>
        <w:rPr>
          <w:rStyle w:val="FootnoteReference"/>
        </w:rPr>
        <w:footnoteRef/>
      </w:r>
      <w:r>
        <w:t xml:space="preserve"> </w:t>
      </w:r>
      <w:r w:rsidRPr="00043F94">
        <w:t>Committee on Indian Affairs, United States Senate</w:t>
      </w:r>
      <w:r>
        <w:t xml:space="preserve"> (2019), p. 13.</w:t>
      </w:r>
    </w:p>
  </w:footnote>
  <w:footnote w:id="99">
    <w:p w14:paraId="5674BB19" w14:textId="77777777" w:rsidR="00272B9C" w:rsidRDefault="00272B9C" w:rsidP="00B756C2">
      <w:pPr>
        <w:pStyle w:val="FootnoteText"/>
      </w:pPr>
      <w:r>
        <w:rPr>
          <w:rStyle w:val="FootnoteReference"/>
        </w:rPr>
        <w:footnoteRef/>
      </w:r>
      <w:r>
        <w:t xml:space="preserve"> Loans Program Office (2021).</w:t>
      </w:r>
    </w:p>
  </w:footnote>
  <w:footnote w:id="100">
    <w:p w14:paraId="573A866C" w14:textId="77777777" w:rsidR="00272B9C" w:rsidRDefault="00272B9C" w:rsidP="00B756C2">
      <w:pPr>
        <w:pStyle w:val="FootnoteText"/>
      </w:pPr>
      <w:r>
        <w:rPr>
          <w:rStyle w:val="FootnoteReference"/>
        </w:rPr>
        <w:footnoteRef/>
      </w:r>
      <w:r>
        <w:t xml:space="preserve"> US Department of the Interior: Indian Affairs (2021a).</w:t>
      </w:r>
    </w:p>
  </w:footnote>
  <w:footnote w:id="101">
    <w:p w14:paraId="7B43BCFD" w14:textId="77777777" w:rsidR="00272B9C" w:rsidRDefault="00272B9C" w:rsidP="00B756C2">
      <w:pPr>
        <w:pStyle w:val="FootnoteText"/>
      </w:pPr>
      <w:r>
        <w:rPr>
          <w:rStyle w:val="FootnoteReference"/>
        </w:rPr>
        <w:footnoteRef/>
      </w:r>
      <w:r>
        <w:t xml:space="preserve"> Prakash, Priyanka (2020).</w:t>
      </w:r>
    </w:p>
  </w:footnote>
  <w:footnote w:id="102">
    <w:p w14:paraId="70B63B5B" w14:textId="68BBD730" w:rsidR="00272B9C" w:rsidRDefault="00272B9C" w:rsidP="00B756C2">
      <w:pPr>
        <w:pStyle w:val="FootnoteText"/>
      </w:pPr>
      <w:r>
        <w:rPr>
          <w:rStyle w:val="FootnoteReference"/>
        </w:rPr>
        <w:footnoteRef/>
      </w:r>
      <w:r>
        <w:t xml:space="preserve"> US Small Busine</w:t>
      </w:r>
      <w:r w:rsidR="00295C5C">
        <w:t>s</w:t>
      </w:r>
      <w:r>
        <w:t>s Administration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B436" w14:textId="77777777" w:rsidR="00272B9C" w:rsidRDefault="00272B9C" w:rsidP="00FB7F47">
    <w:pPr>
      <w:pStyle w:val="Header"/>
      <w:jc w:val="both"/>
    </w:pPr>
    <w:r>
      <w:rPr>
        <w:noProof/>
        <w:lang w:eastAsia="en-AU"/>
      </w:rPr>
      <w:drawing>
        <wp:anchor distT="0" distB="0" distL="114300" distR="114300" simplePos="0" relativeHeight="251658240" behindDoc="0" locked="1" layoutInCell="1" allowOverlap="1" wp14:anchorId="2B376A1C" wp14:editId="07EE736A">
          <wp:simplePos x="0" y="0"/>
          <wp:positionH relativeFrom="margin">
            <wp:align>right</wp:align>
          </wp:positionH>
          <wp:positionV relativeFrom="page">
            <wp:posOffset>360045</wp:posOffset>
          </wp:positionV>
          <wp:extent cx="1483200" cy="3960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1483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D8ED" w14:textId="77777777" w:rsidR="00272B9C" w:rsidRDefault="00272B9C" w:rsidP="00FB7F47">
    <w:pPr>
      <w:pStyle w:val="Header"/>
      <w:jc w:val="both"/>
    </w:pPr>
    <w:r>
      <w:rPr>
        <w:noProof/>
        <w:lang w:eastAsia="en-AU"/>
      </w:rPr>
      <w:drawing>
        <wp:anchor distT="0" distB="0" distL="114300" distR="114300" simplePos="0" relativeHeight="251658241" behindDoc="0" locked="1" layoutInCell="1" allowOverlap="1" wp14:anchorId="6D94A29C" wp14:editId="7A2F2272">
          <wp:simplePos x="0" y="0"/>
          <wp:positionH relativeFrom="margin">
            <wp:align>right</wp:align>
          </wp:positionH>
          <wp:positionV relativeFrom="page">
            <wp:posOffset>360045</wp:posOffset>
          </wp:positionV>
          <wp:extent cx="1483200" cy="396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1483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DF83456"/>
    <w:lvl w:ilvl="0">
      <w:start w:val="1"/>
      <w:numFmt w:val="bullet"/>
      <w:lvlText w:val=""/>
      <w:lvlJc w:val="left"/>
      <w:pPr>
        <w:tabs>
          <w:tab w:val="num" w:pos="2618"/>
        </w:tabs>
        <w:ind w:left="2618" w:firstLine="0"/>
      </w:pPr>
      <w:rPr>
        <w:rFonts w:ascii="Symbol" w:hAnsi="Symbol" w:hint="default"/>
      </w:rPr>
    </w:lvl>
    <w:lvl w:ilvl="1">
      <w:start w:val="1"/>
      <w:numFmt w:val="bullet"/>
      <w:pStyle w:val="NoteLevel21"/>
      <w:lvlText w:val=""/>
      <w:lvlJc w:val="left"/>
      <w:pPr>
        <w:tabs>
          <w:tab w:val="num" w:pos="3338"/>
        </w:tabs>
        <w:ind w:left="3698" w:hanging="360"/>
      </w:pPr>
      <w:rPr>
        <w:rFonts w:ascii="Symbol" w:hAnsi="Symbol" w:hint="default"/>
      </w:rPr>
    </w:lvl>
    <w:lvl w:ilvl="2">
      <w:start w:val="1"/>
      <w:numFmt w:val="bullet"/>
      <w:lvlText w:val="o"/>
      <w:lvlJc w:val="left"/>
      <w:pPr>
        <w:tabs>
          <w:tab w:val="num" w:pos="4058"/>
        </w:tabs>
        <w:ind w:left="4418" w:hanging="360"/>
      </w:pPr>
      <w:rPr>
        <w:rFonts w:ascii="Courier New" w:hAnsi="Courier New" w:hint="default"/>
      </w:rPr>
    </w:lvl>
    <w:lvl w:ilvl="3">
      <w:start w:val="1"/>
      <w:numFmt w:val="bullet"/>
      <w:pStyle w:val="NoteLevel41"/>
      <w:lvlText w:val=""/>
      <w:lvlJc w:val="left"/>
      <w:pPr>
        <w:tabs>
          <w:tab w:val="num" w:pos="4778"/>
        </w:tabs>
        <w:ind w:left="5138" w:hanging="360"/>
      </w:pPr>
      <w:rPr>
        <w:rFonts w:ascii="Wingdings" w:hAnsi="Wingdings" w:hint="default"/>
      </w:rPr>
    </w:lvl>
    <w:lvl w:ilvl="4">
      <w:start w:val="1"/>
      <w:numFmt w:val="bullet"/>
      <w:lvlText w:val=""/>
      <w:lvlJc w:val="left"/>
      <w:pPr>
        <w:tabs>
          <w:tab w:val="num" w:pos="5498"/>
        </w:tabs>
        <w:ind w:left="5858" w:hanging="360"/>
      </w:pPr>
      <w:rPr>
        <w:rFonts w:ascii="Wingdings" w:hAnsi="Wingdings" w:hint="default"/>
      </w:rPr>
    </w:lvl>
    <w:lvl w:ilvl="5">
      <w:start w:val="1"/>
      <w:numFmt w:val="bullet"/>
      <w:lvlText w:val=""/>
      <w:lvlJc w:val="left"/>
      <w:pPr>
        <w:tabs>
          <w:tab w:val="num" w:pos="6218"/>
        </w:tabs>
        <w:ind w:left="6578" w:hanging="360"/>
      </w:pPr>
      <w:rPr>
        <w:rFonts w:ascii="Symbol" w:hAnsi="Symbol" w:hint="default"/>
      </w:rPr>
    </w:lvl>
    <w:lvl w:ilvl="6">
      <w:start w:val="1"/>
      <w:numFmt w:val="bullet"/>
      <w:lvlText w:val="o"/>
      <w:lvlJc w:val="left"/>
      <w:pPr>
        <w:tabs>
          <w:tab w:val="num" w:pos="6938"/>
        </w:tabs>
        <w:ind w:left="7298" w:hanging="360"/>
      </w:pPr>
      <w:rPr>
        <w:rFonts w:ascii="Courier New" w:hAnsi="Courier New" w:hint="default"/>
      </w:rPr>
    </w:lvl>
    <w:lvl w:ilvl="7">
      <w:start w:val="1"/>
      <w:numFmt w:val="bullet"/>
      <w:lvlText w:val=""/>
      <w:lvlJc w:val="left"/>
      <w:pPr>
        <w:tabs>
          <w:tab w:val="num" w:pos="7658"/>
        </w:tabs>
        <w:ind w:left="8018" w:hanging="360"/>
      </w:pPr>
      <w:rPr>
        <w:rFonts w:ascii="Wingdings" w:hAnsi="Wingdings" w:hint="default"/>
      </w:rPr>
    </w:lvl>
    <w:lvl w:ilvl="8">
      <w:start w:val="1"/>
      <w:numFmt w:val="bullet"/>
      <w:lvlText w:val=""/>
      <w:lvlJc w:val="left"/>
      <w:pPr>
        <w:tabs>
          <w:tab w:val="num" w:pos="8378"/>
        </w:tabs>
        <w:ind w:left="8738" w:hanging="360"/>
      </w:pPr>
      <w:rPr>
        <w:rFonts w:ascii="Wingdings" w:hAnsi="Wingdings" w:hint="default"/>
      </w:rPr>
    </w:lvl>
  </w:abstractNum>
  <w:abstractNum w:abstractNumId="1" w15:restartNumberingAfterBreak="0">
    <w:nsid w:val="FFFFFF7C"/>
    <w:multiLevelType w:val="singleLevel"/>
    <w:tmpl w:val="33B04640"/>
    <w:lvl w:ilvl="0">
      <w:start w:val="1"/>
      <w:numFmt w:val="decimal"/>
      <w:pStyle w:val="ListNumber5"/>
      <w:lvlText w:val="%1."/>
      <w:lvlJc w:val="left"/>
      <w:pPr>
        <w:ind w:left="1492" w:hanging="360"/>
      </w:pPr>
      <w:rPr>
        <w:rFonts w:hint="default"/>
        <w:caps w:val="0"/>
        <w:strike w:val="0"/>
        <w:dstrike w:val="0"/>
        <w:vanish w:val="0"/>
        <w:color w:val="CDB211" w:themeColor="background2" w:themeShade="80"/>
        <w:vertAlign w:val="baseline"/>
      </w:rPr>
    </w:lvl>
  </w:abstractNum>
  <w:abstractNum w:abstractNumId="2" w15:restartNumberingAfterBreak="0">
    <w:nsid w:val="FFFFFF7E"/>
    <w:multiLevelType w:val="singleLevel"/>
    <w:tmpl w:val="C2E43E9C"/>
    <w:lvl w:ilvl="0">
      <w:start w:val="1"/>
      <w:numFmt w:val="decimal"/>
      <w:pStyle w:val="ListNumber3"/>
      <w:lvlText w:val="%1."/>
      <w:lvlJc w:val="left"/>
      <w:pPr>
        <w:ind w:left="926" w:hanging="360"/>
      </w:pPr>
      <w:rPr>
        <w:rFonts w:hint="default"/>
        <w:caps w:val="0"/>
        <w:strike w:val="0"/>
        <w:dstrike w:val="0"/>
        <w:vanish w:val="0"/>
        <w:color w:val="CDB211" w:themeColor="background2" w:themeShade="80"/>
        <w:vertAlign w:val="baseline"/>
      </w:rPr>
    </w:lvl>
  </w:abstractNum>
  <w:abstractNum w:abstractNumId="3" w15:restartNumberingAfterBreak="0">
    <w:nsid w:val="FFFFFF7F"/>
    <w:multiLevelType w:val="singleLevel"/>
    <w:tmpl w:val="1910CAA4"/>
    <w:lvl w:ilvl="0">
      <w:start w:val="1"/>
      <w:numFmt w:val="decimal"/>
      <w:pStyle w:val="ListNumber2"/>
      <w:lvlText w:val="%1."/>
      <w:lvlJc w:val="left"/>
      <w:pPr>
        <w:ind w:left="720" w:hanging="360"/>
      </w:pPr>
      <w:rPr>
        <w:rFonts w:hint="default"/>
        <w:caps w:val="0"/>
        <w:strike w:val="0"/>
        <w:dstrike w:val="0"/>
        <w:vanish w:val="0"/>
        <w:color w:val="CDB211" w:themeColor="background2" w:themeShade="80"/>
        <w:vertAlign w:val="baseline"/>
      </w:rPr>
    </w:lvl>
  </w:abstractNum>
  <w:abstractNum w:abstractNumId="4" w15:restartNumberingAfterBreak="0">
    <w:nsid w:val="FFFFFF80"/>
    <w:multiLevelType w:val="singleLevel"/>
    <w:tmpl w:val="56740C82"/>
    <w:lvl w:ilvl="0">
      <w:start w:val="1"/>
      <w:numFmt w:val="bullet"/>
      <w:pStyle w:val="ListBullet5"/>
      <w:lvlText w:val=""/>
      <w:lvlJc w:val="left"/>
      <w:pPr>
        <w:ind w:left="1492" w:hanging="360"/>
      </w:pPr>
      <w:rPr>
        <w:rFonts w:ascii="Symbol" w:hAnsi="Symbol" w:hint="default"/>
        <w:b/>
        <w:i w:val="0"/>
        <w:color w:val="7F7F7F" w:themeColor="text1" w:themeTint="80"/>
        <w:sz w:val="20"/>
      </w:rPr>
    </w:lvl>
  </w:abstractNum>
  <w:abstractNum w:abstractNumId="5" w15:restartNumberingAfterBreak="0">
    <w:nsid w:val="FFFFFF81"/>
    <w:multiLevelType w:val="singleLevel"/>
    <w:tmpl w:val="56BA9A98"/>
    <w:lvl w:ilvl="0">
      <w:start w:val="1"/>
      <w:numFmt w:val="bullet"/>
      <w:pStyle w:val="ListBullet4"/>
      <w:lvlText w:val=""/>
      <w:lvlJc w:val="left"/>
      <w:pPr>
        <w:ind w:left="1209" w:hanging="360"/>
      </w:pPr>
      <w:rPr>
        <w:rFonts w:ascii="Symbol" w:hAnsi="Symbol" w:hint="default"/>
        <w:b/>
        <w:i w:val="0"/>
        <w:color w:val="7F7F7F" w:themeColor="text1" w:themeTint="80"/>
        <w:sz w:val="20"/>
      </w:rPr>
    </w:lvl>
  </w:abstractNum>
  <w:abstractNum w:abstractNumId="6" w15:restartNumberingAfterBreak="0">
    <w:nsid w:val="FFFFFF82"/>
    <w:multiLevelType w:val="singleLevel"/>
    <w:tmpl w:val="9EEAFD76"/>
    <w:lvl w:ilvl="0">
      <w:start w:val="1"/>
      <w:numFmt w:val="bullet"/>
      <w:pStyle w:val="ListBullet3"/>
      <w:lvlText w:val=""/>
      <w:lvlJc w:val="left"/>
      <w:pPr>
        <w:ind w:left="926" w:hanging="360"/>
      </w:pPr>
      <w:rPr>
        <w:rFonts w:ascii="Symbol" w:hAnsi="Symbol" w:hint="default"/>
        <w:b/>
        <w:i w:val="0"/>
        <w:color w:val="7F7F7F" w:themeColor="text1" w:themeTint="80"/>
        <w:sz w:val="20"/>
      </w:rPr>
    </w:lvl>
  </w:abstractNum>
  <w:abstractNum w:abstractNumId="7" w15:restartNumberingAfterBreak="0">
    <w:nsid w:val="FFFFFF83"/>
    <w:multiLevelType w:val="singleLevel"/>
    <w:tmpl w:val="4EFEB7D2"/>
    <w:lvl w:ilvl="0">
      <w:start w:val="1"/>
      <w:numFmt w:val="bullet"/>
      <w:pStyle w:val="ListBullet2"/>
      <w:lvlText w:val=""/>
      <w:lvlJc w:val="left"/>
      <w:pPr>
        <w:ind w:left="643" w:hanging="360"/>
      </w:pPr>
      <w:rPr>
        <w:rFonts w:ascii="Symbol" w:hAnsi="Symbol" w:hint="default"/>
        <w:b/>
        <w:i w:val="0"/>
        <w:color w:val="7F7F7F" w:themeColor="text1" w:themeTint="80"/>
        <w:sz w:val="20"/>
      </w:rPr>
    </w:lvl>
  </w:abstractNum>
  <w:abstractNum w:abstractNumId="8" w15:restartNumberingAfterBreak="0">
    <w:nsid w:val="0EE06C63"/>
    <w:multiLevelType w:val="hybridMultilevel"/>
    <w:tmpl w:val="045481C2"/>
    <w:lvl w:ilvl="0" w:tplc="C4A69FE8">
      <w:start w:val="3"/>
      <w:numFmt w:val="bullet"/>
      <w:lvlText w:val="-"/>
      <w:lvlJc w:val="left"/>
      <w:pPr>
        <w:ind w:left="927" w:hanging="360"/>
      </w:pPr>
      <w:rPr>
        <w:rFonts w:ascii="Franklin Gothic Book" w:eastAsia="Calibri" w:hAnsi="Franklin Gothic Book"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12DC276C"/>
    <w:multiLevelType w:val="hybridMultilevel"/>
    <w:tmpl w:val="A7EA3900"/>
    <w:lvl w:ilvl="0" w:tplc="0C090003">
      <w:start w:val="1"/>
      <w:numFmt w:val="bullet"/>
      <w:lvlText w:val="o"/>
      <w:lvlJc w:val="left"/>
      <w:pPr>
        <w:ind w:left="1211" w:hanging="360"/>
      </w:pPr>
      <w:rPr>
        <w:rFonts w:ascii="Courier New" w:hAnsi="Courier New" w:cs="Courier New" w:hint="default"/>
        <w:color w:val="41766F" w:themeColor="accent3"/>
        <w:sz w:val="20"/>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162E1E73"/>
    <w:multiLevelType w:val="hybridMultilevel"/>
    <w:tmpl w:val="C45C9784"/>
    <w:lvl w:ilvl="0" w:tplc="C4A69FE8">
      <w:start w:val="3"/>
      <w:numFmt w:val="bullet"/>
      <w:lvlText w:val="-"/>
      <w:lvlJc w:val="left"/>
      <w:pPr>
        <w:ind w:left="360" w:hanging="360"/>
      </w:pPr>
      <w:rPr>
        <w:rFonts w:ascii="Franklin Gothic Book" w:eastAsia="Calibri"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170A25"/>
    <w:multiLevelType w:val="multilevel"/>
    <w:tmpl w:val="B0808B2C"/>
    <w:lvl w:ilvl="0">
      <w:start w:val="1"/>
      <w:numFmt w:val="upperLetter"/>
      <w:pStyle w:val="Appendix"/>
      <w:lvlText w:val="Appendix %1:"/>
      <w:lvlJc w:val="left"/>
      <w:pPr>
        <w:tabs>
          <w:tab w:val="num" w:pos="2098"/>
        </w:tabs>
        <w:ind w:left="2098" w:hanging="2098"/>
      </w:pPr>
      <w:rPr>
        <w:rFonts w:hint="default"/>
        <w:caps/>
        <w:vanish w:val="0"/>
      </w:rPr>
    </w:lvl>
    <w:lvl w:ilvl="1">
      <w:start w:val="1"/>
      <w:numFmt w:val="decimal"/>
      <w:lvlText w:val="%2."/>
      <w:lvlJc w:val="left"/>
      <w:pPr>
        <w:tabs>
          <w:tab w:val="num" w:pos="454"/>
        </w:tabs>
        <w:ind w:left="454" w:hanging="454"/>
      </w:pPr>
      <w:rPr>
        <w:rFonts w:hint="default"/>
        <w:b/>
        <w:i w:val="0"/>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Text w:val="Appendix %6:"/>
      <w:lvlJc w:val="left"/>
      <w:pPr>
        <w:tabs>
          <w:tab w:val="num" w:pos="2666"/>
        </w:tabs>
        <w:ind w:left="1135" w:firstLine="0"/>
      </w:pPr>
      <w:rPr>
        <w:rFonts w:hint="default"/>
        <w:caps w:val="0"/>
        <w:sz w:val="28"/>
      </w:rPr>
    </w:lvl>
    <w:lvl w:ilvl="6">
      <w:start w:val="1"/>
      <w:numFmt w:val="decimal"/>
      <w:lvlText w:val="%6.%7"/>
      <w:lvlJc w:val="left"/>
      <w:pPr>
        <w:tabs>
          <w:tab w:val="num" w:pos="567"/>
        </w:tabs>
        <w:ind w:left="567" w:hanging="56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32767" w:firstLine="32767"/>
      </w:pPr>
      <w:rPr>
        <w:rFonts w:hint="default"/>
      </w:rPr>
    </w:lvl>
  </w:abstractNum>
  <w:abstractNum w:abstractNumId="12" w15:restartNumberingAfterBreak="0">
    <w:nsid w:val="1AF42B41"/>
    <w:multiLevelType w:val="multilevel"/>
    <w:tmpl w:val="542203E6"/>
    <w:numStyleLink w:val="Style1"/>
  </w:abstractNum>
  <w:abstractNum w:abstractNumId="13" w15:restartNumberingAfterBreak="0">
    <w:nsid w:val="1E6E294C"/>
    <w:multiLevelType w:val="singleLevel"/>
    <w:tmpl w:val="F2762D78"/>
    <w:lvl w:ilvl="0">
      <w:start w:val="1"/>
      <w:numFmt w:val="bullet"/>
      <w:pStyle w:val="Bullet2"/>
      <w:lvlText w:val=""/>
      <w:lvlJc w:val="left"/>
      <w:pPr>
        <w:tabs>
          <w:tab w:val="num" w:pos="851"/>
        </w:tabs>
        <w:ind w:left="851" w:hanging="426"/>
      </w:pPr>
      <w:rPr>
        <w:rFonts w:ascii="Symbol" w:hAnsi="Symbol" w:hint="default"/>
      </w:rPr>
    </w:lvl>
  </w:abstractNum>
  <w:abstractNum w:abstractNumId="14" w15:restartNumberingAfterBreak="0">
    <w:nsid w:val="1FD72EC9"/>
    <w:multiLevelType w:val="multilevel"/>
    <w:tmpl w:val="542203E6"/>
    <w:numStyleLink w:val="Style1"/>
  </w:abstractNum>
  <w:abstractNum w:abstractNumId="15" w15:restartNumberingAfterBreak="0">
    <w:nsid w:val="2063237C"/>
    <w:multiLevelType w:val="multilevel"/>
    <w:tmpl w:val="542203E6"/>
    <w:numStyleLink w:val="Style1"/>
  </w:abstractNum>
  <w:abstractNum w:abstractNumId="16" w15:restartNumberingAfterBreak="0">
    <w:nsid w:val="27C67EF2"/>
    <w:multiLevelType w:val="multilevel"/>
    <w:tmpl w:val="542203E6"/>
    <w:numStyleLink w:val="Style1"/>
  </w:abstractNum>
  <w:abstractNum w:abstractNumId="17" w15:restartNumberingAfterBreak="0">
    <w:nsid w:val="2B396AEF"/>
    <w:multiLevelType w:val="hybridMultilevel"/>
    <w:tmpl w:val="470871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821030"/>
    <w:multiLevelType w:val="hybridMultilevel"/>
    <w:tmpl w:val="4C64017C"/>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2E7D3C1F"/>
    <w:multiLevelType w:val="hybridMultilevel"/>
    <w:tmpl w:val="5886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C4FEE"/>
    <w:multiLevelType w:val="multilevel"/>
    <w:tmpl w:val="3BE6635E"/>
    <w:lvl w:ilvl="0">
      <w:start w:val="1"/>
      <w:numFmt w:val="decimal"/>
      <w:pStyle w:val="ClauseLevel1"/>
      <w:lvlText w:val="%1."/>
      <w:lvlJc w:val="left"/>
      <w:pPr>
        <w:tabs>
          <w:tab w:val="num" w:pos="907"/>
        </w:tabs>
        <w:ind w:left="907" w:hanging="907"/>
      </w:pPr>
      <w:rPr>
        <w:rFonts w:hint="default"/>
        <w:sz w:val="20"/>
      </w:rPr>
    </w:lvl>
    <w:lvl w:ilvl="1">
      <w:start w:val="1"/>
      <w:numFmt w:val="decimal"/>
      <w:pStyle w:val="ClauseLevel2"/>
      <w:lvlText w:val="%1.%2."/>
      <w:lvlJc w:val="left"/>
      <w:pPr>
        <w:tabs>
          <w:tab w:val="num" w:pos="907"/>
        </w:tabs>
        <w:ind w:left="907" w:hanging="907"/>
      </w:pPr>
      <w:rPr>
        <w:rFonts w:hint="default"/>
        <w:sz w:val="20"/>
      </w:rPr>
    </w:lvl>
    <w:lvl w:ilvl="2">
      <w:start w:val="1"/>
      <w:numFmt w:val="decimal"/>
      <w:pStyle w:val="ClauseLevel3"/>
      <w:lvlText w:val="%1.%2.%3."/>
      <w:lvlJc w:val="left"/>
      <w:pPr>
        <w:tabs>
          <w:tab w:val="num" w:pos="907"/>
        </w:tabs>
        <w:ind w:left="907" w:hanging="907"/>
      </w:pPr>
      <w:rPr>
        <w:rFonts w:hint="default"/>
        <w:b w:val="0"/>
        <w:color w:val="000000"/>
        <w:sz w:val="20"/>
      </w:rPr>
    </w:lvl>
    <w:lvl w:ilvl="3">
      <w:start w:val="1"/>
      <w:numFmt w:val="lowerLetter"/>
      <w:pStyle w:val="ClauseLevel4"/>
      <w:lvlText w:val="%4."/>
      <w:lvlJc w:val="left"/>
      <w:pPr>
        <w:tabs>
          <w:tab w:val="num" w:pos="1191"/>
        </w:tabs>
        <w:ind w:left="1191" w:hanging="340"/>
      </w:pPr>
      <w:rPr>
        <w:rFonts w:hint="default"/>
      </w:rPr>
    </w:lvl>
    <w:lvl w:ilvl="4">
      <w:start w:val="1"/>
      <w:numFmt w:val="lowerRoman"/>
      <w:pStyle w:val="ClauseLevel5"/>
      <w:lvlText w:val="(%5)"/>
      <w:lvlJc w:val="left"/>
      <w:pPr>
        <w:tabs>
          <w:tab w:val="num" w:pos="1731"/>
        </w:tabs>
        <w:ind w:left="1731" w:hanging="454"/>
      </w:pPr>
      <w:rPr>
        <w:rFonts w:hint="default"/>
      </w:rPr>
    </w:lvl>
    <w:lvl w:ilvl="5">
      <w:start w:val="1"/>
      <w:numFmt w:val="upperLetter"/>
      <w:pStyle w:val="ClauseLevel6"/>
      <w:lvlText w:val="%5."/>
      <w:lvlJc w:val="left"/>
      <w:pPr>
        <w:tabs>
          <w:tab w:val="num" w:pos="1984"/>
        </w:tabs>
        <w:ind w:left="1984" w:hanging="425"/>
      </w:pPr>
      <w:rPr>
        <w:rFonts w:hint="default"/>
      </w:rPr>
    </w:lvl>
    <w:lvl w:ilvl="6">
      <w:start w:val="1"/>
      <w:numFmt w:val="upperLetter"/>
      <w:pStyle w:val="ClauseLevel7"/>
      <w:lvlText w:val="%5."/>
      <w:lvlJc w:val="left"/>
      <w:pPr>
        <w:tabs>
          <w:tab w:val="num" w:pos="1984"/>
        </w:tabs>
        <w:ind w:left="1984" w:hanging="425"/>
      </w:pPr>
      <w:rPr>
        <w:rFonts w:hint="default"/>
      </w:rPr>
    </w:lvl>
    <w:lvl w:ilvl="7">
      <w:start w:val="1"/>
      <w:numFmt w:val="upperLetter"/>
      <w:pStyle w:val="ClauseLevel8"/>
      <w:lvlText w:val="%5."/>
      <w:lvlJc w:val="left"/>
      <w:pPr>
        <w:tabs>
          <w:tab w:val="num" w:pos="1984"/>
        </w:tabs>
        <w:ind w:left="1984" w:hanging="425"/>
      </w:pPr>
      <w:rPr>
        <w:rFonts w:hint="default"/>
      </w:rPr>
    </w:lvl>
    <w:lvl w:ilvl="8">
      <w:start w:val="1"/>
      <w:numFmt w:val="upperLetter"/>
      <w:pStyle w:val="ClauseLevel9"/>
      <w:lvlText w:val="%5."/>
      <w:lvlJc w:val="left"/>
      <w:pPr>
        <w:tabs>
          <w:tab w:val="num" w:pos="1984"/>
        </w:tabs>
        <w:ind w:left="1984" w:hanging="425"/>
      </w:pPr>
      <w:rPr>
        <w:rFonts w:hint="default"/>
      </w:rPr>
    </w:lvl>
  </w:abstractNum>
  <w:abstractNum w:abstractNumId="21" w15:restartNumberingAfterBreak="0">
    <w:nsid w:val="330756FF"/>
    <w:multiLevelType w:val="hybridMultilevel"/>
    <w:tmpl w:val="778A744A"/>
    <w:lvl w:ilvl="0" w:tplc="D3BEC43E">
      <w:start w:val="1"/>
      <w:numFmt w:val="upperLetter"/>
      <w:pStyle w:val="AlphabeticList"/>
      <w:lvlText w:val="%1."/>
      <w:lvlJc w:val="left"/>
      <w:pPr>
        <w:ind w:left="720" w:hanging="360"/>
      </w:pPr>
      <w:rPr>
        <w:rFonts w:ascii="Arial" w:hAnsi="Arial" w:hint="default"/>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35401B2E"/>
    <w:multiLevelType w:val="hybridMultilevel"/>
    <w:tmpl w:val="EABCDC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DB749CD"/>
    <w:multiLevelType w:val="multilevel"/>
    <w:tmpl w:val="542203E6"/>
    <w:numStyleLink w:val="Style1"/>
  </w:abstractNum>
  <w:abstractNum w:abstractNumId="24" w15:restartNumberingAfterBreak="0">
    <w:nsid w:val="42697442"/>
    <w:multiLevelType w:val="multilevel"/>
    <w:tmpl w:val="5A18CAC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9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342148"/>
    <w:multiLevelType w:val="multilevel"/>
    <w:tmpl w:val="542203E6"/>
    <w:numStyleLink w:val="Style1"/>
  </w:abstractNum>
  <w:abstractNum w:abstractNumId="26" w15:restartNumberingAfterBreak="0">
    <w:nsid w:val="531931E3"/>
    <w:multiLevelType w:val="hybridMultilevel"/>
    <w:tmpl w:val="6542ED84"/>
    <w:lvl w:ilvl="0" w:tplc="80A4B926">
      <w:start w:val="3"/>
      <w:numFmt w:val="bullet"/>
      <w:lvlText w:val="-"/>
      <w:lvlJc w:val="left"/>
      <w:pPr>
        <w:ind w:left="927" w:hanging="360"/>
      </w:pPr>
      <w:rPr>
        <w:rFonts w:ascii="Franklin Gothic Book" w:eastAsia="Calibri" w:hAnsi="Franklin Gothic Book"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15:restartNumberingAfterBreak="0">
    <w:nsid w:val="555017C6"/>
    <w:multiLevelType w:val="multilevel"/>
    <w:tmpl w:val="542203E6"/>
    <w:numStyleLink w:val="Style1"/>
  </w:abstractNum>
  <w:abstractNum w:abstractNumId="28" w15:restartNumberingAfterBreak="0">
    <w:nsid w:val="56AA1000"/>
    <w:multiLevelType w:val="hybridMultilevel"/>
    <w:tmpl w:val="0A74416A"/>
    <w:lvl w:ilvl="0" w:tplc="C888A57E">
      <w:start w:val="1"/>
      <w:numFmt w:val="bullet"/>
      <w:lvlText w:val=""/>
      <w:lvlJc w:val="left"/>
      <w:pPr>
        <w:ind w:left="720" w:hanging="360"/>
      </w:pPr>
      <w:rPr>
        <w:rFonts w:ascii="Symbol" w:hAnsi="Symbol" w:hint="default"/>
        <w:color w:val="41766F" w:themeColor="accent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DE7C92"/>
    <w:multiLevelType w:val="hybridMultilevel"/>
    <w:tmpl w:val="9D622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670009"/>
    <w:multiLevelType w:val="multilevel"/>
    <w:tmpl w:val="90FA431A"/>
    <w:styleLink w:val="SustineoListStyle1"/>
    <w:lvl w:ilvl="0">
      <w:start w:val="1"/>
      <w:numFmt w:val="decimal"/>
      <w:lvlText w:val="%1."/>
      <w:lvlJc w:val="left"/>
      <w:pPr>
        <w:ind w:left="851" w:hanging="284"/>
      </w:pPr>
      <w:rPr>
        <w:rFonts w:hint="default"/>
        <w:caps w:val="0"/>
        <w:strike w:val="0"/>
        <w:dstrike w:val="0"/>
        <w:vanish w:val="0"/>
        <w:color w:val="41766F" w:themeColor="accent3"/>
        <w:vertAlign w:val="baseline"/>
      </w:rPr>
    </w:lvl>
    <w:lvl w:ilvl="1">
      <w:start w:val="1"/>
      <w:numFmt w:val="lowerLetter"/>
      <w:lvlText w:val="%2)"/>
      <w:lvlJc w:val="left"/>
      <w:pPr>
        <w:ind w:left="1191" w:hanging="284"/>
      </w:pPr>
      <w:rPr>
        <w:rFonts w:hint="default"/>
        <w:color w:val="41766F" w:themeColor="accent3"/>
      </w:rPr>
    </w:lvl>
    <w:lvl w:ilvl="2">
      <w:start w:val="1"/>
      <w:numFmt w:val="lowerRoman"/>
      <w:lvlText w:val="%3)"/>
      <w:lvlJc w:val="left"/>
      <w:pPr>
        <w:ind w:left="1531" w:hanging="284"/>
      </w:pPr>
      <w:rPr>
        <w:rFonts w:hint="default"/>
        <w:color w:val="41766F" w:themeColor="accent3"/>
      </w:rPr>
    </w:lvl>
    <w:lvl w:ilvl="3">
      <w:start w:val="1"/>
      <w:numFmt w:val="decimal"/>
      <w:lvlText w:val="(%4)"/>
      <w:lvlJc w:val="left"/>
      <w:pPr>
        <w:ind w:left="1871" w:hanging="284"/>
      </w:pPr>
      <w:rPr>
        <w:rFonts w:hint="default"/>
        <w:color w:val="6B818C" w:themeColor="accent5"/>
      </w:rPr>
    </w:lvl>
    <w:lvl w:ilvl="4">
      <w:start w:val="1"/>
      <w:numFmt w:val="lowerLetter"/>
      <w:lvlText w:val="(%5)"/>
      <w:lvlJc w:val="left"/>
      <w:pPr>
        <w:ind w:left="2211" w:hanging="284"/>
      </w:pPr>
      <w:rPr>
        <w:rFonts w:hint="default"/>
        <w:color w:val="6B818C" w:themeColor="accent5"/>
      </w:rPr>
    </w:lvl>
    <w:lvl w:ilvl="5">
      <w:start w:val="1"/>
      <w:numFmt w:val="lowerRoman"/>
      <w:lvlText w:val="(%6)"/>
      <w:lvlJc w:val="left"/>
      <w:pPr>
        <w:ind w:left="2551" w:hanging="284"/>
      </w:pPr>
      <w:rPr>
        <w:rFonts w:hint="default"/>
        <w:color w:val="6B818C" w:themeColor="accent5"/>
      </w:rPr>
    </w:lvl>
    <w:lvl w:ilvl="6">
      <w:start w:val="1"/>
      <w:numFmt w:val="decimal"/>
      <w:lvlText w:val="%7)"/>
      <w:lvlJc w:val="left"/>
      <w:pPr>
        <w:ind w:left="2891" w:hanging="284"/>
      </w:pPr>
      <w:rPr>
        <w:rFonts w:hint="default"/>
        <w:color w:val="6DB33F" w:themeColor="accent2"/>
      </w:rPr>
    </w:lvl>
    <w:lvl w:ilvl="7">
      <w:start w:val="1"/>
      <w:numFmt w:val="lowerLetter"/>
      <w:lvlText w:val="%8."/>
      <w:lvlJc w:val="left"/>
      <w:pPr>
        <w:ind w:left="3231" w:hanging="284"/>
      </w:pPr>
      <w:rPr>
        <w:rFonts w:hint="default"/>
        <w:color w:val="6DB33F" w:themeColor="accent2"/>
      </w:rPr>
    </w:lvl>
    <w:lvl w:ilvl="8">
      <w:start w:val="1"/>
      <w:numFmt w:val="lowerRoman"/>
      <w:lvlText w:val="%9."/>
      <w:lvlJc w:val="left"/>
      <w:pPr>
        <w:ind w:left="3571" w:hanging="284"/>
      </w:pPr>
      <w:rPr>
        <w:rFonts w:hint="default"/>
        <w:color w:val="6DB33F" w:themeColor="accent2"/>
      </w:rPr>
    </w:lvl>
  </w:abstractNum>
  <w:abstractNum w:abstractNumId="31" w15:restartNumberingAfterBreak="0">
    <w:nsid w:val="5C266518"/>
    <w:multiLevelType w:val="hybridMultilevel"/>
    <w:tmpl w:val="C7F46194"/>
    <w:lvl w:ilvl="0" w:tplc="4D82DE7E">
      <w:start w:val="1"/>
      <w:numFmt w:val="bullet"/>
      <w:pStyle w:val="ListBullet"/>
      <w:lvlText w:val=""/>
      <w:lvlJc w:val="left"/>
      <w:pPr>
        <w:ind w:left="1080" w:hanging="360"/>
      </w:pPr>
      <w:rPr>
        <w:rFonts w:ascii="Symbol" w:hAnsi="Symbol" w:hint="default"/>
        <w:color w:val="41766F" w:themeColor="accent3"/>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BEA3CB4"/>
    <w:multiLevelType w:val="multilevel"/>
    <w:tmpl w:val="542203E6"/>
    <w:numStyleLink w:val="Style1"/>
  </w:abstractNum>
  <w:abstractNum w:abstractNumId="33" w15:restartNumberingAfterBreak="0">
    <w:nsid w:val="71E54170"/>
    <w:multiLevelType w:val="hybridMultilevel"/>
    <w:tmpl w:val="62663C9A"/>
    <w:lvl w:ilvl="0" w:tplc="C888A57E">
      <w:start w:val="1"/>
      <w:numFmt w:val="bullet"/>
      <w:lvlText w:val=""/>
      <w:lvlJc w:val="left"/>
      <w:pPr>
        <w:ind w:left="720" w:hanging="360"/>
      </w:pPr>
      <w:rPr>
        <w:rFonts w:ascii="Symbol" w:hAnsi="Symbol" w:hint="default"/>
        <w:color w:val="41766F" w:themeColor="accent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874D35"/>
    <w:multiLevelType w:val="multilevel"/>
    <w:tmpl w:val="542203E6"/>
    <w:styleLink w:val="Style1"/>
    <w:lvl w:ilvl="0">
      <w:start w:val="1"/>
      <w:numFmt w:val="bullet"/>
      <w:pStyle w:val="Findingssummarylist"/>
      <w:lvlText w:val=""/>
      <w:lvlJc w:val="left"/>
      <w:pPr>
        <w:ind w:left="360" w:hanging="360"/>
      </w:pPr>
      <w:rPr>
        <w:rFonts w:ascii="Symbol" w:hAnsi="Symbol" w:hint="default"/>
        <w:color w:val="6B818C" w:themeColor="accent5"/>
        <w:sz w:val="20"/>
      </w:rPr>
    </w:lvl>
    <w:lvl w:ilvl="1">
      <w:start w:val="1"/>
      <w:numFmt w:val="bullet"/>
      <w:lvlText w:val=""/>
      <w:lvlJc w:val="left"/>
      <w:pPr>
        <w:ind w:left="1191" w:hanging="284"/>
      </w:pPr>
      <w:rPr>
        <w:rFonts w:ascii="Wingdings" w:hAnsi="Wingdings" w:hint="default"/>
        <w:color w:val="41766F" w:themeColor="accent3"/>
      </w:rPr>
    </w:lvl>
    <w:lvl w:ilvl="2">
      <w:start w:val="1"/>
      <w:numFmt w:val="bullet"/>
      <w:lvlText w:val=""/>
      <w:lvlJc w:val="left"/>
      <w:pPr>
        <w:ind w:left="1531" w:hanging="284"/>
      </w:pPr>
      <w:rPr>
        <w:rFonts w:ascii="Wingdings" w:hAnsi="Wingdings" w:hint="default"/>
        <w:color w:val="41766F" w:themeColor="accent3"/>
      </w:rPr>
    </w:lvl>
    <w:lvl w:ilvl="3">
      <w:start w:val="1"/>
      <w:numFmt w:val="bullet"/>
      <w:lvlText w:val=""/>
      <w:lvlJc w:val="left"/>
      <w:pPr>
        <w:ind w:left="1871" w:hanging="284"/>
      </w:pPr>
      <w:rPr>
        <w:rFonts w:ascii="Symbol" w:hAnsi="Symbol" w:hint="default"/>
        <w:color w:val="6B818C" w:themeColor="accent5"/>
      </w:rPr>
    </w:lvl>
    <w:lvl w:ilvl="4">
      <w:start w:val="1"/>
      <w:numFmt w:val="bullet"/>
      <w:lvlText w:val=""/>
      <w:lvlJc w:val="left"/>
      <w:pPr>
        <w:ind w:left="2211" w:hanging="284"/>
      </w:pPr>
      <w:rPr>
        <w:rFonts w:ascii="Wingdings" w:hAnsi="Wingdings" w:hint="default"/>
        <w:color w:val="6B818C" w:themeColor="accent5"/>
      </w:rPr>
    </w:lvl>
    <w:lvl w:ilvl="5">
      <w:start w:val="1"/>
      <w:numFmt w:val="bullet"/>
      <w:lvlText w:val=""/>
      <w:lvlJc w:val="left"/>
      <w:pPr>
        <w:ind w:left="2551" w:hanging="284"/>
      </w:pPr>
      <w:rPr>
        <w:rFonts w:ascii="Wingdings" w:hAnsi="Wingdings" w:hint="default"/>
        <w:color w:val="6B818C" w:themeColor="accent5"/>
      </w:rPr>
    </w:lvl>
    <w:lvl w:ilvl="6">
      <w:start w:val="1"/>
      <w:numFmt w:val="bullet"/>
      <w:lvlText w:val=""/>
      <w:lvlJc w:val="left"/>
      <w:pPr>
        <w:ind w:left="2891" w:hanging="284"/>
      </w:pPr>
      <w:rPr>
        <w:rFonts w:ascii="Symbol" w:hAnsi="Symbol" w:hint="default"/>
        <w:color w:val="6DB33F" w:themeColor="accent2"/>
      </w:rPr>
    </w:lvl>
    <w:lvl w:ilvl="7">
      <w:start w:val="1"/>
      <w:numFmt w:val="bullet"/>
      <w:lvlText w:val=""/>
      <w:lvlJc w:val="left"/>
      <w:pPr>
        <w:ind w:left="3231" w:hanging="284"/>
      </w:pPr>
      <w:rPr>
        <w:rFonts w:ascii="Wingdings" w:hAnsi="Wingdings" w:hint="default"/>
        <w:color w:val="6DB33F" w:themeColor="accent2"/>
      </w:rPr>
    </w:lvl>
    <w:lvl w:ilvl="8">
      <w:start w:val="1"/>
      <w:numFmt w:val="bullet"/>
      <w:lvlText w:val=""/>
      <w:lvlJc w:val="left"/>
      <w:pPr>
        <w:ind w:left="3571" w:hanging="284"/>
      </w:pPr>
      <w:rPr>
        <w:rFonts w:ascii="Wingdings" w:hAnsi="Wingdings" w:hint="default"/>
        <w:color w:val="6DB33F" w:themeColor="accent2"/>
      </w:rPr>
    </w:lvl>
  </w:abstractNum>
  <w:abstractNum w:abstractNumId="35" w15:restartNumberingAfterBreak="0">
    <w:nsid w:val="782C7D02"/>
    <w:multiLevelType w:val="hybridMultilevel"/>
    <w:tmpl w:val="5AF283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ED4613"/>
    <w:multiLevelType w:val="multilevel"/>
    <w:tmpl w:val="542203E6"/>
    <w:numStyleLink w:val="Style1"/>
  </w:abstractNum>
  <w:num w:numId="1" w16cid:durableId="1579364709">
    <w:abstractNumId w:val="30"/>
  </w:num>
  <w:num w:numId="2" w16cid:durableId="958532220">
    <w:abstractNumId w:val="34"/>
  </w:num>
  <w:num w:numId="3" w16cid:durableId="1642298504">
    <w:abstractNumId w:val="7"/>
  </w:num>
  <w:num w:numId="4" w16cid:durableId="1804348269">
    <w:abstractNumId w:val="6"/>
  </w:num>
  <w:num w:numId="5" w16cid:durableId="428619154">
    <w:abstractNumId w:val="5"/>
  </w:num>
  <w:num w:numId="6" w16cid:durableId="1190608457">
    <w:abstractNumId w:val="4"/>
  </w:num>
  <w:num w:numId="7" w16cid:durableId="959338242">
    <w:abstractNumId w:val="3"/>
  </w:num>
  <w:num w:numId="8" w16cid:durableId="1581016220">
    <w:abstractNumId w:val="2"/>
  </w:num>
  <w:num w:numId="9" w16cid:durableId="496112242">
    <w:abstractNumId w:val="1"/>
  </w:num>
  <w:num w:numId="10" w16cid:durableId="357850170">
    <w:abstractNumId w:val="0"/>
  </w:num>
  <w:num w:numId="11" w16cid:durableId="705638203">
    <w:abstractNumId w:val="24"/>
  </w:num>
  <w:num w:numId="12" w16cid:durableId="349062301">
    <w:abstractNumId w:val="13"/>
  </w:num>
  <w:num w:numId="13" w16cid:durableId="934169908">
    <w:abstractNumId w:val="11"/>
  </w:num>
  <w:num w:numId="14" w16cid:durableId="1048607819">
    <w:abstractNumId w:val="36"/>
  </w:num>
  <w:num w:numId="15" w16cid:durableId="176165737">
    <w:abstractNumId w:val="21"/>
  </w:num>
  <w:num w:numId="16" w16cid:durableId="1131096224">
    <w:abstractNumId w:val="16"/>
  </w:num>
  <w:num w:numId="17" w16cid:durableId="1802532838">
    <w:abstractNumId w:val="20"/>
  </w:num>
  <w:num w:numId="18" w16cid:durableId="1369067610">
    <w:abstractNumId w:val="14"/>
  </w:num>
  <w:num w:numId="19" w16cid:durableId="384525502">
    <w:abstractNumId w:val="15"/>
  </w:num>
  <w:num w:numId="20" w16cid:durableId="611132915">
    <w:abstractNumId w:val="12"/>
  </w:num>
  <w:num w:numId="21" w16cid:durableId="1989243545">
    <w:abstractNumId w:val="32"/>
  </w:num>
  <w:num w:numId="22" w16cid:durableId="1272398792">
    <w:abstractNumId w:val="18"/>
  </w:num>
  <w:num w:numId="23" w16cid:durableId="556287466">
    <w:abstractNumId w:val="17"/>
  </w:num>
  <w:num w:numId="24" w16cid:durableId="1819612753">
    <w:abstractNumId w:val="22"/>
  </w:num>
  <w:num w:numId="25" w16cid:durableId="1507015676">
    <w:abstractNumId w:val="26"/>
  </w:num>
  <w:num w:numId="26" w16cid:durableId="1996840794">
    <w:abstractNumId w:val="8"/>
  </w:num>
  <w:num w:numId="27" w16cid:durableId="1628589353">
    <w:abstractNumId w:val="10"/>
  </w:num>
  <w:num w:numId="28" w16cid:durableId="2100637439">
    <w:abstractNumId w:val="33"/>
  </w:num>
  <w:num w:numId="29" w16cid:durableId="1569653973">
    <w:abstractNumId w:val="31"/>
  </w:num>
  <w:num w:numId="30" w16cid:durableId="1073626743">
    <w:abstractNumId w:val="28"/>
  </w:num>
  <w:num w:numId="31" w16cid:durableId="1369066703">
    <w:abstractNumId w:val="23"/>
  </w:num>
  <w:num w:numId="32" w16cid:durableId="2066681199">
    <w:abstractNumId w:val="25"/>
  </w:num>
  <w:num w:numId="33" w16cid:durableId="1791121307">
    <w:abstractNumId w:val="27"/>
  </w:num>
  <w:num w:numId="34" w16cid:durableId="51740078">
    <w:abstractNumId w:val="35"/>
  </w:num>
  <w:num w:numId="35" w16cid:durableId="360471240">
    <w:abstractNumId w:val="29"/>
  </w:num>
  <w:num w:numId="36" w16cid:durableId="889417777">
    <w:abstractNumId w:val="19"/>
  </w:num>
  <w:num w:numId="37" w16cid:durableId="537351942">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wNDUwMDI2szA0tjRX0lEKTi0uzszPAykwNK8FAC5RMTstAAAA"/>
    <w:docVar w:name="dgnword-docGUID" w:val="{2655340E-CC9C-4605-9DF3-01300BAC05AB}"/>
    <w:docVar w:name="dgnword-eventsink" w:val="354621944"/>
  </w:docVars>
  <w:rsids>
    <w:rsidRoot w:val="00C7682C"/>
    <w:rsid w:val="0000030D"/>
    <w:rsid w:val="00003062"/>
    <w:rsid w:val="00003C65"/>
    <w:rsid w:val="000049A0"/>
    <w:rsid w:val="000057DD"/>
    <w:rsid w:val="00005BE8"/>
    <w:rsid w:val="00005E10"/>
    <w:rsid w:val="00005F09"/>
    <w:rsid w:val="000065DF"/>
    <w:rsid w:val="0000670E"/>
    <w:rsid w:val="00007650"/>
    <w:rsid w:val="000079CD"/>
    <w:rsid w:val="00007F66"/>
    <w:rsid w:val="0001099D"/>
    <w:rsid w:val="0001130F"/>
    <w:rsid w:val="00011614"/>
    <w:rsid w:val="00011A55"/>
    <w:rsid w:val="000138D7"/>
    <w:rsid w:val="00013D8B"/>
    <w:rsid w:val="00014F2B"/>
    <w:rsid w:val="000164CC"/>
    <w:rsid w:val="000166C8"/>
    <w:rsid w:val="000204BF"/>
    <w:rsid w:val="00020DB3"/>
    <w:rsid w:val="000211C5"/>
    <w:rsid w:val="00022145"/>
    <w:rsid w:val="00022899"/>
    <w:rsid w:val="0002300B"/>
    <w:rsid w:val="000252D1"/>
    <w:rsid w:val="000254A9"/>
    <w:rsid w:val="0002556E"/>
    <w:rsid w:val="000269BC"/>
    <w:rsid w:val="00027D87"/>
    <w:rsid w:val="00027F57"/>
    <w:rsid w:val="00030B21"/>
    <w:rsid w:val="000311A4"/>
    <w:rsid w:val="00031E66"/>
    <w:rsid w:val="00032481"/>
    <w:rsid w:val="00033F86"/>
    <w:rsid w:val="000355B9"/>
    <w:rsid w:val="000360D8"/>
    <w:rsid w:val="000363AA"/>
    <w:rsid w:val="000369D2"/>
    <w:rsid w:val="00036B64"/>
    <w:rsid w:val="00036EDD"/>
    <w:rsid w:val="000378FA"/>
    <w:rsid w:val="00037E57"/>
    <w:rsid w:val="000408C0"/>
    <w:rsid w:val="00041B0B"/>
    <w:rsid w:val="0004247B"/>
    <w:rsid w:val="000426F1"/>
    <w:rsid w:val="0004294C"/>
    <w:rsid w:val="000435F7"/>
    <w:rsid w:val="000442BC"/>
    <w:rsid w:val="000442F8"/>
    <w:rsid w:val="000443B3"/>
    <w:rsid w:val="00045AA9"/>
    <w:rsid w:val="000477F1"/>
    <w:rsid w:val="00047AB8"/>
    <w:rsid w:val="000508E2"/>
    <w:rsid w:val="00050C3F"/>
    <w:rsid w:val="00051AAA"/>
    <w:rsid w:val="00052ED3"/>
    <w:rsid w:val="000531BA"/>
    <w:rsid w:val="00054359"/>
    <w:rsid w:val="00055212"/>
    <w:rsid w:val="000567CF"/>
    <w:rsid w:val="00057533"/>
    <w:rsid w:val="0005779D"/>
    <w:rsid w:val="000607C6"/>
    <w:rsid w:val="0006120B"/>
    <w:rsid w:val="00063D5E"/>
    <w:rsid w:val="00063DE9"/>
    <w:rsid w:val="00064492"/>
    <w:rsid w:val="0006477F"/>
    <w:rsid w:val="000648D0"/>
    <w:rsid w:val="00064AD4"/>
    <w:rsid w:val="00064E07"/>
    <w:rsid w:val="00065145"/>
    <w:rsid w:val="00065D20"/>
    <w:rsid w:val="00066264"/>
    <w:rsid w:val="00066D27"/>
    <w:rsid w:val="00067E45"/>
    <w:rsid w:val="00070256"/>
    <w:rsid w:val="000703E6"/>
    <w:rsid w:val="00070766"/>
    <w:rsid w:val="00070969"/>
    <w:rsid w:val="000709FE"/>
    <w:rsid w:val="00070BED"/>
    <w:rsid w:val="00071D0B"/>
    <w:rsid w:val="00072CA6"/>
    <w:rsid w:val="00072CC1"/>
    <w:rsid w:val="000735A8"/>
    <w:rsid w:val="00073D41"/>
    <w:rsid w:val="00073F5C"/>
    <w:rsid w:val="000745CA"/>
    <w:rsid w:val="00074C2F"/>
    <w:rsid w:val="0007525F"/>
    <w:rsid w:val="00075CB3"/>
    <w:rsid w:val="00077391"/>
    <w:rsid w:val="000777E3"/>
    <w:rsid w:val="000779A1"/>
    <w:rsid w:val="00080D3F"/>
    <w:rsid w:val="000821CA"/>
    <w:rsid w:val="000835C9"/>
    <w:rsid w:val="00083A29"/>
    <w:rsid w:val="00084E08"/>
    <w:rsid w:val="00085F15"/>
    <w:rsid w:val="00086065"/>
    <w:rsid w:val="000863BC"/>
    <w:rsid w:val="00086528"/>
    <w:rsid w:val="000871C8"/>
    <w:rsid w:val="000902BC"/>
    <w:rsid w:val="00090807"/>
    <w:rsid w:val="00090857"/>
    <w:rsid w:val="00091DE8"/>
    <w:rsid w:val="00092132"/>
    <w:rsid w:val="00092916"/>
    <w:rsid w:val="00093746"/>
    <w:rsid w:val="0009460D"/>
    <w:rsid w:val="0009463C"/>
    <w:rsid w:val="000956D6"/>
    <w:rsid w:val="000959BC"/>
    <w:rsid w:val="000959D0"/>
    <w:rsid w:val="00097073"/>
    <w:rsid w:val="00097887"/>
    <w:rsid w:val="00097B5C"/>
    <w:rsid w:val="000A0ADB"/>
    <w:rsid w:val="000A1DAE"/>
    <w:rsid w:val="000A25B9"/>
    <w:rsid w:val="000A31D5"/>
    <w:rsid w:val="000A4417"/>
    <w:rsid w:val="000A6D7F"/>
    <w:rsid w:val="000A77A4"/>
    <w:rsid w:val="000A7B59"/>
    <w:rsid w:val="000A7FEA"/>
    <w:rsid w:val="000B272D"/>
    <w:rsid w:val="000B272F"/>
    <w:rsid w:val="000B298C"/>
    <w:rsid w:val="000B2DAC"/>
    <w:rsid w:val="000B45C3"/>
    <w:rsid w:val="000B486A"/>
    <w:rsid w:val="000B4D2E"/>
    <w:rsid w:val="000B5E42"/>
    <w:rsid w:val="000B7C0B"/>
    <w:rsid w:val="000B7C6C"/>
    <w:rsid w:val="000B7D3D"/>
    <w:rsid w:val="000C19A5"/>
    <w:rsid w:val="000C2510"/>
    <w:rsid w:val="000C270E"/>
    <w:rsid w:val="000C28D7"/>
    <w:rsid w:val="000C4504"/>
    <w:rsid w:val="000C479C"/>
    <w:rsid w:val="000C4BF3"/>
    <w:rsid w:val="000C5AF4"/>
    <w:rsid w:val="000C5C5F"/>
    <w:rsid w:val="000C5D4B"/>
    <w:rsid w:val="000C5EF1"/>
    <w:rsid w:val="000C6A86"/>
    <w:rsid w:val="000C762D"/>
    <w:rsid w:val="000D11FC"/>
    <w:rsid w:val="000D155D"/>
    <w:rsid w:val="000D262D"/>
    <w:rsid w:val="000D2918"/>
    <w:rsid w:val="000D394B"/>
    <w:rsid w:val="000D45DC"/>
    <w:rsid w:val="000D46E2"/>
    <w:rsid w:val="000D525B"/>
    <w:rsid w:val="000D5381"/>
    <w:rsid w:val="000D572A"/>
    <w:rsid w:val="000D5E65"/>
    <w:rsid w:val="000D6E5C"/>
    <w:rsid w:val="000D75EF"/>
    <w:rsid w:val="000D7D1D"/>
    <w:rsid w:val="000D7EB8"/>
    <w:rsid w:val="000E1152"/>
    <w:rsid w:val="000E17AF"/>
    <w:rsid w:val="000E1918"/>
    <w:rsid w:val="000E1DC7"/>
    <w:rsid w:val="000E2A8D"/>
    <w:rsid w:val="000E30A9"/>
    <w:rsid w:val="000E3E92"/>
    <w:rsid w:val="000E4EDF"/>
    <w:rsid w:val="000E547C"/>
    <w:rsid w:val="000E5669"/>
    <w:rsid w:val="000E6FB5"/>
    <w:rsid w:val="000E7894"/>
    <w:rsid w:val="000E78AF"/>
    <w:rsid w:val="000E79A2"/>
    <w:rsid w:val="000E7C3B"/>
    <w:rsid w:val="000F008A"/>
    <w:rsid w:val="000F2215"/>
    <w:rsid w:val="000F27B1"/>
    <w:rsid w:val="000F30BF"/>
    <w:rsid w:val="000F4BCE"/>
    <w:rsid w:val="000F58EA"/>
    <w:rsid w:val="000F610A"/>
    <w:rsid w:val="000F6141"/>
    <w:rsid w:val="000F623E"/>
    <w:rsid w:val="000F7506"/>
    <w:rsid w:val="0010042D"/>
    <w:rsid w:val="001005E1"/>
    <w:rsid w:val="0010076E"/>
    <w:rsid w:val="00101D0E"/>
    <w:rsid w:val="00102529"/>
    <w:rsid w:val="00102997"/>
    <w:rsid w:val="00102BE2"/>
    <w:rsid w:val="00102BEB"/>
    <w:rsid w:val="00103993"/>
    <w:rsid w:val="0010438D"/>
    <w:rsid w:val="001046CE"/>
    <w:rsid w:val="00104C84"/>
    <w:rsid w:val="00104FE7"/>
    <w:rsid w:val="00105AA7"/>
    <w:rsid w:val="00105BB4"/>
    <w:rsid w:val="00105D59"/>
    <w:rsid w:val="0010609E"/>
    <w:rsid w:val="00106223"/>
    <w:rsid w:val="00106D2B"/>
    <w:rsid w:val="001070D5"/>
    <w:rsid w:val="00107B1D"/>
    <w:rsid w:val="001105FD"/>
    <w:rsid w:val="0011061B"/>
    <w:rsid w:val="00110B7E"/>
    <w:rsid w:val="00113137"/>
    <w:rsid w:val="00113256"/>
    <w:rsid w:val="00113BC3"/>
    <w:rsid w:val="00114335"/>
    <w:rsid w:val="00115AC9"/>
    <w:rsid w:val="0011617E"/>
    <w:rsid w:val="001165E9"/>
    <w:rsid w:val="001169AC"/>
    <w:rsid w:val="00117334"/>
    <w:rsid w:val="001207FE"/>
    <w:rsid w:val="00121A5B"/>
    <w:rsid w:val="0012252C"/>
    <w:rsid w:val="00122589"/>
    <w:rsid w:val="001246F2"/>
    <w:rsid w:val="00125311"/>
    <w:rsid w:val="001275BB"/>
    <w:rsid w:val="00127E17"/>
    <w:rsid w:val="001319C9"/>
    <w:rsid w:val="00131A63"/>
    <w:rsid w:val="00132EA6"/>
    <w:rsid w:val="001333CE"/>
    <w:rsid w:val="00133C11"/>
    <w:rsid w:val="001349F0"/>
    <w:rsid w:val="00136099"/>
    <w:rsid w:val="001364E9"/>
    <w:rsid w:val="0013683B"/>
    <w:rsid w:val="00136D06"/>
    <w:rsid w:val="001402BE"/>
    <w:rsid w:val="001408B6"/>
    <w:rsid w:val="00142367"/>
    <w:rsid w:val="00143140"/>
    <w:rsid w:val="0014371C"/>
    <w:rsid w:val="001454BC"/>
    <w:rsid w:val="00145A0A"/>
    <w:rsid w:val="001466DD"/>
    <w:rsid w:val="001501BF"/>
    <w:rsid w:val="00152CCC"/>
    <w:rsid w:val="00152D01"/>
    <w:rsid w:val="00154896"/>
    <w:rsid w:val="001551E5"/>
    <w:rsid w:val="001551F9"/>
    <w:rsid w:val="00157041"/>
    <w:rsid w:val="00157296"/>
    <w:rsid w:val="00157A85"/>
    <w:rsid w:val="00157CFC"/>
    <w:rsid w:val="00162441"/>
    <w:rsid w:val="001624FD"/>
    <w:rsid w:val="00163369"/>
    <w:rsid w:val="0016465B"/>
    <w:rsid w:val="0016564D"/>
    <w:rsid w:val="00165B48"/>
    <w:rsid w:val="00165DC4"/>
    <w:rsid w:val="00167DB8"/>
    <w:rsid w:val="001721A7"/>
    <w:rsid w:val="0017354D"/>
    <w:rsid w:val="001743F3"/>
    <w:rsid w:val="001757B0"/>
    <w:rsid w:val="00175D7E"/>
    <w:rsid w:val="0018103F"/>
    <w:rsid w:val="0018108D"/>
    <w:rsid w:val="0018120B"/>
    <w:rsid w:val="00183513"/>
    <w:rsid w:val="0018363C"/>
    <w:rsid w:val="00183874"/>
    <w:rsid w:val="00183882"/>
    <w:rsid w:val="00184054"/>
    <w:rsid w:val="00184FAF"/>
    <w:rsid w:val="001872D5"/>
    <w:rsid w:val="00190246"/>
    <w:rsid w:val="00190813"/>
    <w:rsid w:val="00190EAB"/>
    <w:rsid w:val="00191A0F"/>
    <w:rsid w:val="001920EE"/>
    <w:rsid w:val="001924BF"/>
    <w:rsid w:val="00192BE3"/>
    <w:rsid w:val="00192DEB"/>
    <w:rsid w:val="00192E95"/>
    <w:rsid w:val="001946CE"/>
    <w:rsid w:val="0019533D"/>
    <w:rsid w:val="001960F3"/>
    <w:rsid w:val="001970D2"/>
    <w:rsid w:val="0019767A"/>
    <w:rsid w:val="00197CB0"/>
    <w:rsid w:val="00197D86"/>
    <w:rsid w:val="001A0969"/>
    <w:rsid w:val="001A0DBF"/>
    <w:rsid w:val="001A1912"/>
    <w:rsid w:val="001A1A3F"/>
    <w:rsid w:val="001A22BF"/>
    <w:rsid w:val="001A2543"/>
    <w:rsid w:val="001A2F9F"/>
    <w:rsid w:val="001A3220"/>
    <w:rsid w:val="001A3618"/>
    <w:rsid w:val="001A5C39"/>
    <w:rsid w:val="001A62C7"/>
    <w:rsid w:val="001A6348"/>
    <w:rsid w:val="001A6676"/>
    <w:rsid w:val="001A6AE5"/>
    <w:rsid w:val="001A74F8"/>
    <w:rsid w:val="001A78D0"/>
    <w:rsid w:val="001B0278"/>
    <w:rsid w:val="001B07F7"/>
    <w:rsid w:val="001B0B1C"/>
    <w:rsid w:val="001B2043"/>
    <w:rsid w:val="001B25C0"/>
    <w:rsid w:val="001B2711"/>
    <w:rsid w:val="001B2E1F"/>
    <w:rsid w:val="001B352E"/>
    <w:rsid w:val="001B3B83"/>
    <w:rsid w:val="001B3D6A"/>
    <w:rsid w:val="001B4D90"/>
    <w:rsid w:val="001B522B"/>
    <w:rsid w:val="001B5493"/>
    <w:rsid w:val="001B54B8"/>
    <w:rsid w:val="001B5778"/>
    <w:rsid w:val="001B64C0"/>
    <w:rsid w:val="001C04D7"/>
    <w:rsid w:val="001C138F"/>
    <w:rsid w:val="001C4AC5"/>
    <w:rsid w:val="001C4E8D"/>
    <w:rsid w:val="001C5297"/>
    <w:rsid w:val="001C52BE"/>
    <w:rsid w:val="001C5EEB"/>
    <w:rsid w:val="001C5FBE"/>
    <w:rsid w:val="001C6305"/>
    <w:rsid w:val="001C63BC"/>
    <w:rsid w:val="001C6555"/>
    <w:rsid w:val="001C6781"/>
    <w:rsid w:val="001C763A"/>
    <w:rsid w:val="001D1982"/>
    <w:rsid w:val="001D292F"/>
    <w:rsid w:val="001D2C36"/>
    <w:rsid w:val="001D3358"/>
    <w:rsid w:val="001D3634"/>
    <w:rsid w:val="001D3A16"/>
    <w:rsid w:val="001D457F"/>
    <w:rsid w:val="001D5FC2"/>
    <w:rsid w:val="001D6398"/>
    <w:rsid w:val="001D67F5"/>
    <w:rsid w:val="001D721B"/>
    <w:rsid w:val="001D74E8"/>
    <w:rsid w:val="001D78D2"/>
    <w:rsid w:val="001E0750"/>
    <w:rsid w:val="001E0A59"/>
    <w:rsid w:val="001E0E25"/>
    <w:rsid w:val="001E35BB"/>
    <w:rsid w:val="001E3826"/>
    <w:rsid w:val="001E46A8"/>
    <w:rsid w:val="001E5563"/>
    <w:rsid w:val="001E689F"/>
    <w:rsid w:val="001E6F07"/>
    <w:rsid w:val="001E6FAC"/>
    <w:rsid w:val="001F0E08"/>
    <w:rsid w:val="001F1669"/>
    <w:rsid w:val="001F2BA9"/>
    <w:rsid w:val="001F49B8"/>
    <w:rsid w:val="001F4C0B"/>
    <w:rsid w:val="001F4DB4"/>
    <w:rsid w:val="001F6474"/>
    <w:rsid w:val="00200C81"/>
    <w:rsid w:val="00202AA9"/>
    <w:rsid w:val="00204E54"/>
    <w:rsid w:val="00204EB0"/>
    <w:rsid w:val="00206347"/>
    <w:rsid w:val="00206A1E"/>
    <w:rsid w:val="002070ED"/>
    <w:rsid w:val="00207837"/>
    <w:rsid w:val="00207A7F"/>
    <w:rsid w:val="00210274"/>
    <w:rsid w:val="00210AD3"/>
    <w:rsid w:val="00213251"/>
    <w:rsid w:val="0021342B"/>
    <w:rsid w:val="00213573"/>
    <w:rsid w:val="00213DFE"/>
    <w:rsid w:val="0021424B"/>
    <w:rsid w:val="002155D7"/>
    <w:rsid w:val="0021652A"/>
    <w:rsid w:val="00217E75"/>
    <w:rsid w:val="00223231"/>
    <w:rsid w:val="002269D2"/>
    <w:rsid w:val="00226E4D"/>
    <w:rsid w:val="00230AA8"/>
    <w:rsid w:val="00230CE5"/>
    <w:rsid w:val="0023176B"/>
    <w:rsid w:val="00232830"/>
    <w:rsid w:val="00232938"/>
    <w:rsid w:val="00232FE4"/>
    <w:rsid w:val="00234752"/>
    <w:rsid w:val="0023510A"/>
    <w:rsid w:val="0023550F"/>
    <w:rsid w:val="002357D4"/>
    <w:rsid w:val="00235E52"/>
    <w:rsid w:val="0023797F"/>
    <w:rsid w:val="00240BCB"/>
    <w:rsid w:val="0024199C"/>
    <w:rsid w:val="002422BB"/>
    <w:rsid w:val="00243323"/>
    <w:rsid w:val="0024491B"/>
    <w:rsid w:val="00246683"/>
    <w:rsid w:val="00247021"/>
    <w:rsid w:val="002470AE"/>
    <w:rsid w:val="002471E0"/>
    <w:rsid w:val="00251E18"/>
    <w:rsid w:val="002524EB"/>
    <w:rsid w:val="00252597"/>
    <w:rsid w:val="00252AAE"/>
    <w:rsid w:val="00252E36"/>
    <w:rsid w:val="00252F0A"/>
    <w:rsid w:val="00252F39"/>
    <w:rsid w:val="002534CF"/>
    <w:rsid w:val="00254308"/>
    <w:rsid w:val="00256B24"/>
    <w:rsid w:val="002570A0"/>
    <w:rsid w:val="00257112"/>
    <w:rsid w:val="00257777"/>
    <w:rsid w:val="0026002C"/>
    <w:rsid w:val="0026004B"/>
    <w:rsid w:val="00261043"/>
    <w:rsid w:val="002617E1"/>
    <w:rsid w:val="0026223A"/>
    <w:rsid w:val="00265143"/>
    <w:rsid w:val="00265901"/>
    <w:rsid w:val="00265C2D"/>
    <w:rsid w:val="00266AA9"/>
    <w:rsid w:val="002702CB"/>
    <w:rsid w:val="002706D4"/>
    <w:rsid w:val="00270ECB"/>
    <w:rsid w:val="0027194F"/>
    <w:rsid w:val="00272B9C"/>
    <w:rsid w:val="002732E6"/>
    <w:rsid w:val="0027416D"/>
    <w:rsid w:val="00275F53"/>
    <w:rsid w:val="00276777"/>
    <w:rsid w:val="002768E2"/>
    <w:rsid w:val="00276E18"/>
    <w:rsid w:val="00281560"/>
    <w:rsid w:val="00282A6B"/>
    <w:rsid w:val="00282D78"/>
    <w:rsid w:val="00284DE4"/>
    <w:rsid w:val="0028665E"/>
    <w:rsid w:val="00287829"/>
    <w:rsid w:val="00287BA8"/>
    <w:rsid w:val="00287EF2"/>
    <w:rsid w:val="00290561"/>
    <w:rsid w:val="00290F6F"/>
    <w:rsid w:val="002919CC"/>
    <w:rsid w:val="002920FA"/>
    <w:rsid w:val="00294757"/>
    <w:rsid w:val="00294BE5"/>
    <w:rsid w:val="00295C5C"/>
    <w:rsid w:val="00295D4F"/>
    <w:rsid w:val="00297B8E"/>
    <w:rsid w:val="002A03A1"/>
    <w:rsid w:val="002A097A"/>
    <w:rsid w:val="002A0A83"/>
    <w:rsid w:val="002A1465"/>
    <w:rsid w:val="002A1522"/>
    <w:rsid w:val="002A15B3"/>
    <w:rsid w:val="002A2194"/>
    <w:rsid w:val="002A3DD8"/>
    <w:rsid w:val="002A3F91"/>
    <w:rsid w:val="002A4031"/>
    <w:rsid w:val="002A41E4"/>
    <w:rsid w:val="002A4362"/>
    <w:rsid w:val="002A5568"/>
    <w:rsid w:val="002A5593"/>
    <w:rsid w:val="002A610D"/>
    <w:rsid w:val="002A680F"/>
    <w:rsid w:val="002A6BB1"/>
    <w:rsid w:val="002A6E1B"/>
    <w:rsid w:val="002A7484"/>
    <w:rsid w:val="002A7875"/>
    <w:rsid w:val="002A7A37"/>
    <w:rsid w:val="002B0161"/>
    <w:rsid w:val="002B050F"/>
    <w:rsid w:val="002B0F40"/>
    <w:rsid w:val="002B1617"/>
    <w:rsid w:val="002B2596"/>
    <w:rsid w:val="002B32C2"/>
    <w:rsid w:val="002B43D7"/>
    <w:rsid w:val="002B4974"/>
    <w:rsid w:val="002B4ED9"/>
    <w:rsid w:val="002B4EF9"/>
    <w:rsid w:val="002B4F37"/>
    <w:rsid w:val="002B5E13"/>
    <w:rsid w:val="002B7786"/>
    <w:rsid w:val="002B78BC"/>
    <w:rsid w:val="002C1372"/>
    <w:rsid w:val="002C1ED7"/>
    <w:rsid w:val="002C274C"/>
    <w:rsid w:val="002C2CC9"/>
    <w:rsid w:val="002C3504"/>
    <w:rsid w:val="002C382B"/>
    <w:rsid w:val="002C4263"/>
    <w:rsid w:val="002C465C"/>
    <w:rsid w:val="002C484B"/>
    <w:rsid w:val="002C4A1E"/>
    <w:rsid w:val="002C4CAD"/>
    <w:rsid w:val="002C5EE6"/>
    <w:rsid w:val="002C7639"/>
    <w:rsid w:val="002C7B93"/>
    <w:rsid w:val="002D0D0D"/>
    <w:rsid w:val="002D0FAD"/>
    <w:rsid w:val="002D1932"/>
    <w:rsid w:val="002D1C56"/>
    <w:rsid w:val="002D458E"/>
    <w:rsid w:val="002D4BDD"/>
    <w:rsid w:val="002D5399"/>
    <w:rsid w:val="002D652A"/>
    <w:rsid w:val="002D7C56"/>
    <w:rsid w:val="002E0A0D"/>
    <w:rsid w:val="002E1D08"/>
    <w:rsid w:val="002E4F52"/>
    <w:rsid w:val="002E508D"/>
    <w:rsid w:val="002E5625"/>
    <w:rsid w:val="002E7324"/>
    <w:rsid w:val="002E7517"/>
    <w:rsid w:val="002F036C"/>
    <w:rsid w:val="002F0D08"/>
    <w:rsid w:val="002F10DA"/>
    <w:rsid w:val="002F1154"/>
    <w:rsid w:val="002F17D0"/>
    <w:rsid w:val="002F2227"/>
    <w:rsid w:val="002F2F8E"/>
    <w:rsid w:val="002F5759"/>
    <w:rsid w:val="002F5976"/>
    <w:rsid w:val="002F5D4A"/>
    <w:rsid w:val="002F623B"/>
    <w:rsid w:val="002F63CA"/>
    <w:rsid w:val="002F71E4"/>
    <w:rsid w:val="002F7353"/>
    <w:rsid w:val="00300161"/>
    <w:rsid w:val="00302648"/>
    <w:rsid w:val="00303F2F"/>
    <w:rsid w:val="003043C1"/>
    <w:rsid w:val="0030473C"/>
    <w:rsid w:val="00306F54"/>
    <w:rsid w:val="003071F7"/>
    <w:rsid w:val="0031174D"/>
    <w:rsid w:val="00313060"/>
    <w:rsid w:val="003135FF"/>
    <w:rsid w:val="003156BE"/>
    <w:rsid w:val="0031689B"/>
    <w:rsid w:val="00317443"/>
    <w:rsid w:val="00317D0C"/>
    <w:rsid w:val="00321168"/>
    <w:rsid w:val="003215CB"/>
    <w:rsid w:val="00321AA7"/>
    <w:rsid w:val="00322213"/>
    <w:rsid w:val="00322926"/>
    <w:rsid w:val="00322C10"/>
    <w:rsid w:val="00322F08"/>
    <w:rsid w:val="00323C12"/>
    <w:rsid w:val="00323D9D"/>
    <w:rsid w:val="00324603"/>
    <w:rsid w:val="003257FB"/>
    <w:rsid w:val="00325A89"/>
    <w:rsid w:val="0032768F"/>
    <w:rsid w:val="00330322"/>
    <w:rsid w:val="003303F0"/>
    <w:rsid w:val="00331BA9"/>
    <w:rsid w:val="00331E1E"/>
    <w:rsid w:val="003329E9"/>
    <w:rsid w:val="0033360F"/>
    <w:rsid w:val="00333631"/>
    <w:rsid w:val="003340BE"/>
    <w:rsid w:val="003341E7"/>
    <w:rsid w:val="00335EFB"/>
    <w:rsid w:val="0033644A"/>
    <w:rsid w:val="00337094"/>
    <w:rsid w:val="003375E3"/>
    <w:rsid w:val="00337E53"/>
    <w:rsid w:val="003400BA"/>
    <w:rsid w:val="00340646"/>
    <w:rsid w:val="003407EF"/>
    <w:rsid w:val="00340D2B"/>
    <w:rsid w:val="00340D3E"/>
    <w:rsid w:val="003419F3"/>
    <w:rsid w:val="0034227F"/>
    <w:rsid w:val="0034320F"/>
    <w:rsid w:val="00343A6E"/>
    <w:rsid w:val="0034447A"/>
    <w:rsid w:val="00345DBF"/>
    <w:rsid w:val="00346395"/>
    <w:rsid w:val="00346D5F"/>
    <w:rsid w:val="003476A8"/>
    <w:rsid w:val="00347A75"/>
    <w:rsid w:val="003510D3"/>
    <w:rsid w:val="00352E4A"/>
    <w:rsid w:val="0035315C"/>
    <w:rsid w:val="00353ABD"/>
    <w:rsid w:val="00355D91"/>
    <w:rsid w:val="00355EE8"/>
    <w:rsid w:val="00360EAD"/>
    <w:rsid w:val="003612F5"/>
    <w:rsid w:val="0036169E"/>
    <w:rsid w:val="00362BAA"/>
    <w:rsid w:val="00362F5F"/>
    <w:rsid w:val="003630B8"/>
    <w:rsid w:val="003631E2"/>
    <w:rsid w:val="00363582"/>
    <w:rsid w:val="003635E7"/>
    <w:rsid w:val="00363C5F"/>
    <w:rsid w:val="00364270"/>
    <w:rsid w:val="00364405"/>
    <w:rsid w:val="0036487D"/>
    <w:rsid w:val="00365EE7"/>
    <w:rsid w:val="00370960"/>
    <w:rsid w:val="00370ADC"/>
    <w:rsid w:val="003718F8"/>
    <w:rsid w:val="00372424"/>
    <w:rsid w:val="00375555"/>
    <w:rsid w:val="00375825"/>
    <w:rsid w:val="00381082"/>
    <w:rsid w:val="003811BE"/>
    <w:rsid w:val="00381BB7"/>
    <w:rsid w:val="003823D3"/>
    <w:rsid w:val="00384B58"/>
    <w:rsid w:val="00384F9A"/>
    <w:rsid w:val="00386479"/>
    <w:rsid w:val="0038672C"/>
    <w:rsid w:val="0038725C"/>
    <w:rsid w:val="00387735"/>
    <w:rsid w:val="00387887"/>
    <w:rsid w:val="00387F46"/>
    <w:rsid w:val="003900FA"/>
    <w:rsid w:val="00391692"/>
    <w:rsid w:val="003931F4"/>
    <w:rsid w:val="003940CD"/>
    <w:rsid w:val="003969FF"/>
    <w:rsid w:val="00396C02"/>
    <w:rsid w:val="00397CC0"/>
    <w:rsid w:val="003A0DE0"/>
    <w:rsid w:val="003A38CA"/>
    <w:rsid w:val="003A5304"/>
    <w:rsid w:val="003A588E"/>
    <w:rsid w:val="003A67EA"/>
    <w:rsid w:val="003A7B28"/>
    <w:rsid w:val="003B0154"/>
    <w:rsid w:val="003B1D10"/>
    <w:rsid w:val="003B3A03"/>
    <w:rsid w:val="003B3B4F"/>
    <w:rsid w:val="003B3E8F"/>
    <w:rsid w:val="003B46DD"/>
    <w:rsid w:val="003B5164"/>
    <w:rsid w:val="003B58DC"/>
    <w:rsid w:val="003B62F9"/>
    <w:rsid w:val="003B6318"/>
    <w:rsid w:val="003B6641"/>
    <w:rsid w:val="003B740A"/>
    <w:rsid w:val="003C022A"/>
    <w:rsid w:val="003C1437"/>
    <w:rsid w:val="003C3233"/>
    <w:rsid w:val="003C36B5"/>
    <w:rsid w:val="003C4E18"/>
    <w:rsid w:val="003C5F8C"/>
    <w:rsid w:val="003C699D"/>
    <w:rsid w:val="003C69DA"/>
    <w:rsid w:val="003C6A82"/>
    <w:rsid w:val="003C74D6"/>
    <w:rsid w:val="003D0CFB"/>
    <w:rsid w:val="003D1E41"/>
    <w:rsid w:val="003D2BAD"/>
    <w:rsid w:val="003D363C"/>
    <w:rsid w:val="003D3E4A"/>
    <w:rsid w:val="003D53A2"/>
    <w:rsid w:val="003D5CD8"/>
    <w:rsid w:val="003D6DAA"/>
    <w:rsid w:val="003E1979"/>
    <w:rsid w:val="003E1C9A"/>
    <w:rsid w:val="003E1E92"/>
    <w:rsid w:val="003E216E"/>
    <w:rsid w:val="003E2456"/>
    <w:rsid w:val="003E2667"/>
    <w:rsid w:val="003E46F0"/>
    <w:rsid w:val="003E478D"/>
    <w:rsid w:val="003E6367"/>
    <w:rsid w:val="003E7101"/>
    <w:rsid w:val="003E752F"/>
    <w:rsid w:val="003E7787"/>
    <w:rsid w:val="003E7CBA"/>
    <w:rsid w:val="003F16FE"/>
    <w:rsid w:val="003F1A6E"/>
    <w:rsid w:val="003F1DF4"/>
    <w:rsid w:val="003F1EEC"/>
    <w:rsid w:val="003F2006"/>
    <w:rsid w:val="003F21D1"/>
    <w:rsid w:val="003F21E1"/>
    <w:rsid w:val="003F2BFA"/>
    <w:rsid w:val="003F361C"/>
    <w:rsid w:val="003F551A"/>
    <w:rsid w:val="003F65DE"/>
    <w:rsid w:val="003F6756"/>
    <w:rsid w:val="003F69E1"/>
    <w:rsid w:val="003F7337"/>
    <w:rsid w:val="003F79CA"/>
    <w:rsid w:val="003F7BA2"/>
    <w:rsid w:val="004002F5"/>
    <w:rsid w:val="00400D7A"/>
    <w:rsid w:val="0040178C"/>
    <w:rsid w:val="00401C73"/>
    <w:rsid w:val="00402262"/>
    <w:rsid w:val="00404D22"/>
    <w:rsid w:val="00404FD9"/>
    <w:rsid w:val="00405896"/>
    <w:rsid w:val="00406D92"/>
    <w:rsid w:val="00407069"/>
    <w:rsid w:val="0040780D"/>
    <w:rsid w:val="00410754"/>
    <w:rsid w:val="00410769"/>
    <w:rsid w:val="004124C0"/>
    <w:rsid w:val="004131BB"/>
    <w:rsid w:val="00414EAD"/>
    <w:rsid w:val="00414EEA"/>
    <w:rsid w:val="0041711D"/>
    <w:rsid w:val="00417FE3"/>
    <w:rsid w:val="00420153"/>
    <w:rsid w:val="00420724"/>
    <w:rsid w:val="00420806"/>
    <w:rsid w:val="0042086F"/>
    <w:rsid w:val="00420F05"/>
    <w:rsid w:val="004224C0"/>
    <w:rsid w:val="004233D6"/>
    <w:rsid w:val="00423A65"/>
    <w:rsid w:val="00424C5D"/>
    <w:rsid w:val="00424C6A"/>
    <w:rsid w:val="00424C86"/>
    <w:rsid w:val="0042558A"/>
    <w:rsid w:val="00425A65"/>
    <w:rsid w:val="00426836"/>
    <w:rsid w:val="00426E8E"/>
    <w:rsid w:val="00430892"/>
    <w:rsid w:val="00431BB7"/>
    <w:rsid w:val="004328A1"/>
    <w:rsid w:val="00433519"/>
    <w:rsid w:val="00434F7A"/>
    <w:rsid w:val="00435957"/>
    <w:rsid w:val="00435BD7"/>
    <w:rsid w:val="0043686C"/>
    <w:rsid w:val="004372F6"/>
    <w:rsid w:val="00437630"/>
    <w:rsid w:val="0044053B"/>
    <w:rsid w:val="00443994"/>
    <w:rsid w:val="00444246"/>
    <w:rsid w:val="00444497"/>
    <w:rsid w:val="00445F73"/>
    <w:rsid w:val="0044695E"/>
    <w:rsid w:val="00447818"/>
    <w:rsid w:val="00447D74"/>
    <w:rsid w:val="00450120"/>
    <w:rsid w:val="00450738"/>
    <w:rsid w:val="00450886"/>
    <w:rsid w:val="004510D8"/>
    <w:rsid w:val="00451778"/>
    <w:rsid w:val="0045279D"/>
    <w:rsid w:val="00452941"/>
    <w:rsid w:val="00453E2F"/>
    <w:rsid w:val="00453F54"/>
    <w:rsid w:val="00454428"/>
    <w:rsid w:val="004554C3"/>
    <w:rsid w:val="00457F2B"/>
    <w:rsid w:val="004610DE"/>
    <w:rsid w:val="0046163F"/>
    <w:rsid w:val="00461CD2"/>
    <w:rsid w:val="00462821"/>
    <w:rsid w:val="0046329A"/>
    <w:rsid w:val="00464F6D"/>
    <w:rsid w:val="00465675"/>
    <w:rsid w:val="004674C8"/>
    <w:rsid w:val="004702C3"/>
    <w:rsid w:val="00471570"/>
    <w:rsid w:val="004718C9"/>
    <w:rsid w:val="00471D87"/>
    <w:rsid w:val="00472196"/>
    <w:rsid w:val="004734B5"/>
    <w:rsid w:val="004734CB"/>
    <w:rsid w:val="0047384C"/>
    <w:rsid w:val="00473B0B"/>
    <w:rsid w:val="00473FAF"/>
    <w:rsid w:val="00474C7A"/>
    <w:rsid w:val="004758AF"/>
    <w:rsid w:val="00477A70"/>
    <w:rsid w:val="004801F9"/>
    <w:rsid w:val="004806E3"/>
    <w:rsid w:val="00480C32"/>
    <w:rsid w:val="004810F0"/>
    <w:rsid w:val="00482A20"/>
    <w:rsid w:val="00482B16"/>
    <w:rsid w:val="00483275"/>
    <w:rsid w:val="004850AD"/>
    <w:rsid w:val="004856D2"/>
    <w:rsid w:val="004864C6"/>
    <w:rsid w:val="00486BB1"/>
    <w:rsid w:val="00486FF6"/>
    <w:rsid w:val="00487F78"/>
    <w:rsid w:val="00492625"/>
    <w:rsid w:val="00492A96"/>
    <w:rsid w:val="00493AC9"/>
    <w:rsid w:val="00494D4B"/>
    <w:rsid w:val="004970AF"/>
    <w:rsid w:val="004A0AF9"/>
    <w:rsid w:val="004A11B2"/>
    <w:rsid w:val="004A1329"/>
    <w:rsid w:val="004A1E16"/>
    <w:rsid w:val="004A21BF"/>
    <w:rsid w:val="004A21F9"/>
    <w:rsid w:val="004A2544"/>
    <w:rsid w:val="004A25D7"/>
    <w:rsid w:val="004A2916"/>
    <w:rsid w:val="004A2DD7"/>
    <w:rsid w:val="004A514B"/>
    <w:rsid w:val="004B0C34"/>
    <w:rsid w:val="004B1038"/>
    <w:rsid w:val="004B1DFB"/>
    <w:rsid w:val="004B2C32"/>
    <w:rsid w:val="004B35CE"/>
    <w:rsid w:val="004B6121"/>
    <w:rsid w:val="004B6DD6"/>
    <w:rsid w:val="004B74CA"/>
    <w:rsid w:val="004B7631"/>
    <w:rsid w:val="004B76B5"/>
    <w:rsid w:val="004C007A"/>
    <w:rsid w:val="004C0475"/>
    <w:rsid w:val="004C09B2"/>
    <w:rsid w:val="004C1832"/>
    <w:rsid w:val="004C1AE9"/>
    <w:rsid w:val="004C3D1C"/>
    <w:rsid w:val="004C3E33"/>
    <w:rsid w:val="004C4338"/>
    <w:rsid w:val="004C5177"/>
    <w:rsid w:val="004C5419"/>
    <w:rsid w:val="004C5C71"/>
    <w:rsid w:val="004C5DCF"/>
    <w:rsid w:val="004C645E"/>
    <w:rsid w:val="004C76DB"/>
    <w:rsid w:val="004C786B"/>
    <w:rsid w:val="004D0F47"/>
    <w:rsid w:val="004D20AC"/>
    <w:rsid w:val="004D2179"/>
    <w:rsid w:val="004D2841"/>
    <w:rsid w:val="004D309B"/>
    <w:rsid w:val="004D321A"/>
    <w:rsid w:val="004D34FE"/>
    <w:rsid w:val="004D5307"/>
    <w:rsid w:val="004D565A"/>
    <w:rsid w:val="004D6509"/>
    <w:rsid w:val="004E00B8"/>
    <w:rsid w:val="004E085F"/>
    <w:rsid w:val="004E1009"/>
    <w:rsid w:val="004E4604"/>
    <w:rsid w:val="004E688A"/>
    <w:rsid w:val="004E7BD2"/>
    <w:rsid w:val="004E7D56"/>
    <w:rsid w:val="004F0BD3"/>
    <w:rsid w:val="004F0BDF"/>
    <w:rsid w:val="004F14FC"/>
    <w:rsid w:val="004F2771"/>
    <w:rsid w:val="004F2FFE"/>
    <w:rsid w:val="004F3944"/>
    <w:rsid w:val="004F3B4F"/>
    <w:rsid w:val="004F57A2"/>
    <w:rsid w:val="004F5A85"/>
    <w:rsid w:val="00500E53"/>
    <w:rsid w:val="0050148F"/>
    <w:rsid w:val="00503FFD"/>
    <w:rsid w:val="0050420C"/>
    <w:rsid w:val="00504BD1"/>
    <w:rsid w:val="00505049"/>
    <w:rsid w:val="00505C18"/>
    <w:rsid w:val="00510FDF"/>
    <w:rsid w:val="005129A9"/>
    <w:rsid w:val="00512CE3"/>
    <w:rsid w:val="00513F33"/>
    <w:rsid w:val="00514C7F"/>
    <w:rsid w:val="005153CD"/>
    <w:rsid w:val="00516BEE"/>
    <w:rsid w:val="005175AC"/>
    <w:rsid w:val="00517E2A"/>
    <w:rsid w:val="0052081E"/>
    <w:rsid w:val="005208BE"/>
    <w:rsid w:val="00520ADD"/>
    <w:rsid w:val="00520E36"/>
    <w:rsid w:val="00521645"/>
    <w:rsid w:val="005241A5"/>
    <w:rsid w:val="005242B7"/>
    <w:rsid w:val="005264D9"/>
    <w:rsid w:val="005267A9"/>
    <w:rsid w:val="00526EF7"/>
    <w:rsid w:val="00526FB9"/>
    <w:rsid w:val="00527968"/>
    <w:rsid w:val="00527F5D"/>
    <w:rsid w:val="00527FFE"/>
    <w:rsid w:val="00530DE0"/>
    <w:rsid w:val="00531121"/>
    <w:rsid w:val="005313A4"/>
    <w:rsid w:val="005313DA"/>
    <w:rsid w:val="00533071"/>
    <w:rsid w:val="005335B7"/>
    <w:rsid w:val="00533959"/>
    <w:rsid w:val="00536056"/>
    <w:rsid w:val="005367EB"/>
    <w:rsid w:val="005373B7"/>
    <w:rsid w:val="0054006D"/>
    <w:rsid w:val="00541A10"/>
    <w:rsid w:val="00541ACE"/>
    <w:rsid w:val="0054286D"/>
    <w:rsid w:val="00543194"/>
    <w:rsid w:val="0054366D"/>
    <w:rsid w:val="00544182"/>
    <w:rsid w:val="00544492"/>
    <w:rsid w:val="005448D5"/>
    <w:rsid w:val="005452BE"/>
    <w:rsid w:val="00546676"/>
    <w:rsid w:val="0054674B"/>
    <w:rsid w:val="00546EB0"/>
    <w:rsid w:val="00547496"/>
    <w:rsid w:val="00547D87"/>
    <w:rsid w:val="00552536"/>
    <w:rsid w:val="00553583"/>
    <w:rsid w:val="00553884"/>
    <w:rsid w:val="00553FFE"/>
    <w:rsid w:val="0055688B"/>
    <w:rsid w:val="00557FDC"/>
    <w:rsid w:val="00560106"/>
    <w:rsid w:val="00560BE2"/>
    <w:rsid w:val="00560CE2"/>
    <w:rsid w:val="005615A2"/>
    <w:rsid w:val="005620E5"/>
    <w:rsid w:val="00562FF5"/>
    <w:rsid w:val="0056325B"/>
    <w:rsid w:val="005640BA"/>
    <w:rsid w:val="005651F3"/>
    <w:rsid w:val="00565925"/>
    <w:rsid w:val="0056598F"/>
    <w:rsid w:val="00566B22"/>
    <w:rsid w:val="00566D4B"/>
    <w:rsid w:val="005677C9"/>
    <w:rsid w:val="00570100"/>
    <w:rsid w:val="005702A5"/>
    <w:rsid w:val="00570387"/>
    <w:rsid w:val="005705F0"/>
    <w:rsid w:val="005707A5"/>
    <w:rsid w:val="00573860"/>
    <w:rsid w:val="00573CFE"/>
    <w:rsid w:val="0057442E"/>
    <w:rsid w:val="00574BA6"/>
    <w:rsid w:val="00574DE7"/>
    <w:rsid w:val="00575657"/>
    <w:rsid w:val="005756D1"/>
    <w:rsid w:val="00576CE6"/>
    <w:rsid w:val="00576DEA"/>
    <w:rsid w:val="0057780C"/>
    <w:rsid w:val="00580203"/>
    <w:rsid w:val="0058573A"/>
    <w:rsid w:val="00586122"/>
    <w:rsid w:val="00586DA1"/>
    <w:rsid w:val="00586EF3"/>
    <w:rsid w:val="0059066A"/>
    <w:rsid w:val="00590F02"/>
    <w:rsid w:val="00591678"/>
    <w:rsid w:val="0059244C"/>
    <w:rsid w:val="00594FCE"/>
    <w:rsid w:val="00595EF1"/>
    <w:rsid w:val="0059654E"/>
    <w:rsid w:val="005969B8"/>
    <w:rsid w:val="005975CA"/>
    <w:rsid w:val="005A0CCF"/>
    <w:rsid w:val="005A0DD0"/>
    <w:rsid w:val="005A1993"/>
    <w:rsid w:val="005A1BC1"/>
    <w:rsid w:val="005A1E01"/>
    <w:rsid w:val="005A1E1C"/>
    <w:rsid w:val="005A270C"/>
    <w:rsid w:val="005A33C5"/>
    <w:rsid w:val="005A3581"/>
    <w:rsid w:val="005A3FB1"/>
    <w:rsid w:val="005A3FC6"/>
    <w:rsid w:val="005A4EFE"/>
    <w:rsid w:val="005A50EE"/>
    <w:rsid w:val="005A5695"/>
    <w:rsid w:val="005A69D9"/>
    <w:rsid w:val="005A6EA8"/>
    <w:rsid w:val="005A6F22"/>
    <w:rsid w:val="005A7997"/>
    <w:rsid w:val="005A7A0D"/>
    <w:rsid w:val="005B050B"/>
    <w:rsid w:val="005B0AD4"/>
    <w:rsid w:val="005B10CE"/>
    <w:rsid w:val="005B192F"/>
    <w:rsid w:val="005B2EB1"/>
    <w:rsid w:val="005B2F66"/>
    <w:rsid w:val="005B2F7F"/>
    <w:rsid w:val="005B5BF1"/>
    <w:rsid w:val="005B7810"/>
    <w:rsid w:val="005C06F2"/>
    <w:rsid w:val="005C18AE"/>
    <w:rsid w:val="005C212B"/>
    <w:rsid w:val="005C28D6"/>
    <w:rsid w:val="005C2BD1"/>
    <w:rsid w:val="005C3630"/>
    <w:rsid w:val="005C383E"/>
    <w:rsid w:val="005C390E"/>
    <w:rsid w:val="005C3F32"/>
    <w:rsid w:val="005C50CD"/>
    <w:rsid w:val="005C6FA8"/>
    <w:rsid w:val="005D0BBD"/>
    <w:rsid w:val="005D0DA3"/>
    <w:rsid w:val="005D3005"/>
    <w:rsid w:val="005D405C"/>
    <w:rsid w:val="005D588F"/>
    <w:rsid w:val="005D6462"/>
    <w:rsid w:val="005E0D7A"/>
    <w:rsid w:val="005E1514"/>
    <w:rsid w:val="005E1786"/>
    <w:rsid w:val="005E2400"/>
    <w:rsid w:val="005E2EE3"/>
    <w:rsid w:val="005E3065"/>
    <w:rsid w:val="005E3E76"/>
    <w:rsid w:val="005E4B41"/>
    <w:rsid w:val="005E4CED"/>
    <w:rsid w:val="005E5478"/>
    <w:rsid w:val="005E5DCF"/>
    <w:rsid w:val="005F07BE"/>
    <w:rsid w:val="005F0BB2"/>
    <w:rsid w:val="005F1086"/>
    <w:rsid w:val="005F2931"/>
    <w:rsid w:val="005F2CC4"/>
    <w:rsid w:val="005F2F05"/>
    <w:rsid w:val="005F3692"/>
    <w:rsid w:val="005F511D"/>
    <w:rsid w:val="005F5FB6"/>
    <w:rsid w:val="005F6090"/>
    <w:rsid w:val="005F6960"/>
    <w:rsid w:val="00600299"/>
    <w:rsid w:val="0060100E"/>
    <w:rsid w:val="00601556"/>
    <w:rsid w:val="00601618"/>
    <w:rsid w:val="00601992"/>
    <w:rsid w:val="00602102"/>
    <w:rsid w:val="00602515"/>
    <w:rsid w:val="006039A6"/>
    <w:rsid w:val="00604866"/>
    <w:rsid w:val="006056F5"/>
    <w:rsid w:val="0060599B"/>
    <w:rsid w:val="00605D9C"/>
    <w:rsid w:val="00606503"/>
    <w:rsid w:val="006068C4"/>
    <w:rsid w:val="006074AD"/>
    <w:rsid w:val="00610A37"/>
    <w:rsid w:val="0061136C"/>
    <w:rsid w:val="006138AD"/>
    <w:rsid w:val="00613BDE"/>
    <w:rsid w:val="00613DCC"/>
    <w:rsid w:val="006141A9"/>
    <w:rsid w:val="00614339"/>
    <w:rsid w:val="006143BE"/>
    <w:rsid w:val="00615574"/>
    <w:rsid w:val="00615718"/>
    <w:rsid w:val="00615E94"/>
    <w:rsid w:val="00615F27"/>
    <w:rsid w:val="006166AF"/>
    <w:rsid w:val="0061791A"/>
    <w:rsid w:val="006209FF"/>
    <w:rsid w:val="00620CD6"/>
    <w:rsid w:val="00621EBE"/>
    <w:rsid w:val="0062271F"/>
    <w:rsid w:val="00622A1F"/>
    <w:rsid w:val="00623023"/>
    <w:rsid w:val="006237E0"/>
    <w:rsid w:val="00623BED"/>
    <w:rsid w:val="00623D7E"/>
    <w:rsid w:val="006242B4"/>
    <w:rsid w:val="00625192"/>
    <w:rsid w:val="00625A9B"/>
    <w:rsid w:val="00626580"/>
    <w:rsid w:val="006274F0"/>
    <w:rsid w:val="00630293"/>
    <w:rsid w:val="006304A8"/>
    <w:rsid w:val="00630815"/>
    <w:rsid w:val="00630DAD"/>
    <w:rsid w:val="006319DF"/>
    <w:rsid w:val="00632775"/>
    <w:rsid w:val="00632A7B"/>
    <w:rsid w:val="00633497"/>
    <w:rsid w:val="006337B4"/>
    <w:rsid w:val="00634F7A"/>
    <w:rsid w:val="0063500F"/>
    <w:rsid w:val="0063506F"/>
    <w:rsid w:val="00635408"/>
    <w:rsid w:val="0063590D"/>
    <w:rsid w:val="00635C8D"/>
    <w:rsid w:val="00635D66"/>
    <w:rsid w:val="006414A4"/>
    <w:rsid w:val="00641A7C"/>
    <w:rsid w:val="00642EBF"/>
    <w:rsid w:val="006437F1"/>
    <w:rsid w:val="00643BC6"/>
    <w:rsid w:val="00643DCF"/>
    <w:rsid w:val="00643F0E"/>
    <w:rsid w:val="006449E9"/>
    <w:rsid w:val="00644CAD"/>
    <w:rsid w:val="00645011"/>
    <w:rsid w:val="00645D83"/>
    <w:rsid w:val="006464F3"/>
    <w:rsid w:val="006475FE"/>
    <w:rsid w:val="006507D1"/>
    <w:rsid w:val="00650F51"/>
    <w:rsid w:val="00651885"/>
    <w:rsid w:val="00651F85"/>
    <w:rsid w:val="006522CF"/>
    <w:rsid w:val="006523DD"/>
    <w:rsid w:val="00652723"/>
    <w:rsid w:val="00653439"/>
    <w:rsid w:val="00655CF2"/>
    <w:rsid w:val="00656A7E"/>
    <w:rsid w:val="00657879"/>
    <w:rsid w:val="00657B42"/>
    <w:rsid w:val="00657C2E"/>
    <w:rsid w:val="006605A2"/>
    <w:rsid w:val="0066093E"/>
    <w:rsid w:val="006610D7"/>
    <w:rsid w:val="006616E3"/>
    <w:rsid w:val="00662144"/>
    <w:rsid w:val="0066265A"/>
    <w:rsid w:val="0066286F"/>
    <w:rsid w:val="0066574D"/>
    <w:rsid w:val="006671B8"/>
    <w:rsid w:val="00670A08"/>
    <w:rsid w:val="00671031"/>
    <w:rsid w:val="006710E3"/>
    <w:rsid w:val="00671508"/>
    <w:rsid w:val="00671CE7"/>
    <w:rsid w:val="00673308"/>
    <w:rsid w:val="0067333D"/>
    <w:rsid w:val="006737D4"/>
    <w:rsid w:val="006748B1"/>
    <w:rsid w:val="00675880"/>
    <w:rsid w:val="006759AF"/>
    <w:rsid w:val="00675A33"/>
    <w:rsid w:val="0067645B"/>
    <w:rsid w:val="00676FB7"/>
    <w:rsid w:val="0067703F"/>
    <w:rsid w:val="006776BC"/>
    <w:rsid w:val="006777C7"/>
    <w:rsid w:val="006805CF"/>
    <w:rsid w:val="00681E96"/>
    <w:rsid w:val="00681FEE"/>
    <w:rsid w:val="006826A9"/>
    <w:rsid w:val="00682873"/>
    <w:rsid w:val="00682C03"/>
    <w:rsid w:val="0068310D"/>
    <w:rsid w:val="006836AD"/>
    <w:rsid w:val="0068495F"/>
    <w:rsid w:val="00685245"/>
    <w:rsid w:val="00685BA8"/>
    <w:rsid w:val="006867A5"/>
    <w:rsid w:val="006900EA"/>
    <w:rsid w:val="0069077D"/>
    <w:rsid w:val="00690B6B"/>
    <w:rsid w:val="0069157A"/>
    <w:rsid w:val="00692F48"/>
    <w:rsid w:val="00693462"/>
    <w:rsid w:val="0069410A"/>
    <w:rsid w:val="0069415F"/>
    <w:rsid w:val="006942A7"/>
    <w:rsid w:val="00694659"/>
    <w:rsid w:val="0069560A"/>
    <w:rsid w:val="0069583E"/>
    <w:rsid w:val="00697594"/>
    <w:rsid w:val="006A096A"/>
    <w:rsid w:val="006A0CDB"/>
    <w:rsid w:val="006A1C15"/>
    <w:rsid w:val="006A26A2"/>
    <w:rsid w:val="006A3600"/>
    <w:rsid w:val="006A3758"/>
    <w:rsid w:val="006A3C80"/>
    <w:rsid w:val="006A401E"/>
    <w:rsid w:val="006A4116"/>
    <w:rsid w:val="006A5B7F"/>
    <w:rsid w:val="006A6009"/>
    <w:rsid w:val="006A62D3"/>
    <w:rsid w:val="006A6723"/>
    <w:rsid w:val="006A67F6"/>
    <w:rsid w:val="006A70A4"/>
    <w:rsid w:val="006B057E"/>
    <w:rsid w:val="006B0838"/>
    <w:rsid w:val="006B0C26"/>
    <w:rsid w:val="006B1154"/>
    <w:rsid w:val="006B129A"/>
    <w:rsid w:val="006B2E70"/>
    <w:rsid w:val="006B3494"/>
    <w:rsid w:val="006B3C5E"/>
    <w:rsid w:val="006B3EFE"/>
    <w:rsid w:val="006B41C6"/>
    <w:rsid w:val="006B4668"/>
    <w:rsid w:val="006B5B32"/>
    <w:rsid w:val="006B63BA"/>
    <w:rsid w:val="006B66A0"/>
    <w:rsid w:val="006B6978"/>
    <w:rsid w:val="006B6DCD"/>
    <w:rsid w:val="006B791B"/>
    <w:rsid w:val="006C1725"/>
    <w:rsid w:val="006C1DDB"/>
    <w:rsid w:val="006C1FAF"/>
    <w:rsid w:val="006C2260"/>
    <w:rsid w:val="006C4933"/>
    <w:rsid w:val="006C5897"/>
    <w:rsid w:val="006C5928"/>
    <w:rsid w:val="006C5B1E"/>
    <w:rsid w:val="006C5F34"/>
    <w:rsid w:val="006C6CCF"/>
    <w:rsid w:val="006C7A5E"/>
    <w:rsid w:val="006D0F34"/>
    <w:rsid w:val="006D0FED"/>
    <w:rsid w:val="006D1C31"/>
    <w:rsid w:val="006D2003"/>
    <w:rsid w:val="006D28B4"/>
    <w:rsid w:val="006D370F"/>
    <w:rsid w:val="006D3921"/>
    <w:rsid w:val="006D3D00"/>
    <w:rsid w:val="006D4472"/>
    <w:rsid w:val="006D4BA0"/>
    <w:rsid w:val="006D4FE9"/>
    <w:rsid w:val="006D5627"/>
    <w:rsid w:val="006D5A2E"/>
    <w:rsid w:val="006D5E12"/>
    <w:rsid w:val="006D76ED"/>
    <w:rsid w:val="006D7B91"/>
    <w:rsid w:val="006E00F9"/>
    <w:rsid w:val="006E093C"/>
    <w:rsid w:val="006E0EAA"/>
    <w:rsid w:val="006E1243"/>
    <w:rsid w:val="006E147E"/>
    <w:rsid w:val="006E1F79"/>
    <w:rsid w:val="006E280A"/>
    <w:rsid w:val="006E2AB5"/>
    <w:rsid w:val="006E2FC0"/>
    <w:rsid w:val="006E3CC1"/>
    <w:rsid w:val="006E3EFE"/>
    <w:rsid w:val="006E3FD1"/>
    <w:rsid w:val="006E404C"/>
    <w:rsid w:val="006E4A9C"/>
    <w:rsid w:val="006E5651"/>
    <w:rsid w:val="006E5920"/>
    <w:rsid w:val="006E7BBC"/>
    <w:rsid w:val="006F04CB"/>
    <w:rsid w:val="006F1B0E"/>
    <w:rsid w:val="006F2A3F"/>
    <w:rsid w:val="006F3547"/>
    <w:rsid w:val="006F4A3A"/>
    <w:rsid w:val="006F4BE9"/>
    <w:rsid w:val="006F727F"/>
    <w:rsid w:val="0070086D"/>
    <w:rsid w:val="00700AC3"/>
    <w:rsid w:val="00701509"/>
    <w:rsid w:val="00702BD8"/>
    <w:rsid w:val="007031B2"/>
    <w:rsid w:val="00704E32"/>
    <w:rsid w:val="00704E9D"/>
    <w:rsid w:val="00705087"/>
    <w:rsid w:val="007050F0"/>
    <w:rsid w:val="007052B1"/>
    <w:rsid w:val="00705C9D"/>
    <w:rsid w:val="00705CC7"/>
    <w:rsid w:val="007064BC"/>
    <w:rsid w:val="00707620"/>
    <w:rsid w:val="00707B68"/>
    <w:rsid w:val="00710856"/>
    <w:rsid w:val="00710E1A"/>
    <w:rsid w:val="00712DDA"/>
    <w:rsid w:val="00712FAE"/>
    <w:rsid w:val="00712FDA"/>
    <w:rsid w:val="00715747"/>
    <w:rsid w:val="00716115"/>
    <w:rsid w:val="0071621F"/>
    <w:rsid w:val="0071679B"/>
    <w:rsid w:val="00716C95"/>
    <w:rsid w:val="00717111"/>
    <w:rsid w:val="00721445"/>
    <w:rsid w:val="0072159F"/>
    <w:rsid w:val="00721974"/>
    <w:rsid w:val="00722288"/>
    <w:rsid w:val="00723F4B"/>
    <w:rsid w:val="00724A15"/>
    <w:rsid w:val="00725F5D"/>
    <w:rsid w:val="0072617C"/>
    <w:rsid w:val="007269DB"/>
    <w:rsid w:val="00726DC2"/>
    <w:rsid w:val="007271C8"/>
    <w:rsid w:val="007276CF"/>
    <w:rsid w:val="00727B7C"/>
    <w:rsid w:val="00730057"/>
    <w:rsid w:val="00730CA7"/>
    <w:rsid w:val="007310AB"/>
    <w:rsid w:val="007319A5"/>
    <w:rsid w:val="007322A2"/>
    <w:rsid w:val="0073254B"/>
    <w:rsid w:val="007337C3"/>
    <w:rsid w:val="00733ED0"/>
    <w:rsid w:val="007357EB"/>
    <w:rsid w:val="00736431"/>
    <w:rsid w:val="0073649F"/>
    <w:rsid w:val="0073682C"/>
    <w:rsid w:val="0073687C"/>
    <w:rsid w:val="00736FE4"/>
    <w:rsid w:val="007370CB"/>
    <w:rsid w:val="007373D8"/>
    <w:rsid w:val="0074028D"/>
    <w:rsid w:val="007408E1"/>
    <w:rsid w:val="00740D49"/>
    <w:rsid w:val="007416BB"/>
    <w:rsid w:val="00741ECC"/>
    <w:rsid w:val="00742A35"/>
    <w:rsid w:val="00742E8B"/>
    <w:rsid w:val="0074461D"/>
    <w:rsid w:val="00744658"/>
    <w:rsid w:val="0074609A"/>
    <w:rsid w:val="00746EF2"/>
    <w:rsid w:val="007472F9"/>
    <w:rsid w:val="007477F6"/>
    <w:rsid w:val="00747F6D"/>
    <w:rsid w:val="0075061F"/>
    <w:rsid w:val="00750769"/>
    <w:rsid w:val="0075138D"/>
    <w:rsid w:val="00752622"/>
    <w:rsid w:val="00752E4B"/>
    <w:rsid w:val="00753A5F"/>
    <w:rsid w:val="00753F42"/>
    <w:rsid w:val="007542E6"/>
    <w:rsid w:val="00754EF0"/>
    <w:rsid w:val="007559F8"/>
    <w:rsid w:val="007560B5"/>
    <w:rsid w:val="007560EE"/>
    <w:rsid w:val="007569B2"/>
    <w:rsid w:val="00757C55"/>
    <w:rsid w:val="007600E7"/>
    <w:rsid w:val="00760A46"/>
    <w:rsid w:val="00760B18"/>
    <w:rsid w:val="00760D81"/>
    <w:rsid w:val="0076144B"/>
    <w:rsid w:val="007620F7"/>
    <w:rsid w:val="00762684"/>
    <w:rsid w:val="007632BA"/>
    <w:rsid w:val="00763A2E"/>
    <w:rsid w:val="00763E65"/>
    <w:rsid w:val="00765008"/>
    <w:rsid w:val="00765F04"/>
    <w:rsid w:val="007660FA"/>
    <w:rsid w:val="007661B5"/>
    <w:rsid w:val="0076643C"/>
    <w:rsid w:val="00766E83"/>
    <w:rsid w:val="00766EB6"/>
    <w:rsid w:val="00766EC6"/>
    <w:rsid w:val="007705F8"/>
    <w:rsid w:val="00771571"/>
    <w:rsid w:val="00771964"/>
    <w:rsid w:val="00771F1A"/>
    <w:rsid w:val="0077271F"/>
    <w:rsid w:val="00773086"/>
    <w:rsid w:val="0077320E"/>
    <w:rsid w:val="00773927"/>
    <w:rsid w:val="00773C3B"/>
    <w:rsid w:val="0077619E"/>
    <w:rsid w:val="0077693D"/>
    <w:rsid w:val="007770CF"/>
    <w:rsid w:val="007772E2"/>
    <w:rsid w:val="00777394"/>
    <w:rsid w:val="00777569"/>
    <w:rsid w:val="00777ABD"/>
    <w:rsid w:val="00777C7F"/>
    <w:rsid w:val="0078059C"/>
    <w:rsid w:val="0078093A"/>
    <w:rsid w:val="007818B7"/>
    <w:rsid w:val="00781CA2"/>
    <w:rsid w:val="00782293"/>
    <w:rsid w:val="00783AD2"/>
    <w:rsid w:val="00783D61"/>
    <w:rsid w:val="00786606"/>
    <w:rsid w:val="00786679"/>
    <w:rsid w:val="00787D94"/>
    <w:rsid w:val="00787E78"/>
    <w:rsid w:val="0079052A"/>
    <w:rsid w:val="00790FB3"/>
    <w:rsid w:val="007934BA"/>
    <w:rsid w:val="00794E5B"/>
    <w:rsid w:val="007957C2"/>
    <w:rsid w:val="00795910"/>
    <w:rsid w:val="00795AE9"/>
    <w:rsid w:val="00795DE7"/>
    <w:rsid w:val="007964F8"/>
    <w:rsid w:val="007969EC"/>
    <w:rsid w:val="007A0E29"/>
    <w:rsid w:val="007A12F4"/>
    <w:rsid w:val="007A1A6B"/>
    <w:rsid w:val="007A1FEB"/>
    <w:rsid w:val="007A243A"/>
    <w:rsid w:val="007A427B"/>
    <w:rsid w:val="007A5C44"/>
    <w:rsid w:val="007A60B0"/>
    <w:rsid w:val="007A6F2B"/>
    <w:rsid w:val="007A7812"/>
    <w:rsid w:val="007B0BD0"/>
    <w:rsid w:val="007B2E0A"/>
    <w:rsid w:val="007B398C"/>
    <w:rsid w:val="007B3B8D"/>
    <w:rsid w:val="007B3C26"/>
    <w:rsid w:val="007B3E2F"/>
    <w:rsid w:val="007B41A0"/>
    <w:rsid w:val="007B6F03"/>
    <w:rsid w:val="007B737E"/>
    <w:rsid w:val="007B7CB4"/>
    <w:rsid w:val="007B7F28"/>
    <w:rsid w:val="007C0919"/>
    <w:rsid w:val="007C1944"/>
    <w:rsid w:val="007C2593"/>
    <w:rsid w:val="007C272A"/>
    <w:rsid w:val="007C272F"/>
    <w:rsid w:val="007C4843"/>
    <w:rsid w:val="007C4B90"/>
    <w:rsid w:val="007C4E4B"/>
    <w:rsid w:val="007C5A2F"/>
    <w:rsid w:val="007C6519"/>
    <w:rsid w:val="007C678B"/>
    <w:rsid w:val="007C7106"/>
    <w:rsid w:val="007C7589"/>
    <w:rsid w:val="007C7D39"/>
    <w:rsid w:val="007D0332"/>
    <w:rsid w:val="007D05E7"/>
    <w:rsid w:val="007D0A50"/>
    <w:rsid w:val="007D161C"/>
    <w:rsid w:val="007D2D8B"/>
    <w:rsid w:val="007D5770"/>
    <w:rsid w:val="007D5829"/>
    <w:rsid w:val="007D655B"/>
    <w:rsid w:val="007D707E"/>
    <w:rsid w:val="007E086D"/>
    <w:rsid w:val="007E1041"/>
    <w:rsid w:val="007E202A"/>
    <w:rsid w:val="007E2DA3"/>
    <w:rsid w:val="007E3E3D"/>
    <w:rsid w:val="007E3E54"/>
    <w:rsid w:val="007E3F64"/>
    <w:rsid w:val="007E4B27"/>
    <w:rsid w:val="007E4DF8"/>
    <w:rsid w:val="007E584A"/>
    <w:rsid w:val="007E5E8F"/>
    <w:rsid w:val="007F0623"/>
    <w:rsid w:val="007F0C30"/>
    <w:rsid w:val="007F28C4"/>
    <w:rsid w:val="007F29C2"/>
    <w:rsid w:val="007F2C1A"/>
    <w:rsid w:val="007F34B0"/>
    <w:rsid w:val="007F36CE"/>
    <w:rsid w:val="007F3E68"/>
    <w:rsid w:val="007F4AB8"/>
    <w:rsid w:val="007F55E2"/>
    <w:rsid w:val="007F59CA"/>
    <w:rsid w:val="007F6845"/>
    <w:rsid w:val="007F7152"/>
    <w:rsid w:val="00802F09"/>
    <w:rsid w:val="00803078"/>
    <w:rsid w:val="00805BDA"/>
    <w:rsid w:val="0080634F"/>
    <w:rsid w:val="00807249"/>
    <w:rsid w:val="00807966"/>
    <w:rsid w:val="00810E3F"/>
    <w:rsid w:val="00812187"/>
    <w:rsid w:val="00812ADF"/>
    <w:rsid w:val="0081484E"/>
    <w:rsid w:val="00814984"/>
    <w:rsid w:val="00815D59"/>
    <w:rsid w:val="00816026"/>
    <w:rsid w:val="00816D4A"/>
    <w:rsid w:val="008201C0"/>
    <w:rsid w:val="00821259"/>
    <w:rsid w:val="00821795"/>
    <w:rsid w:val="00822412"/>
    <w:rsid w:val="008239F9"/>
    <w:rsid w:val="00824392"/>
    <w:rsid w:val="00826308"/>
    <w:rsid w:val="00826433"/>
    <w:rsid w:val="0082648A"/>
    <w:rsid w:val="00826A80"/>
    <w:rsid w:val="00826FD6"/>
    <w:rsid w:val="0083029A"/>
    <w:rsid w:val="0083042A"/>
    <w:rsid w:val="008308DA"/>
    <w:rsid w:val="00830DF6"/>
    <w:rsid w:val="00830F8D"/>
    <w:rsid w:val="0083206D"/>
    <w:rsid w:val="00834658"/>
    <w:rsid w:val="0083497D"/>
    <w:rsid w:val="00835155"/>
    <w:rsid w:val="00835981"/>
    <w:rsid w:val="00835DA2"/>
    <w:rsid w:val="008367DE"/>
    <w:rsid w:val="008368BA"/>
    <w:rsid w:val="0083734E"/>
    <w:rsid w:val="008408EF"/>
    <w:rsid w:val="0084123C"/>
    <w:rsid w:val="00841393"/>
    <w:rsid w:val="00841D7A"/>
    <w:rsid w:val="00842DB6"/>
    <w:rsid w:val="008430FB"/>
    <w:rsid w:val="00844DE3"/>
    <w:rsid w:val="00846083"/>
    <w:rsid w:val="00846165"/>
    <w:rsid w:val="00847B4D"/>
    <w:rsid w:val="00847CF1"/>
    <w:rsid w:val="008509EE"/>
    <w:rsid w:val="008527CB"/>
    <w:rsid w:val="008530BB"/>
    <w:rsid w:val="008532F7"/>
    <w:rsid w:val="008537D0"/>
    <w:rsid w:val="00854565"/>
    <w:rsid w:val="008552B8"/>
    <w:rsid w:val="008557C7"/>
    <w:rsid w:val="008557E8"/>
    <w:rsid w:val="0085585D"/>
    <w:rsid w:val="00855BE9"/>
    <w:rsid w:val="00855D59"/>
    <w:rsid w:val="00857846"/>
    <w:rsid w:val="0085786D"/>
    <w:rsid w:val="00857ACF"/>
    <w:rsid w:val="00857C22"/>
    <w:rsid w:val="00861BA4"/>
    <w:rsid w:val="0086282D"/>
    <w:rsid w:val="008632E7"/>
    <w:rsid w:val="008637FB"/>
    <w:rsid w:val="008644C9"/>
    <w:rsid w:val="008646CE"/>
    <w:rsid w:val="00864C17"/>
    <w:rsid w:val="00864DCB"/>
    <w:rsid w:val="008657DA"/>
    <w:rsid w:val="00866091"/>
    <w:rsid w:val="00866603"/>
    <w:rsid w:val="008669B4"/>
    <w:rsid w:val="00867312"/>
    <w:rsid w:val="00867401"/>
    <w:rsid w:val="0086771F"/>
    <w:rsid w:val="00867C55"/>
    <w:rsid w:val="008703B2"/>
    <w:rsid w:val="00870EAE"/>
    <w:rsid w:val="0087115B"/>
    <w:rsid w:val="008711A3"/>
    <w:rsid w:val="0087152B"/>
    <w:rsid w:val="00871D1F"/>
    <w:rsid w:val="00871D22"/>
    <w:rsid w:val="008726C0"/>
    <w:rsid w:val="00872DD9"/>
    <w:rsid w:val="00872F83"/>
    <w:rsid w:val="00873991"/>
    <w:rsid w:val="00873A02"/>
    <w:rsid w:val="00873C7C"/>
    <w:rsid w:val="00875A18"/>
    <w:rsid w:val="008807AE"/>
    <w:rsid w:val="00880FAF"/>
    <w:rsid w:val="0088162F"/>
    <w:rsid w:val="008819B7"/>
    <w:rsid w:val="00882002"/>
    <w:rsid w:val="00882257"/>
    <w:rsid w:val="00882703"/>
    <w:rsid w:val="00882ECC"/>
    <w:rsid w:val="008862AA"/>
    <w:rsid w:val="00886A6C"/>
    <w:rsid w:val="00886F33"/>
    <w:rsid w:val="008874F8"/>
    <w:rsid w:val="0088758F"/>
    <w:rsid w:val="00887600"/>
    <w:rsid w:val="008876BC"/>
    <w:rsid w:val="00887A5E"/>
    <w:rsid w:val="00890062"/>
    <w:rsid w:val="0089052C"/>
    <w:rsid w:val="00890CEB"/>
    <w:rsid w:val="008919C0"/>
    <w:rsid w:val="00891A1D"/>
    <w:rsid w:val="00893064"/>
    <w:rsid w:val="0089469F"/>
    <w:rsid w:val="0089480D"/>
    <w:rsid w:val="008952BF"/>
    <w:rsid w:val="008957C7"/>
    <w:rsid w:val="00895B50"/>
    <w:rsid w:val="00896A9B"/>
    <w:rsid w:val="008A152F"/>
    <w:rsid w:val="008A176C"/>
    <w:rsid w:val="008A2965"/>
    <w:rsid w:val="008A34E6"/>
    <w:rsid w:val="008A38F4"/>
    <w:rsid w:val="008A38FF"/>
    <w:rsid w:val="008A390F"/>
    <w:rsid w:val="008A3BA2"/>
    <w:rsid w:val="008A4984"/>
    <w:rsid w:val="008A554A"/>
    <w:rsid w:val="008A5D97"/>
    <w:rsid w:val="008A5DB3"/>
    <w:rsid w:val="008A6926"/>
    <w:rsid w:val="008A6B7D"/>
    <w:rsid w:val="008A6DFA"/>
    <w:rsid w:val="008B0DD7"/>
    <w:rsid w:val="008B137B"/>
    <w:rsid w:val="008B168C"/>
    <w:rsid w:val="008B3BFB"/>
    <w:rsid w:val="008B3F52"/>
    <w:rsid w:val="008B4C03"/>
    <w:rsid w:val="008B62F3"/>
    <w:rsid w:val="008B65A5"/>
    <w:rsid w:val="008B6819"/>
    <w:rsid w:val="008B737A"/>
    <w:rsid w:val="008C0649"/>
    <w:rsid w:val="008C2D19"/>
    <w:rsid w:val="008C3157"/>
    <w:rsid w:val="008C5228"/>
    <w:rsid w:val="008C5AB9"/>
    <w:rsid w:val="008C66DD"/>
    <w:rsid w:val="008C7474"/>
    <w:rsid w:val="008C79C8"/>
    <w:rsid w:val="008C7A5D"/>
    <w:rsid w:val="008D0C04"/>
    <w:rsid w:val="008D1966"/>
    <w:rsid w:val="008D47F6"/>
    <w:rsid w:val="008D485A"/>
    <w:rsid w:val="008D55C4"/>
    <w:rsid w:val="008D5A0B"/>
    <w:rsid w:val="008D5C26"/>
    <w:rsid w:val="008D5DE6"/>
    <w:rsid w:val="008D61E1"/>
    <w:rsid w:val="008E098E"/>
    <w:rsid w:val="008E194F"/>
    <w:rsid w:val="008E2DCD"/>
    <w:rsid w:val="008E2FFC"/>
    <w:rsid w:val="008E498D"/>
    <w:rsid w:val="008E4BEA"/>
    <w:rsid w:val="008E5004"/>
    <w:rsid w:val="008E6458"/>
    <w:rsid w:val="008E7399"/>
    <w:rsid w:val="008E7DBA"/>
    <w:rsid w:val="008F07DC"/>
    <w:rsid w:val="008F13E6"/>
    <w:rsid w:val="008F1EB2"/>
    <w:rsid w:val="008F1F8F"/>
    <w:rsid w:val="008F2D93"/>
    <w:rsid w:val="008F3576"/>
    <w:rsid w:val="008F3954"/>
    <w:rsid w:val="008F3BA3"/>
    <w:rsid w:val="008F3CCE"/>
    <w:rsid w:val="008F557F"/>
    <w:rsid w:val="008F63C6"/>
    <w:rsid w:val="008F6F26"/>
    <w:rsid w:val="008F7BFA"/>
    <w:rsid w:val="00900F73"/>
    <w:rsid w:val="009011C2"/>
    <w:rsid w:val="00902ABD"/>
    <w:rsid w:val="00903D25"/>
    <w:rsid w:val="00904A49"/>
    <w:rsid w:val="009105DD"/>
    <w:rsid w:val="00910D48"/>
    <w:rsid w:val="00910DBE"/>
    <w:rsid w:val="009129A8"/>
    <w:rsid w:val="00913644"/>
    <w:rsid w:val="0091386D"/>
    <w:rsid w:val="00914139"/>
    <w:rsid w:val="009150FD"/>
    <w:rsid w:val="009154AE"/>
    <w:rsid w:val="00915FF4"/>
    <w:rsid w:val="00916026"/>
    <w:rsid w:val="00916EAE"/>
    <w:rsid w:val="009170C4"/>
    <w:rsid w:val="0091739E"/>
    <w:rsid w:val="009174CE"/>
    <w:rsid w:val="00917D35"/>
    <w:rsid w:val="00917E14"/>
    <w:rsid w:val="009200A2"/>
    <w:rsid w:val="009211E1"/>
    <w:rsid w:val="009228C4"/>
    <w:rsid w:val="00922BC0"/>
    <w:rsid w:val="00923E73"/>
    <w:rsid w:val="00924489"/>
    <w:rsid w:val="0092539F"/>
    <w:rsid w:val="00925639"/>
    <w:rsid w:val="00925E1E"/>
    <w:rsid w:val="00925F25"/>
    <w:rsid w:val="00926684"/>
    <w:rsid w:val="00927396"/>
    <w:rsid w:val="009275A8"/>
    <w:rsid w:val="009278D1"/>
    <w:rsid w:val="00927F96"/>
    <w:rsid w:val="0093021A"/>
    <w:rsid w:val="00930340"/>
    <w:rsid w:val="0093059F"/>
    <w:rsid w:val="0093077E"/>
    <w:rsid w:val="00930B11"/>
    <w:rsid w:val="00931883"/>
    <w:rsid w:val="00932F81"/>
    <w:rsid w:val="009330E7"/>
    <w:rsid w:val="009348BC"/>
    <w:rsid w:val="0093642C"/>
    <w:rsid w:val="009375ED"/>
    <w:rsid w:val="00937801"/>
    <w:rsid w:val="00937913"/>
    <w:rsid w:val="00943048"/>
    <w:rsid w:val="0094327B"/>
    <w:rsid w:val="00944E10"/>
    <w:rsid w:val="00945978"/>
    <w:rsid w:val="0094630B"/>
    <w:rsid w:val="0095047B"/>
    <w:rsid w:val="00950816"/>
    <w:rsid w:val="00951209"/>
    <w:rsid w:val="00952A06"/>
    <w:rsid w:val="00953E92"/>
    <w:rsid w:val="00954361"/>
    <w:rsid w:val="00954EC4"/>
    <w:rsid w:val="00955703"/>
    <w:rsid w:val="00955CA4"/>
    <w:rsid w:val="00957289"/>
    <w:rsid w:val="0095788B"/>
    <w:rsid w:val="00957B3F"/>
    <w:rsid w:val="00960811"/>
    <w:rsid w:val="00961D2A"/>
    <w:rsid w:val="0096260B"/>
    <w:rsid w:val="009634F2"/>
    <w:rsid w:val="0096477A"/>
    <w:rsid w:val="009649B9"/>
    <w:rsid w:val="00966466"/>
    <w:rsid w:val="0096693C"/>
    <w:rsid w:val="00966D53"/>
    <w:rsid w:val="009712DC"/>
    <w:rsid w:val="00971CDB"/>
    <w:rsid w:val="00972585"/>
    <w:rsid w:val="00973483"/>
    <w:rsid w:val="00974DD8"/>
    <w:rsid w:val="009761AD"/>
    <w:rsid w:val="00977147"/>
    <w:rsid w:val="00977D1D"/>
    <w:rsid w:val="00980936"/>
    <w:rsid w:val="00980E20"/>
    <w:rsid w:val="00980FEA"/>
    <w:rsid w:val="00981563"/>
    <w:rsid w:val="00982253"/>
    <w:rsid w:val="009826F0"/>
    <w:rsid w:val="00983C84"/>
    <w:rsid w:val="0098458C"/>
    <w:rsid w:val="009849BC"/>
    <w:rsid w:val="00984F2A"/>
    <w:rsid w:val="00985517"/>
    <w:rsid w:val="00985957"/>
    <w:rsid w:val="00985C7B"/>
    <w:rsid w:val="00985D43"/>
    <w:rsid w:val="009868A0"/>
    <w:rsid w:val="0099065A"/>
    <w:rsid w:val="00991188"/>
    <w:rsid w:val="009913BB"/>
    <w:rsid w:val="00991F45"/>
    <w:rsid w:val="00992D89"/>
    <w:rsid w:val="00995B6C"/>
    <w:rsid w:val="00996D43"/>
    <w:rsid w:val="00997239"/>
    <w:rsid w:val="00997A99"/>
    <w:rsid w:val="00997D23"/>
    <w:rsid w:val="009A06C9"/>
    <w:rsid w:val="009A1DAB"/>
    <w:rsid w:val="009A2424"/>
    <w:rsid w:val="009A3130"/>
    <w:rsid w:val="009A3A96"/>
    <w:rsid w:val="009A4058"/>
    <w:rsid w:val="009A45BD"/>
    <w:rsid w:val="009A62CC"/>
    <w:rsid w:val="009A657E"/>
    <w:rsid w:val="009A691D"/>
    <w:rsid w:val="009A7359"/>
    <w:rsid w:val="009B0150"/>
    <w:rsid w:val="009B0A72"/>
    <w:rsid w:val="009B27D3"/>
    <w:rsid w:val="009B32D2"/>
    <w:rsid w:val="009B356D"/>
    <w:rsid w:val="009B3756"/>
    <w:rsid w:val="009B4818"/>
    <w:rsid w:val="009B55A1"/>
    <w:rsid w:val="009B571C"/>
    <w:rsid w:val="009B58C7"/>
    <w:rsid w:val="009B5A4F"/>
    <w:rsid w:val="009B5DCB"/>
    <w:rsid w:val="009B7C2B"/>
    <w:rsid w:val="009C06BD"/>
    <w:rsid w:val="009C102A"/>
    <w:rsid w:val="009C27EF"/>
    <w:rsid w:val="009C3494"/>
    <w:rsid w:val="009C3D2A"/>
    <w:rsid w:val="009C5D71"/>
    <w:rsid w:val="009C5F19"/>
    <w:rsid w:val="009C69BC"/>
    <w:rsid w:val="009C76D8"/>
    <w:rsid w:val="009C77EE"/>
    <w:rsid w:val="009D0284"/>
    <w:rsid w:val="009D08D2"/>
    <w:rsid w:val="009D11D0"/>
    <w:rsid w:val="009D151E"/>
    <w:rsid w:val="009D2348"/>
    <w:rsid w:val="009D24B4"/>
    <w:rsid w:val="009D26E3"/>
    <w:rsid w:val="009D28CD"/>
    <w:rsid w:val="009D2BF6"/>
    <w:rsid w:val="009D4CF3"/>
    <w:rsid w:val="009D4DA5"/>
    <w:rsid w:val="009D6079"/>
    <w:rsid w:val="009D60D2"/>
    <w:rsid w:val="009D6226"/>
    <w:rsid w:val="009D7881"/>
    <w:rsid w:val="009D7C3B"/>
    <w:rsid w:val="009E1694"/>
    <w:rsid w:val="009E1F77"/>
    <w:rsid w:val="009E1F9D"/>
    <w:rsid w:val="009E23A2"/>
    <w:rsid w:val="009E27D5"/>
    <w:rsid w:val="009E3246"/>
    <w:rsid w:val="009E462D"/>
    <w:rsid w:val="009E472D"/>
    <w:rsid w:val="009E4843"/>
    <w:rsid w:val="009E5BE9"/>
    <w:rsid w:val="009E5C08"/>
    <w:rsid w:val="009E7004"/>
    <w:rsid w:val="009E7FEC"/>
    <w:rsid w:val="009F01C5"/>
    <w:rsid w:val="009F0909"/>
    <w:rsid w:val="009F162B"/>
    <w:rsid w:val="009F2F7B"/>
    <w:rsid w:val="009F6BFE"/>
    <w:rsid w:val="009F7300"/>
    <w:rsid w:val="009F7871"/>
    <w:rsid w:val="00A00E89"/>
    <w:rsid w:val="00A019F9"/>
    <w:rsid w:val="00A024D2"/>
    <w:rsid w:val="00A03608"/>
    <w:rsid w:val="00A03F78"/>
    <w:rsid w:val="00A04456"/>
    <w:rsid w:val="00A046ED"/>
    <w:rsid w:val="00A04A78"/>
    <w:rsid w:val="00A05864"/>
    <w:rsid w:val="00A0679A"/>
    <w:rsid w:val="00A0761E"/>
    <w:rsid w:val="00A07C02"/>
    <w:rsid w:val="00A10905"/>
    <w:rsid w:val="00A1224F"/>
    <w:rsid w:val="00A1314C"/>
    <w:rsid w:val="00A1402E"/>
    <w:rsid w:val="00A14C96"/>
    <w:rsid w:val="00A15580"/>
    <w:rsid w:val="00A15E06"/>
    <w:rsid w:val="00A17FA5"/>
    <w:rsid w:val="00A200A0"/>
    <w:rsid w:val="00A20DE1"/>
    <w:rsid w:val="00A2329C"/>
    <w:rsid w:val="00A2334C"/>
    <w:rsid w:val="00A2354D"/>
    <w:rsid w:val="00A23A3B"/>
    <w:rsid w:val="00A266E3"/>
    <w:rsid w:val="00A272F8"/>
    <w:rsid w:val="00A308FC"/>
    <w:rsid w:val="00A31F1D"/>
    <w:rsid w:val="00A32953"/>
    <w:rsid w:val="00A33FA4"/>
    <w:rsid w:val="00A343ED"/>
    <w:rsid w:val="00A34655"/>
    <w:rsid w:val="00A356E5"/>
    <w:rsid w:val="00A35800"/>
    <w:rsid w:val="00A35895"/>
    <w:rsid w:val="00A3627C"/>
    <w:rsid w:val="00A362A1"/>
    <w:rsid w:val="00A37450"/>
    <w:rsid w:val="00A4015B"/>
    <w:rsid w:val="00A40329"/>
    <w:rsid w:val="00A40AD9"/>
    <w:rsid w:val="00A41D18"/>
    <w:rsid w:val="00A43972"/>
    <w:rsid w:val="00A44153"/>
    <w:rsid w:val="00A44509"/>
    <w:rsid w:val="00A4487D"/>
    <w:rsid w:val="00A4488E"/>
    <w:rsid w:val="00A4557B"/>
    <w:rsid w:val="00A4583B"/>
    <w:rsid w:val="00A465B7"/>
    <w:rsid w:val="00A46A27"/>
    <w:rsid w:val="00A47468"/>
    <w:rsid w:val="00A526AC"/>
    <w:rsid w:val="00A53426"/>
    <w:rsid w:val="00A557BD"/>
    <w:rsid w:val="00A56087"/>
    <w:rsid w:val="00A565E3"/>
    <w:rsid w:val="00A60AD4"/>
    <w:rsid w:val="00A61D6A"/>
    <w:rsid w:val="00A62B4C"/>
    <w:rsid w:val="00A63388"/>
    <w:rsid w:val="00A642CF"/>
    <w:rsid w:val="00A64560"/>
    <w:rsid w:val="00A65BD8"/>
    <w:rsid w:val="00A70692"/>
    <w:rsid w:val="00A712F7"/>
    <w:rsid w:val="00A71B8A"/>
    <w:rsid w:val="00A72318"/>
    <w:rsid w:val="00A72CBC"/>
    <w:rsid w:val="00A7300D"/>
    <w:rsid w:val="00A73840"/>
    <w:rsid w:val="00A740F7"/>
    <w:rsid w:val="00A74B0E"/>
    <w:rsid w:val="00A75016"/>
    <w:rsid w:val="00A7519C"/>
    <w:rsid w:val="00A7558D"/>
    <w:rsid w:val="00A76A93"/>
    <w:rsid w:val="00A76DD4"/>
    <w:rsid w:val="00A77569"/>
    <w:rsid w:val="00A80177"/>
    <w:rsid w:val="00A809F9"/>
    <w:rsid w:val="00A80C8B"/>
    <w:rsid w:val="00A81DD8"/>
    <w:rsid w:val="00A83AF5"/>
    <w:rsid w:val="00A8458F"/>
    <w:rsid w:val="00A85622"/>
    <w:rsid w:val="00A85DB1"/>
    <w:rsid w:val="00A86065"/>
    <w:rsid w:val="00A86EF6"/>
    <w:rsid w:val="00A877C1"/>
    <w:rsid w:val="00A878CF"/>
    <w:rsid w:val="00A87BEB"/>
    <w:rsid w:val="00A906DB"/>
    <w:rsid w:val="00A907C9"/>
    <w:rsid w:val="00A90860"/>
    <w:rsid w:val="00A91526"/>
    <w:rsid w:val="00A91DBB"/>
    <w:rsid w:val="00A92D37"/>
    <w:rsid w:val="00A93050"/>
    <w:rsid w:val="00A93A00"/>
    <w:rsid w:val="00A946B4"/>
    <w:rsid w:val="00A9548D"/>
    <w:rsid w:val="00A96C66"/>
    <w:rsid w:val="00A97061"/>
    <w:rsid w:val="00A97F9E"/>
    <w:rsid w:val="00AA0813"/>
    <w:rsid w:val="00AA0D1D"/>
    <w:rsid w:val="00AA363D"/>
    <w:rsid w:val="00AA36DB"/>
    <w:rsid w:val="00AA45E4"/>
    <w:rsid w:val="00AA4CB4"/>
    <w:rsid w:val="00AA4CEB"/>
    <w:rsid w:val="00AA50EB"/>
    <w:rsid w:val="00AA58DA"/>
    <w:rsid w:val="00AA5D8F"/>
    <w:rsid w:val="00AA6CB6"/>
    <w:rsid w:val="00AB16AD"/>
    <w:rsid w:val="00AB198E"/>
    <w:rsid w:val="00AB2057"/>
    <w:rsid w:val="00AB2277"/>
    <w:rsid w:val="00AB33B2"/>
    <w:rsid w:val="00AB341D"/>
    <w:rsid w:val="00AB3423"/>
    <w:rsid w:val="00AB3EB3"/>
    <w:rsid w:val="00AB4AAC"/>
    <w:rsid w:val="00AB5EA6"/>
    <w:rsid w:val="00AB61A1"/>
    <w:rsid w:val="00AB6E1B"/>
    <w:rsid w:val="00AC02C4"/>
    <w:rsid w:val="00AC077B"/>
    <w:rsid w:val="00AC1200"/>
    <w:rsid w:val="00AC192F"/>
    <w:rsid w:val="00AC1A80"/>
    <w:rsid w:val="00AC24A6"/>
    <w:rsid w:val="00AC2A3D"/>
    <w:rsid w:val="00AC2CD8"/>
    <w:rsid w:val="00AC2DC8"/>
    <w:rsid w:val="00AC45C7"/>
    <w:rsid w:val="00AC6B21"/>
    <w:rsid w:val="00AD10A2"/>
    <w:rsid w:val="00AD1329"/>
    <w:rsid w:val="00AD2464"/>
    <w:rsid w:val="00AD3171"/>
    <w:rsid w:val="00AD3713"/>
    <w:rsid w:val="00AD395E"/>
    <w:rsid w:val="00AD4306"/>
    <w:rsid w:val="00AD43C8"/>
    <w:rsid w:val="00AD5B0E"/>
    <w:rsid w:val="00AD5B49"/>
    <w:rsid w:val="00AD5B93"/>
    <w:rsid w:val="00AD5EAD"/>
    <w:rsid w:val="00AD6898"/>
    <w:rsid w:val="00AD75A8"/>
    <w:rsid w:val="00AE1028"/>
    <w:rsid w:val="00AE3A9B"/>
    <w:rsid w:val="00AE3E9E"/>
    <w:rsid w:val="00AE4BBA"/>
    <w:rsid w:val="00AE5FA0"/>
    <w:rsid w:val="00AE62C2"/>
    <w:rsid w:val="00AE6410"/>
    <w:rsid w:val="00AF016B"/>
    <w:rsid w:val="00AF0713"/>
    <w:rsid w:val="00AF13BF"/>
    <w:rsid w:val="00AF147B"/>
    <w:rsid w:val="00AF1F96"/>
    <w:rsid w:val="00AF2535"/>
    <w:rsid w:val="00AF3548"/>
    <w:rsid w:val="00AF4180"/>
    <w:rsid w:val="00AF5433"/>
    <w:rsid w:val="00AF575E"/>
    <w:rsid w:val="00AF6400"/>
    <w:rsid w:val="00AF640D"/>
    <w:rsid w:val="00B00D48"/>
    <w:rsid w:val="00B01BC6"/>
    <w:rsid w:val="00B01CB2"/>
    <w:rsid w:val="00B01F8F"/>
    <w:rsid w:val="00B02F94"/>
    <w:rsid w:val="00B03FE9"/>
    <w:rsid w:val="00B04514"/>
    <w:rsid w:val="00B04B47"/>
    <w:rsid w:val="00B0515E"/>
    <w:rsid w:val="00B052C8"/>
    <w:rsid w:val="00B05809"/>
    <w:rsid w:val="00B0604F"/>
    <w:rsid w:val="00B06991"/>
    <w:rsid w:val="00B06B54"/>
    <w:rsid w:val="00B06E80"/>
    <w:rsid w:val="00B07A10"/>
    <w:rsid w:val="00B07B5A"/>
    <w:rsid w:val="00B07FD2"/>
    <w:rsid w:val="00B1094B"/>
    <w:rsid w:val="00B10A58"/>
    <w:rsid w:val="00B1179C"/>
    <w:rsid w:val="00B11880"/>
    <w:rsid w:val="00B11BEB"/>
    <w:rsid w:val="00B12068"/>
    <w:rsid w:val="00B12374"/>
    <w:rsid w:val="00B13208"/>
    <w:rsid w:val="00B13D20"/>
    <w:rsid w:val="00B13DD6"/>
    <w:rsid w:val="00B13E4B"/>
    <w:rsid w:val="00B1457B"/>
    <w:rsid w:val="00B1551F"/>
    <w:rsid w:val="00B16713"/>
    <w:rsid w:val="00B1759E"/>
    <w:rsid w:val="00B17861"/>
    <w:rsid w:val="00B200A5"/>
    <w:rsid w:val="00B203DB"/>
    <w:rsid w:val="00B205A0"/>
    <w:rsid w:val="00B20DDB"/>
    <w:rsid w:val="00B2133B"/>
    <w:rsid w:val="00B2186F"/>
    <w:rsid w:val="00B2223B"/>
    <w:rsid w:val="00B22619"/>
    <w:rsid w:val="00B22C85"/>
    <w:rsid w:val="00B22EBC"/>
    <w:rsid w:val="00B232F3"/>
    <w:rsid w:val="00B2449D"/>
    <w:rsid w:val="00B24636"/>
    <w:rsid w:val="00B24AB4"/>
    <w:rsid w:val="00B24AB5"/>
    <w:rsid w:val="00B25326"/>
    <w:rsid w:val="00B25B72"/>
    <w:rsid w:val="00B25D30"/>
    <w:rsid w:val="00B25EA3"/>
    <w:rsid w:val="00B3007A"/>
    <w:rsid w:val="00B301C8"/>
    <w:rsid w:val="00B30807"/>
    <w:rsid w:val="00B313F0"/>
    <w:rsid w:val="00B314FC"/>
    <w:rsid w:val="00B31CD0"/>
    <w:rsid w:val="00B31EAE"/>
    <w:rsid w:val="00B3373F"/>
    <w:rsid w:val="00B348A4"/>
    <w:rsid w:val="00B353BA"/>
    <w:rsid w:val="00B35750"/>
    <w:rsid w:val="00B36985"/>
    <w:rsid w:val="00B37873"/>
    <w:rsid w:val="00B40E30"/>
    <w:rsid w:val="00B41102"/>
    <w:rsid w:val="00B417C4"/>
    <w:rsid w:val="00B41840"/>
    <w:rsid w:val="00B42D80"/>
    <w:rsid w:val="00B4379F"/>
    <w:rsid w:val="00B439AE"/>
    <w:rsid w:val="00B4632C"/>
    <w:rsid w:val="00B47555"/>
    <w:rsid w:val="00B477CF"/>
    <w:rsid w:val="00B5087B"/>
    <w:rsid w:val="00B509BE"/>
    <w:rsid w:val="00B50C11"/>
    <w:rsid w:val="00B517F6"/>
    <w:rsid w:val="00B51DCF"/>
    <w:rsid w:val="00B5220A"/>
    <w:rsid w:val="00B522CF"/>
    <w:rsid w:val="00B52D57"/>
    <w:rsid w:val="00B53080"/>
    <w:rsid w:val="00B5425F"/>
    <w:rsid w:val="00B54313"/>
    <w:rsid w:val="00B5492F"/>
    <w:rsid w:val="00B54DD7"/>
    <w:rsid w:val="00B56C3E"/>
    <w:rsid w:val="00B57378"/>
    <w:rsid w:val="00B577AD"/>
    <w:rsid w:val="00B6043F"/>
    <w:rsid w:val="00B605BD"/>
    <w:rsid w:val="00B6130B"/>
    <w:rsid w:val="00B615B3"/>
    <w:rsid w:val="00B630DA"/>
    <w:rsid w:val="00B63538"/>
    <w:rsid w:val="00B64DDD"/>
    <w:rsid w:val="00B65630"/>
    <w:rsid w:val="00B6578F"/>
    <w:rsid w:val="00B65EF7"/>
    <w:rsid w:val="00B6620D"/>
    <w:rsid w:val="00B664A9"/>
    <w:rsid w:val="00B66AA8"/>
    <w:rsid w:val="00B70A84"/>
    <w:rsid w:val="00B70BE7"/>
    <w:rsid w:val="00B72234"/>
    <w:rsid w:val="00B72329"/>
    <w:rsid w:val="00B734B8"/>
    <w:rsid w:val="00B73657"/>
    <w:rsid w:val="00B73821"/>
    <w:rsid w:val="00B73B1C"/>
    <w:rsid w:val="00B756C2"/>
    <w:rsid w:val="00B7581C"/>
    <w:rsid w:val="00B758A7"/>
    <w:rsid w:val="00B75D1B"/>
    <w:rsid w:val="00B76561"/>
    <w:rsid w:val="00B7733B"/>
    <w:rsid w:val="00B77671"/>
    <w:rsid w:val="00B77BD5"/>
    <w:rsid w:val="00B77CCE"/>
    <w:rsid w:val="00B80C39"/>
    <w:rsid w:val="00B80F7B"/>
    <w:rsid w:val="00B8100C"/>
    <w:rsid w:val="00B81484"/>
    <w:rsid w:val="00B81582"/>
    <w:rsid w:val="00B8257A"/>
    <w:rsid w:val="00B82D43"/>
    <w:rsid w:val="00B82FFE"/>
    <w:rsid w:val="00B84E18"/>
    <w:rsid w:val="00B8526F"/>
    <w:rsid w:val="00B853D0"/>
    <w:rsid w:val="00B8738F"/>
    <w:rsid w:val="00B87AEA"/>
    <w:rsid w:val="00B906E2"/>
    <w:rsid w:val="00B9140C"/>
    <w:rsid w:val="00B92245"/>
    <w:rsid w:val="00B92537"/>
    <w:rsid w:val="00B92CE3"/>
    <w:rsid w:val="00B93F5C"/>
    <w:rsid w:val="00B948B7"/>
    <w:rsid w:val="00B965B5"/>
    <w:rsid w:val="00B96B70"/>
    <w:rsid w:val="00B97B2D"/>
    <w:rsid w:val="00BA0813"/>
    <w:rsid w:val="00BA474B"/>
    <w:rsid w:val="00BA51E4"/>
    <w:rsid w:val="00BA58A2"/>
    <w:rsid w:val="00BA5D1A"/>
    <w:rsid w:val="00BA667E"/>
    <w:rsid w:val="00BA66CB"/>
    <w:rsid w:val="00BA7CCA"/>
    <w:rsid w:val="00BB1FB0"/>
    <w:rsid w:val="00BB2360"/>
    <w:rsid w:val="00BB336B"/>
    <w:rsid w:val="00BB344B"/>
    <w:rsid w:val="00BB56AB"/>
    <w:rsid w:val="00BB6303"/>
    <w:rsid w:val="00BB65FB"/>
    <w:rsid w:val="00BB6880"/>
    <w:rsid w:val="00BB6ED4"/>
    <w:rsid w:val="00BB7171"/>
    <w:rsid w:val="00BB7A03"/>
    <w:rsid w:val="00BB7EEF"/>
    <w:rsid w:val="00BC117D"/>
    <w:rsid w:val="00BC13F4"/>
    <w:rsid w:val="00BC25D7"/>
    <w:rsid w:val="00BC3284"/>
    <w:rsid w:val="00BC3B7A"/>
    <w:rsid w:val="00BC3C73"/>
    <w:rsid w:val="00BC4910"/>
    <w:rsid w:val="00BC53C4"/>
    <w:rsid w:val="00BC5B4A"/>
    <w:rsid w:val="00BC6271"/>
    <w:rsid w:val="00BC658A"/>
    <w:rsid w:val="00BC683C"/>
    <w:rsid w:val="00BC7803"/>
    <w:rsid w:val="00BC79BB"/>
    <w:rsid w:val="00BD001F"/>
    <w:rsid w:val="00BD12E4"/>
    <w:rsid w:val="00BD1E66"/>
    <w:rsid w:val="00BD1E7E"/>
    <w:rsid w:val="00BD2C1C"/>
    <w:rsid w:val="00BD302B"/>
    <w:rsid w:val="00BD3BA4"/>
    <w:rsid w:val="00BD5B59"/>
    <w:rsid w:val="00BD6580"/>
    <w:rsid w:val="00BD6DB9"/>
    <w:rsid w:val="00BD7529"/>
    <w:rsid w:val="00BE0780"/>
    <w:rsid w:val="00BE13BA"/>
    <w:rsid w:val="00BE197E"/>
    <w:rsid w:val="00BE2470"/>
    <w:rsid w:val="00BE28C7"/>
    <w:rsid w:val="00BE41FD"/>
    <w:rsid w:val="00BE47A9"/>
    <w:rsid w:val="00BE551E"/>
    <w:rsid w:val="00BE71B3"/>
    <w:rsid w:val="00BE7282"/>
    <w:rsid w:val="00BE742B"/>
    <w:rsid w:val="00BE77C3"/>
    <w:rsid w:val="00BE79CF"/>
    <w:rsid w:val="00BF0082"/>
    <w:rsid w:val="00BF0373"/>
    <w:rsid w:val="00BF081C"/>
    <w:rsid w:val="00BF0C73"/>
    <w:rsid w:val="00BF0E9F"/>
    <w:rsid w:val="00BF15A1"/>
    <w:rsid w:val="00BF15C6"/>
    <w:rsid w:val="00BF1ABE"/>
    <w:rsid w:val="00BF2D56"/>
    <w:rsid w:val="00BF3246"/>
    <w:rsid w:val="00BF3AF2"/>
    <w:rsid w:val="00BF41DE"/>
    <w:rsid w:val="00BF4F59"/>
    <w:rsid w:val="00BF5076"/>
    <w:rsid w:val="00BF70B6"/>
    <w:rsid w:val="00BF711E"/>
    <w:rsid w:val="00BF721A"/>
    <w:rsid w:val="00BF7D42"/>
    <w:rsid w:val="00C00761"/>
    <w:rsid w:val="00C00FDA"/>
    <w:rsid w:val="00C0235A"/>
    <w:rsid w:val="00C03AE4"/>
    <w:rsid w:val="00C0486F"/>
    <w:rsid w:val="00C04B85"/>
    <w:rsid w:val="00C05A25"/>
    <w:rsid w:val="00C06522"/>
    <w:rsid w:val="00C06582"/>
    <w:rsid w:val="00C0669A"/>
    <w:rsid w:val="00C104E2"/>
    <w:rsid w:val="00C126CB"/>
    <w:rsid w:val="00C12E49"/>
    <w:rsid w:val="00C12E82"/>
    <w:rsid w:val="00C13473"/>
    <w:rsid w:val="00C13695"/>
    <w:rsid w:val="00C1386E"/>
    <w:rsid w:val="00C13B7C"/>
    <w:rsid w:val="00C13C72"/>
    <w:rsid w:val="00C145AC"/>
    <w:rsid w:val="00C14A09"/>
    <w:rsid w:val="00C15323"/>
    <w:rsid w:val="00C154F5"/>
    <w:rsid w:val="00C17140"/>
    <w:rsid w:val="00C17B3E"/>
    <w:rsid w:val="00C17CDC"/>
    <w:rsid w:val="00C17E53"/>
    <w:rsid w:val="00C221EF"/>
    <w:rsid w:val="00C224D6"/>
    <w:rsid w:val="00C225BE"/>
    <w:rsid w:val="00C227CC"/>
    <w:rsid w:val="00C22DD7"/>
    <w:rsid w:val="00C234AA"/>
    <w:rsid w:val="00C23858"/>
    <w:rsid w:val="00C242E0"/>
    <w:rsid w:val="00C25A4E"/>
    <w:rsid w:val="00C276F6"/>
    <w:rsid w:val="00C3165A"/>
    <w:rsid w:val="00C31BD2"/>
    <w:rsid w:val="00C335A4"/>
    <w:rsid w:val="00C33BA9"/>
    <w:rsid w:val="00C34922"/>
    <w:rsid w:val="00C3590F"/>
    <w:rsid w:val="00C35B73"/>
    <w:rsid w:val="00C35DE1"/>
    <w:rsid w:val="00C361B7"/>
    <w:rsid w:val="00C36237"/>
    <w:rsid w:val="00C36BE7"/>
    <w:rsid w:val="00C36E39"/>
    <w:rsid w:val="00C40248"/>
    <w:rsid w:val="00C41669"/>
    <w:rsid w:val="00C41798"/>
    <w:rsid w:val="00C419D5"/>
    <w:rsid w:val="00C41CF7"/>
    <w:rsid w:val="00C42396"/>
    <w:rsid w:val="00C424B7"/>
    <w:rsid w:val="00C429A3"/>
    <w:rsid w:val="00C4364F"/>
    <w:rsid w:val="00C43C73"/>
    <w:rsid w:val="00C44D7B"/>
    <w:rsid w:val="00C4538D"/>
    <w:rsid w:val="00C473A0"/>
    <w:rsid w:val="00C47831"/>
    <w:rsid w:val="00C47A9E"/>
    <w:rsid w:val="00C50368"/>
    <w:rsid w:val="00C506A4"/>
    <w:rsid w:val="00C517B8"/>
    <w:rsid w:val="00C52ACC"/>
    <w:rsid w:val="00C52B53"/>
    <w:rsid w:val="00C54AA2"/>
    <w:rsid w:val="00C56305"/>
    <w:rsid w:val="00C61CF4"/>
    <w:rsid w:val="00C62AB4"/>
    <w:rsid w:val="00C630D6"/>
    <w:rsid w:val="00C634E9"/>
    <w:rsid w:val="00C649BE"/>
    <w:rsid w:val="00C65E7F"/>
    <w:rsid w:val="00C663D0"/>
    <w:rsid w:val="00C66FD9"/>
    <w:rsid w:val="00C67065"/>
    <w:rsid w:val="00C67C7A"/>
    <w:rsid w:val="00C67F60"/>
    <w:rsid w:val="00C71F21"/>
    <w:rsid w:val="00C71F8D"/>
    <w:rsid w:val="00C7207B"/>
    <w:rsid w:val="00C72162"/>
    <w:rsid w:val="00C73865"/>
    <w:rsid w:val="00C740BF"/>
    <w:rsid w:val="00C76482"/>
    <w:rsid w:val="00C76743"/>
    <w:rsid w:val="00C76745"/>
    <w:rsid w:val="00C7682C"/>
    <w:rsid w:val="00C7743A"/>
    <w:rsid w:val="00C7761F"/>
    <w:rsid w:val="00C778D1"/>
    <w:rsid w:val="00C77C17"/>
    <w:rsid w:val="00C80288"/>
    <w:rsid w:val="00C80344"/>
    <w:rsid w:val="00C81685"/>
    <w:rsid w:val="00C81FB8"/>
    <w:rsid w:val="00C82D52"/>
    <w:rsid w:val="00C8319F"/>
    <w:rsid w:val="00C85792"/>
    <w:rsid w:val="00C865D3"/>
    <w:rsid w:val="00C866B6"/>
    <w:rsid w:val="00C86CB7"/>
    <w:rsid w:val="00C86FD2"/>
    <w:rsid w:val="00C870D8"/>
    <w:rsid w:val="00C8781C"/>
    <w:rsid w:val="00C87EC9"/>
    <w:rsid w:val="00C87F79"/>
    <w:rsid w:val="00C90CB7"/>
    <w:rsid w:val="00C91710"/>
    <w:rsid w:val="00C92274"/>
    <w:rsid w:val="00C92456"/>
    <w:rsid w:val="00C92BE0"/>
    <w:rsid w:val="00C93626"/>
    <w:rsid w:val="00C96A15"/>
    <w:rsid w:val="00C96B94"/>
    <w:rsid w:val="00CA0A1E"/>
    <w:rsid w:val="00CA154D"/>
    <w:rsid w:val="00CA2653"/>
    <w:rsid w:val="00CA3A99"/>
    <w:rsid w:val="00CA3AA6"/>
    <w:rsid w:val="00CA53FE"/>
    <w:rsid w:val="00CA551E"/>
    <w:rsid w:val="00CA55B8"/>
    <w:rsid w:val="00CA574E"/>
    <w:rsid w:val="00CA7BE9"/>
    <w:rsid w:val="00CB09C4"/>
    <w:rsid w:val="00CB0D5D"/>
    <w:rsid w:val="00CB1AE9"/>
    <w:rsid w:val="00CB1B58"/>
    <w:rsid w:val="00CB1BEF"/>
    <w:rsid w:val="00CB1FA6"/>
    <w:rsid w:val="00CB251A"/>
    <w:rsid w:val="00CB2689"/>
    <w:rsid w:val="00CB304F"/>
    <w:rsid w:val="00CB4DBE"/>
    <w:rsid w:val="00CB50C2"/>
    <w:rsid w:val="00CB510D"/>
    <w:rsid w:val="00CB510E"/>
    <w:rsid w:val="00CB5ECC"/>
    <w:rsid w:val="00CB7169"/>
    <w:rsid w:val="00CB74C8"/>
    <w:rsid w:val="00CB751B"/>
    <w:rsid w:val="00CB7C09"/>
    <w:rsid w:val="00CC1F30"/>
    <w:rsid w:val="00CC2954"/>
    <w:rsid w:val="00CC329C"/>
    <w:rsid w:val="00CC367F"/>
    <w:rsid w:val="00CC4A03"/>
    <w:rsid w:val="00CC6242"/>
    <w:rsid w:val="00CC66E6"/>
    <w:rsid w:val="00CC6B9D"/>
    <w:rsid w:val="00CC6D21"/>
    <w:rsid w:val="00CC78DF"/>
    <w:rsid w:val="00CC7C3C"/>
    <w:rsid w:val="00CD02CD"/>
    <w:rsid w:val="00CD047B"/>
    <w:rsid w:val="00CD1706"/>
    <w:rsid w:val="00CD1BB4"/>
    <w:rsid w:val="00CD2005"/>
    <w:rsid w:val="00CD2B4C"/>
    <w:rsid w:val="00CD406F"/>
    <w:rsid w:val="00CD4C6E"/>
    <w:rsid w:val="00CD5E3C"/>
    <w:rsid w:val="00CE0D5A"/>
    <w:rsid w:val="00CE29D4"/>
    <w:rsid w:val="00CE4A12"/>
    <w:rsid w:val="00CE6118"/>
    <w:rsid w:val="00CE6CF3"/>
    <w:rsid w:val="00CE7AE5"/>
    <w:rsid w:val="00CE7F35"/>
    <w:rsid w:val="00CF0169"/>
    <w:rsid w:val="00CF063F"/>
    <w:rsid w:val="00CF1092"/>
    <w:rsid w:val="00CF1D9D"/>
    <w:rsid w:val="00CF34C9"/>
    <w:rsid w:val="00CF4009"/>
    <w:rsid w:val="00CF4814"/>
    <w:rsid w:val="00CF652A"/>
    <w:rsid w:val="00CF71DB"/>
    <w:rsid w:val="00CF7918"/>
    <w:rsid w:val="00CF7A03"/>
    <w:rsid w:val="00D01088"/>
    <w:rsid w:val="00D01BFA"/>
    <w:rsid w:val="00D02059"/>
    <w:rsid w:val="00D022A5"/>
    <w:rsid w:val="00D03235"/>
    <w:rsid w:val="00D03D0F"/>
    <w:rsid w:val="00D04CAF"/>
    <w:rsid w:val="00D05285"/>
    <w:rsid w:val="00D05405"/>
    <w:rsid w:val="00D05B7F"/>
    <w:rsid w:val="00D05E08"/>
    <w:rsid w:val="00D06900"/>
    <w:rsid w:val="00D06E25"/>
    <w:rsid w:val="00D07CCB"/>
    <w:rsid w:val="00D12C77"/>
    <w:rsid w:val="00D12D1F"/>
    <w:rsid w:val="00D13416"/>
    <w:rsid w:val="00D1499D"/>
    <w:rsid w:val="00D14E1C"/>
    <w:rsid w:val="00D15178"/>
    <w:rsid w:val="00D155B3"/>
    <w:rsid w:val="00D157A7"/>
    <w:rsid w:val="00D15DF7"/>
    <w:rsid w:val="00D15FB5"/>
    <w:rsid w:val="00D16277"/>
    <w:rsid w:val="00D16882"/>
    <w:rsid w:val="00D16ED3"/>
    <w:rsid w:val="00D1791D"/>
    <w:rsid w:val="00D20325"/>
    <w:rsid w:val="00D21340"/>
    <w:rsid w:val="00D2167F"/>
    <w:rsid w:val="00D228DF"/>
    <w:rsid w:val="00D232B7"/>
    <w:rsid w:val="00D236EC"/>
    <w:rsid w:val="00D238D6"/>
    <w:rsid w:val="00D23A46"/>
    <w:rsid w:val="00D2416B"/>
    <w:rsid w:val="00D248E4"/>
    <w:rsid w:val="00D2498A"/>
    <w:rsid w:val="00D25BCA"/>
    <w:rsid w:val="00D25BF5"/>
    <w:rsid w:val="00D26938"/>
    <w:rsid w:val="00D26E49"/>
    <w:rsid w:val="00D27B69"/>
    <w:rsid w:val="00D27D6D"/>
    <w:rsid w:val="00D30648"/>
    <w:rsid w:val="00D30CC4"/>
    <w:rsid w:val="00D310BA"/>
    <w:rsid w:val="00D33337"/>
    <w:rsid w:val="00D34CDC"/>
    <w:rsid w:val="00D353BB"/>
    <w:rsid w:val="00D356B7"/>
    <w:rsid w:val="00D3571D"/>
    <w:rsid w:val="00D3599A"/>
    <w:rsid w:val="00D35F08"/>
    <w:rsid w:val="00D35FFF"/>
    <w:rsid w:val="00D36267"/>
    <w:rsid w:val="00D36428"/>
    <w:rsid w:val="00D369F4"/>
    <w:rsid w:val="00D36CC7"/>
    <w:rsid w:val="00D4107B"/>
    <w:rsid w:val="00D44F6F"/>
    <w:rsid w:val="00D45758"/>
    <w:rsid w:val="00D45EC6"/>
    <w:rsid w:val="00D45F01"/>
    <w:rsid w:val="00D4729B"/>
    <w:rsid w:val="00D47463"/>
    <w:rsid w:val="00D50209"/>
    <w:rsid w:val="00D505B4"/>
    <w:rsid w:val="00D520AD"/>
    <w:rsid w:val="00D528AB"/>
    <w:rsid w:val="00D52912"/>
    <w:rsid w:val="00D52C02"/>
    <w:rsid w:val="00D52FA1"/>
    <w:rsid w:val="00D5381C"/>
    <w:rsid w:val="00D546FB"/>
    <w:rsid w:val="00D5574C"/>
    <w:rsid w:val="00D55C0B"/>
    <w:rsid w:val="00D5682F"/>
    <w:rsid w:val="00D56D21"/>
    <w:rsid w:val="00D5778A"/>
    <w:rsid w:val="00D60E48"/>
    <w:rsid w:val="00D61C73"/>
    <w:rsid w:val="00D628A5"/>
    <w:rsid w:val="00D6446A"/>
    <w:rsid w:val="00D654FB"/>
    <w:rsid w:val="00D65790"/>
    <w:rsid w:val="00D65934"/>
    <w:rsid w:val="00D66AEB"/>
    <w:rsid w:val="00D66DF9"/>
    <w:rsid w:val="00D66F7D"/>
    <w:rsid w:val="00D678F3"/>
    <w:rsid w:val="00D67CF2"/>
    <w:rsid w:val="00D70580"/>
    <w:rsid w:val="00D71CBB"/>
    <w:rsid w:val="00D723C0"/>
    <w:rsid w:val="00D7287D"/>
    <w:rsid w:val="00D7372B"/>
    <w:rsid w:val="00D7493B"/>
    <w:rsid w:val="00D7540E"/>
    <w:rsid w:val="00D760D9"/>
    <w:rsid w:val="00D762D0"/>
    <w:rsid w:val="00D77856"/>
    <w:rsid w:val="00D77FA7"/>
    <w:rsid w:val="00D805F3"/>
    <w:rsid w:val="00D80B86"/>
    <w:rsid w:val="00D810EE"/>
    <w:rsid w:val="00D81F68"/>
    <w:rsid w:val="00D8266E"/>
    <w:rsid w:val="00D82BE6"/>
    <w:rsid w:val="00D833C9"/>
    <w:rsid w:val="00D83C7B"/>
    <w:rsid w:val="00D83CFD"/>
    <w:rsid w:val="00D86448"/>
    <w:rsid w:val="00D864BC"/>
    <w:rsid w:val="00D8688E"/>
    <w:rsid w:val="00D86A49"/>
    <w:rsid w:val="00D87054"/>
    <w:rsid w:val="00D8787E"/>
    <w:rsid w:val="00D90143"/>
    <w:rsid w:val="00D9078C"/>
    <w:rsid w:val="00D9124A"/>
    <w:rsid w:val="00D912E5"/>
    <w:rsid w:val="00D91BA8"/>
    <w:rsid w:val="00D91F03"/>
    <w:rsid w:val="00D91F2B"/>
    <w:rsid w:val="00D93960"/>
    <w:rsid w:val="00D94440"/>
    <w:rsid w:val="00D94A6F"/>
    <w:rsid w:val="00D968B2"/>
    <w:rsid w:val="00D97E34"/>
    <w:rsid w:val="00D97E48"/>
    <w:rsid w:val="00D97F81"/>
    <w:rsid w:val="00DA082C"/>
    <w:rsid w:val="00DA1F27"/>
    <w:rsid w:val="00DA2526"/>
    <w:rsid w:val="00DA2AAC"/>
    <w:rsid w:val="00DA3284"/>
    <w:rsid w:val="00DA4B83"/>
    <w:rsid w:val="00DA4D5D"/>
    <w:rsid w:val="00DA59B9"/>
    <w:rsid w:val="00DA5EC8"/>
    <w:rsid w:val="00DA6023"/>
    <w:rsid w:val="00DA635F"/>
    <w:rsid w:val="00DA72F6"/>
    <w:rsid w:val="00DA7D31"/>
    <w:rsid w:val="00DB01F8"/>
    <w:rsid w:val="00DB4884"/>
    <w:rsid w:val="00DB7626"/>
    <w:rsid w:val="00DB76D6"/>
    <w:rsid w:val="00DB79E1"/>
    <w:rsid w:val="00DC0679"/>
    <w:rsid w:val="00DC209D"/>
    <w:rsid w:val="00DC22D5"/>
    <w:rsid w:val="00DC28AF"/>
    <w:rsid w:val="00DC3CC5"/>
    <w:rsid w:val="00DC44E2"/>
    <w:rsid w:val="00DC462E"/>
    <w:rsid w:val="00DC48A1"/>
    <w:rsid w:val="00DC5805"/>
    <w:rsid w:val="00DC76E1"/>
    <w:rsid w:val="00DD06B1"/>
    <w:rsid w:val="00DD11E9"/>
    <w:rsid w:val="00DD2782"/>
    <w:rsid w:val="00DD293A"/>
    <w:rsid w:val="00DD3818"/>
    <w:rsid w:val="00DD3B85"/>
    <w:rsid w:val="00DD459B"/>
    <w:rsid w:val="00DD4F87"/>
    <w:rsid w:val="00DD51FE"/>
    <w:rsid w:val="00DD5224"/>
    <w:rsid w:val="00DD5566"/>
    <w:rsid w:val="00DD5B62"/>
    <w:rsid w:val="00DD619C"/>
    <w:rsid w:val="00DD634A"/>
    <w:rsid w:val="00DE08ED"/>
    <w:rsid w:val="00DE0A18"/>
    <w:rsid w:val="00DE0F37"/>
    <w:rsid w:val="00DE1608"/>
    <w:rsid w:val="00DE1646"/>
    <w:rsid w:val="00DE23E9"/>
    <w:rsid w:val="00DE4589"/>
    <w:rsid w:val="00DE4677"/>
    <w:rsid w:val="00DE477E"/>
    <w:rsid w:val="00DE51C4"/>
    <w:rsid w:val="00DE55CF"/>
    <w:rsid w:val="00DE6744"/>
    <w:rsid w:val="00DE6DB9"/>
    <w:rsid w:val="00DE7191"/>
    <w:rsid w:val="00DF06DD"/>
    <w:rsid w:val="00DF0A7C"/>
    <w:rsid w:val="00DF198E"/>
    <w:rsid w:val="00DF1DEC"/>
    <w:rsid w:val="00DF2C78"/>
    <w:rsid w:val="00DF2E88"/>
    <w:rsid w:val="00DF4A03"/>
    <w:rsid w:val="00DF56EA"/>
    <w:rsid w:val="00DF5F17"/>
    <w:rsid w:val="00DF679A"/>
    <w:rsid w:val="00DF6C31"/>
    <w:rsid w:val="00DF6F79"/>
    <w:rsid w:val="00E00044"/>
    <w:rsid w:val="00E00527"/>
    <w:rsid w:val="00E00838"/>
    <w:rsid w:val="00E00999"/>
    <w:rsid w:val="00E00E76"/>
    <w:rsid w:val="00E01217"/>
    <w:rsid w:val="00E01D2A"/>
    <w:rsid w:val="00E01D46"/>
    <w:rsid w:val="00E01DAB"/>
    <w:rsid w:val="00E02F61"/>
    <w:rsid w:val="00E04323"/>
    <w:rsid w:val="00E04489"/>
    <w:rsid w:val="00E047F8"/>
    <w:rsid w:val="00E048B4"/>
    <w:rsid w:val="00E05AB7"/>
    <w:rsid w:val="00E05D96"/>
    <w:rsid w:val="00E06045"/>
    <w:rsid w:val="00E064B2"/>
    <w:rsid w:val="00E06FFD"/>
    <w:rsid w:val="00E070A5"/>
    <w:rsid w:val="00E07486"/>
    <w:rsid w:val="00E07EB2"/>
    <w:rsid w:val="00E117C0"/>
    <w:rsid w:val="00E11C33"/>
    <w:rsid w:val="00E12088"/>
    <w:rsid w:val="00E1224A"/>
    <w:rsid w:val="00E14BBF"/>
    <w:rsid w:val="00E14C22"/>
    <w:rsid w:val="00E15A55"/>
    <w:rsid w:val="00E163C1"/>
    <w:rsid w:val="00E16EBB"/>
    <w:rsid w:val="00E17946"/>
    <w:rsid w:val="00E22CD6"/>
    <w:rsid w:val="00E22E69"/>
    <w:rsid w:val="00E24959"/>
    <w:rsid w:val="00E24D2A"/>
    <w:rsid w:val="00E25099"/>
    <w:rsid w:val="00E256B8"/>
    <w:rsid w:val="00E26E81"/>
    <w:rsid w:val="00E27D89"/>
    <w:rsid w:val="00E304BA"/>
    <w:rsid w:val="00E3056F"/>
    <w:rsid w:val="00E315A8"/>
    <w:rsid w:val="00E31B6D"/>
    <w:rsid w:val="00E31CC6"/>
    <w:rsid w:val="00E31D36"/>
    <w:rsid w:val="00E339B2"/>
    <w:rsid w:val="00E3414E"/>
    <w:rsid w:val="00E3457A"/>
    <w:rsid w:val="00E34937"/>
    <w:rsid w:val="00E34C51"/>
    <w:rsid w:val="00E35828"/>
    <w:rsid w:val="00E35A9A"/>
    <w:rsid w:val="00E36252"/>
    <w:rsid w:val="00E368F8"/>
    <w:rsid w:val="00E36936"/>
    <w:rsid w:val="00E41360"/>
    <w:rsid w:val="00E42D22"/>
    <w:rsid w:val="00E44D34"/>
    <w:rsid w:val="00E45610"/>
    <w:rsid w:val="00E46073"/>
    <w:rsid w:val="00E462B1"/>
    <w:rsid w:val="00E46E54"/>
    <w:rsid w:val="00E46FF5"/>
    <w:rsid w:val="00E47814"/>
    <w:rsid w:val="00E502CF"/>
    <w:rsid w:val="00E50C16"/>
    <w:rsid w:val="00E510D6"/>
    <w:rsid w:val="00E51D1C"/>
    <w:rsid w:val="00E5282A"/>
    <w:rsid w:val="00E52BA0"/>
    <w:rsid w:val="00E548C1"/>
    <w:rsid w:val="00E54E4E"/>
    <w:rsid w:val="00E55673"/>
    <w:rsid w:val="00E55C8B"/>
    <w:rsid w:val="00E55DF1"/>
    <w:rsid w:val="00E56503"/>
    <w:rsid w:val="00E57D68"/>
    <w:rsid w:val="00E6082F"/>
    <w:rsid w:val="00E60B40"/>
    <w:rsid w:val="00E60C8B"/>
    <w:rsid w:val="00E60F66"/>
    <w:rsid w:val="00E61311"/>
    <w:rsid w:val="00E618C8"/>
    <w:rsid w:val="00E62687"/>
    <w:rsid w:val="00E627B0"/>
    <w:rsid w:val="00E6338B"/>
    <w:rsid w:val="00E63D2C"/>
    <w:rsid w:val="00E648E2"/>
    <w:rsid w:val="00E65EE9"/>
    <w:rsid w:val="00E66197"/>
    <w:rsid w:val="00E66E75"/>
    <w:rsid w:val="00E679B9"/>
    <w:rsid w:val="00E7010C"/>
    <w:rsid w:val="00E70DDC"/>
    <w:rsid w:val="00E71647"/>
    <w:rsid w:val="00E720C7"/>
    <w:rsid w:val="00E73BF9"/>
    <w:rsid w:val="00E758C9"/>
    <w:rsid w:val="00E75F75"/>
    <w:rsid w:val="00E762EE"/>
    <w:rsid w:val="00E76573"/>
    <w:rsid w:val="00E77A83"/>
    <w:rsid w:val="00E77CAB"/>
    <w:rsid w:val="00E77F55"/>
    <w:rsid w:val="00E80033"/>
    <w:rsid w:val="00E8116D"/>
    <w:rsid w:val="00E816FB"/>
    <w:rsid w:val="00E850D6"/>
    <w:rsid w:val="00E85D95"/>
    <w:rsid w:val="00E865A6"/>
    <w:rsid w:val="00E8784E"/>
    <w:rsid w:val="00E90E04"/>
    <w:rsid w:val="00E91C6A"/>
    <w:rsid w:val="00E9560D"/>
    <w:rsid w:val="00E9723D"/>
    <w:rsid w:val="00EA0AFB"/>
    <w:rsid w:val="00EA20BE"/>
    <w:rsid w:val="00EA2CA5"/>
    <w:rsid w:val="00EA2F0C"/>
    <w:rsid w:val="00EA507C"/>
    <w:rsid w:val="00EA54A5"/>
    <w:rsid w:val="00EA7CA8"/>
    <w:rsid w:val="00EB067C"/>
    <w:rsid w:val="00EB0AA2"/>
    <w:rsid w:val="00EB16A8"/>
    <w:rsid w:val="00EB219A"/>
    <w:rsid w:val="00EB2E62"/>
    <w:rsid w:val="00EB31FC"/>
    <w:rsid w:val="00EB38ED"/>
    <w:rsid w:val="00EB3D9B"/>
    <w:rsid w:val="00EB565C"/>
    <w:rsid w:val="00EB5AF7"/>
    <w:rsid w:val="00EB67E2"/>
    <w:rsid w:val="00EB6F47"/>
    <w:rsid w:val="00EB726B"/>
    <w:rsid w:val="00EC2C3D"/>
    <w:rsid w:val="00EC50C5"/>
    <w:rsid w:val="00EC5748"/>
    <w:rsid w:val="00EC6AB9"/>
    <w:rsid w:val="00EC7673"/>
    <w:rsid w:val="00ED09B6"/>
    <w:rsid w:val="00ED1647"/>
    <w:rsid w:val="00ED238A"/>
    <w:rsid w:val="00ED25E0"/>
    <w:rsid w:val="00ED3D40"/>
    <w:rsid w:val="00ED471C"/>
    <w:rsid w:val="00ED5447"/>
    <w:rsid w:val="00ED5D1B"/>
    <w:rsid w:val="00ED62CD"/>
    <w:rsid w:val="00ED641B"/>
    <w:rsid w:val="00ED6620"/>
    <w:rsid w:val="00ED6E35"/>
    <w:rsid w:val="00ED72D4"/>
    <w:rsid w:val="00ED7FB1"/>
    <w:rsid w:val="00EE0116"/>
    <w:rsid w:val="00EE06AC"/>
    <w:rsid w:val="00EE1CD9"/>
    <w:rsid w:val="00EE294E"/>
    <w:rsid w:val="00EE2C52"/>
    <w:rsid w:val="00EE2EC7"/>
    <w:rsid w:val="00EE54D7"/>
    <w:rsid w:val="00EE61BD"/>
    <w:rsid w:val="00EE6E0C"/>
    <w:rsid w:val="00EE739C"/>
    <w:rsid w:val="00EE73A6"/>
    <w:rsid w:val="00EE7570"/>
    <w:rsid w:val="00EE7D5A"/>
    <w:rsid w:val="00EE7D92"/>
    <w:rsid w:val="00EE7E76"/>
    <w:rsid w:val="00EE7FC9"/>
    <w:rsid w:val="00EE7FEF"/>
    <w:rsid w:val="00EF0E71"/>
    <w:rsid w:val="00EF2C5E"/>
    <w:rsid w:val="00EF2D5B"/>
    <w:rsid w:val="00EF2E51"/>
    <w:rsid w:val="00EF3CA1"/>
    <w:rsid w:val="00EF438C"/>
    <w:rsid w:val="00EF4F8C"/>
    <w:rsid w:val="00EF5F70"/>
    <w:rsid w:val="00F00595"/>
    <w:rsid w:val="00F005F8"/>
    <w:rsid w:val="00F00DCF"/>
    <w:rsid w:val="00F01A4B"/>
    <w:rsid w:val="00F03431"/>
    <w:rsid w:val="00F04A54"/>
    <w:rsid w:val="00F06145"/>
    <w:rsid w:val="00F06294"/>
    <w:rsid w:val="00F068B4"/>
    <w:rsid w:val="00F079FE"/>
    <w:rsid w:val="00F10618"/>
    <w:rsid w:val="00F1089C"/>
    <w:rsid w:val="00F1113E"/>
    <w:rsid w:val="00F1172F"/>
    <w:rsid w:val="00F126D2"/>
    <w:rsid w:val="00F13BF2"/>
    <w:rsid w:val="00F13D1A"/>
    <w:rsid w:val="00F1472D"/>
    <w:rsid w:val="00F16031"/>
    <w:rsid w:val="00F161BE"/>
    <w:rsid w:val="00F16CA5"/>
    <w:rsid w:val="00F16D18"/>
    <w:rsid w:val="00F21A38"/>
    <w:rsid w:val="00F21F32"/>
    <w:rsid w:val="00F22098"/>
    <w:rsid w:val="00F2317D"/>
    <w:rsid w:val="00F232D7"/>
    <w:rsid w:val="00F240F2"/>
    <w:rsid w:val="00F24C16"/>
    <w:rsid w:val="00F24C4D"/>
    <w:rsid w:val="00F26BE7"/>
    <w:rsid w:val="00F26C21"/>
    <w:rsid w:val="00F27373"/>
    <w:rsid w:val="00F27F24"/>
    <w:rsid w:val="00F3108E"/>
    <w:rsid w:val="00F32BE1"/>
    <w:rsid w:val="00F32EBA"/>
    <w:rsid w:val="00F33154"/>
    <w:rsid w:val="00F33AB8"/>
    <w:rsid w:val="00F36923"/>
    <w:rsid w:val="00F36C22"/>
    <w:rsid w:val="00F376E6"/>
    <w:rsid w:val="00F37CD2"/>
    <w:rsid w:val="00F40938"/>
    <w:rsid w:val="00F4130A"/>
    <w:rsid w:val="00F4161C"/>
    <w:rsid w:val="00F41E61"/>
    <w:rsid w:val="00F433DE"/>
    <w:rsid w:val="00F44306"/>
    <w:rsid w:val="00F4493A"/>
    <w:rsid w:val="00F45391"/>
    <w:rsid w:val="00F46633"/>
    <w:rsid w:val="00F5027A"/>
    <w:rsid w:val="00F50502"/>
    <w:rsid w:val="00F508AB"/>
    <w:rsid w:val="00F508FA"/>
    <w:rsid w:val="00F50C00"/>
    <w:rsid w:val="00F51EC9"/>
    <w:rsid w:val="00F52825"/>
    <w:rsid w:val="00F52843"/>
    <w:rsid w:val="00F53251"/>
    <w:rsid w:val="00F54AFE"/>
    <w:rsid w:val="00F55872"/>
    <w:rsid w:val="00F60078"/>
    <w:rsid w:val="00F603A1"/>
    <w:rsid w:val="00F609F3"/>
    <w:rsid w:val="00F61BCE"/>
    <w:rsid w:val="00F61DBD"/>
    <w:rsid w:val="00F6250F"/>
    <w:rsid w:val="00F629AB"/>
    <w:rsid w:val="00F630A1"/>
    <w:rsid w:val="00F633D6"/>
    <w:rsid w:val="00F63A09"/>
    <w:rsid w:val="00F642FD"/>
    <w:rsid w:val="00F645F6"/>
    <w:rsid w:val="00F64935"/>
    <w:rsid w:val="00F6591B"/>
    <w:rsid w:val="00F66374"/>
    <w:rsid w:val="00F66C33"/>
    <w:rsid w:val="00F66FB1"/>
    <w:rsid w:val="00F670C5"/>
    <w:rsid w:val="00F71D3D"/>
    <w:rsid w:val="00F721E3"/>
    <w:rsid w:val="00F72D59"/>
    <w:rsid w:val="00F73452"/>
    <w:rsid w:val="00F73B04"/>
    <w:rsid w:val="00F75649"/>
    <w:rsid w:val="00F76C49"/>
    <w:rsid w:val="00F77167"/>
    <w:rsid w:val="00F77854"/>
    <w:rsid w:val="00F802DD"/>
    <w:rsid w:val="00F80603"/>
    <w:rsid w:val="00F81849"/>
    <w:rsid w:val="00F81B2C"/>
    <w:rsid w:val="00F81D72"/>
    <w:rsid w:val="00F825C0"/>
    <w:rsid w:val="00F8518A"/>
    <w:rsid w:val="00F856B1"/>
    <w:rsid w:val="00F85D96"/>
    <w:rsid w:val="00F86130"/>
    <w:rsid w:val="00F91216"/>
    <w:rsid w:val="00F9267A"/>
    <w:rsid w:val="00F92C7C"/>
    <w:rsid w:val="00F93D38"/>
    <w:rsid w:val="00F96E36"/>
    <w:rsid w:val="00F97600"/>
    <w:rsid w:val="00F97756"/>
    <w:rsid w:val="00F97861"/>
    <w:rsid w:val="00FA01C5"/>
    <w:rsid w:val="00FA0584"/>
    <w:rsid w:val="00FA15C7"/>
    <w:rsid w:val="00FA2741"/>
    <w:rsid w:val="00FA398C"/>
    <w:rsid w:val="00FA50CF"/>
    <w:rsid w:val="00FA60B4"/>
    <w:rsid w:val="00FB0489"/>
    <w:rsid w:val="00FB2FA1"/>
    <w:rsid w:val="00FB3156"/>
    <w:rsid w:val="00FB3457"/>
    <w:rsid w:val="00FB348D"/>
    <w:rsid w:val="00FB34E3"/>
    <w:rsid w:val="00FB3D62"/>
    <w:rsid w:val="00FB3F72"/>
    <w:rsid w:val="00FB48B3"/>
    <w:rsid w:val="00FB66A4"/>
    <w:rsid w:val="00FB7F47"/>
    <w:rsid w:val="00FC11F1"/>
    <w:rsid w:val="00FC1AC6"/>
    <w:rsid w:val="00FC2B4B"/>
    <w:rsid w:val="00FC3120"/>
    <w:rsid w:val="00FC3D99"/>
    <w:rsid w:val="00FC45ED"/>
    <w:rsid w:val="00FC5290"/>
    <w:rsid w:val="00FD1494"/>
    <w:rsid w:val="00FD1767"/>
    <w:rsid w:val="00FD1A60"/>
    <w:rsid w:val="00FD1D05"/>
    <w:rsid w:val="00FD26DD"/>
    <w:rsid w:val="00FD40BC"/>
    <w:rsid w:val="00FD5208"/>
    <w:rsid w:val="00FD67BB"/>
    <w:rsid w:val="00FD6929"/>
    <w:rsid w:val="00FD6A6F"/>
    <w:rsid w:val="00FD766A"/>
    <w:rsid w:val="00FE0657"/>
    <w:rsid w:val="00FE0D1F"/>
    <w:rsid w:val="00FE0F56"/>
    <w:rsid w:val="00FE11D0"/>
    <w:rsid w:val="00FE1687"/>
    <w:rsid w:val="00FE27EA"/>
    <w:rsid w:val="00FE2AAC"/>
    <w:rsid w:val="00FE31EE"/>
    <w:rsid w:val="00FE44BD"/>
    <w:rsid w:val="00FE4F1B"/>
    <w:rsid w:val="00FE73DE"/>
    <w:rsid w:val="00FE784B"/>
    <w:rsid w:val="00FF0830"/>
    <w:rsid w:val="00FF09C9"/>
    <w:rsid w:val="00FF10F4"/>
    <w:rsid w:val="00FF12BF"/>
    <w:rsid w:val="00FF1B5D"/>
    <w:rsid w:val="00FF3203"/>
    <w:rsid w:val="00FF3DD4"/>
    <w:rsid w:val="00FF4C5F"/>
    <w:rsid w:val="00FF4E95"/>
    <w:rsid w:val="00FF61B1"/>
    <w:rsid w:val="00FF6A2F"/>
    <w:rsid w:val="00FF6BC2"/>
    <w:rsid w:val="00FF72C1"/>
    <w:rsid w:val="00FF7D53"/>
    <w:rsid w:val="00FF7E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B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 w:unhideWhenUsed="1" w:qFormat="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D87"/>
    <w:pPr>
      <w:spacing w:after="160" w:line="264" w:lineRule="auto"/>
      <w:jc w:val="both"/>
    </w:pPr>
    <w:rPr>
      <w:rFonts w:eastAsia="Calibri" w:cs="Times New Roman"/>
      <w:sz w:val="24"/>
    </w:rPr>
  </w:style>
  <w:style w:type="paragraph" w:styleId="Heading1">
    <w:name w:val="heading 1"/>
    <w:basedOn w:val="Normal"/>
    <w:next w:val="Normal"/>
    <w:link w:val="Heading1Char"/>
    <w:uiPriority w:val="4"/>
    <w:qFormat/>
    <w:rsid w:val="009C76D8"/>
    <w:pPr>
      <w:pageBreakBefore/>
      <w:numPr>
        <w:numId w:val="11"/>
      </w:numPr>
      <w:spacing w:line="360" w:lineRule="exact"/>
      <w:ind w:left="720" w:hanging="720"/>
      <w:jc w:val="left"/>
      <w:outlineLvl w:val="0"/>
    </w:pPr>
    <w:rPr>
      <w:rFonts w:asciiTheme="majorHAnsi" w:hAnsiTheme="majorHAnsi"/>
      <w:b/>
      <w:color w:val="51852F" w:themeColor="accent2" w:themeShade="BF"/>
      <w:kern w:val="10"/>
      <w:sz w:val="32"/>
      <w:szCs w:val="32"/>
    </w:rPr>
  </w:style>
  <w:style w:type="paragraph" w:styleId="Heading2">
    <w:name w:val="heading 2"/>
    <w:basedOn w:val="Normal"/>
    <w:next w:val="Normal"/>
    <w:link w:val="Heading2Char"/>
    <w:uiPriority w:val="4"/>
    <w:qFormat/>
    <w:rsid w:val="009C76D8"/>
    <w:pPr>
      <w:keepNext/>
      <w:keepLines/>
      <w:numPr>
        <w:ilvl w:val="1"/>
        <w:numId w:val="11"/>
      </w:numPr>
      <w:spacing w:before="240"/>
      <w:jc w:val="left"/>
      <w:outlineLvl w:val="1"/>
    </w:pPr>
    <w:rPr>
      <w:rFonts w:asciiTheme="majorHAnsi" w:eastAsiaTheme="majorEastAsia" w:hAnsiTheme="majorHAnsi" w:cstheme="majorBidi"/>
      <w:b/>
      <w:bCs/>
      <w:color w:val="36591F" w:themeColor="accent2" w:themeShade="80"/>
      <w:kern w:val="10"/>
      <w:sz w:val="26"/>
      <w:szCs w:val="28"/>
    </w:rPr>
  </w:style>
  <w:style w:type="paragraph" w:styleId="Heading3">
    <w:name w:val="heading 3"/>
    <w:basedOn w:val="Normal"/>
    <w:next w:val="Normal"/>
    <w:link w:val="Heading3Char"/>
    <w:uiPriority w:val="4"/>
    <w:qFormat/>
    <w:rsid w:val="00753A5F"/>
    <w:pPr>
      <w:keepNext/>
      <w:keepLines/>
      <w:numPr>
        <w:ilvl w:val="2"/>
        <w:numId w:val="11"/>
      </w:numPr>
      <w:spacing w:before="240" w:after="120"/>
      <w:ind w:left="720" w:hanging="720"/>
      <w:outlineLvl w:val="2"/>
    </w:pPr>
    <w:rPr>
      <w:rFonts w:asciiTheme="majorHAnsi" w:eastAsiaTheme="majorEastAsia" w:hAnsiTheme="majorHAnsi" w:cstheme="majorBidi"/>
      <w:b/>
      <w:i/>
      <w:color w:val="6B818C" w:themeColor="accent5"/>
      <w:kern w:val="10"/>
      <w:szCs w:val="20"/>
    </w:rPr>
  </w:style>
  <w:style w:type="paragraph" w:styleId="Heading4">
    <w:name w:val="heading 4"/>
    <w:basedOn w:val="Normal"/>
    <w:next w:val="Normal"/>
    <w:link w:val="Heading4Char"/>
    <w:uiPriority w:val="5"/>
    <w:qFormat/>
    <w:rsid w:val="00EE7FEF"/>
    <w:pPr>
      <w:keepNext/>
      <w:keepLines/>
      <w:spacing w:before="240" w:after="100"/>
      <w:outlineLvl w:val="3"/>
    </w:pPr>
    <w:rPr>
      <w:rFonts w:eastAsiaTheme="majorEastAsia" w:cstheme="majorBidi"/>
      <w:b/>
      <w:iCs/>
      <w:color w:val="506068" w:themeColor="accent5" w:themeShade="BF"/>
      <w:kern w:val="10"/>
      <w:u w:val="single"/>
    </w:rPr>
  </w:style>
  <w:style w:type="paragraph" w:styleId="Heading5">
    <w:name w:val="heading 5"/>
    <w:basedOn w:val="Normal"/>
    <w:next w:val="Normal"/>
    <w:link w:val="Heading5Char"/>
    <w:uiPriority w:val="6"/>
    <w:qFormat/>
    <w:rsid w:val="00EE7FEF"/>
    <w:pPr>
      <w:keepNext/>
      <w:keepLines/>
      <w:spacing w:before="240" w:after="120"/>
      <w:outlineLvl w:val="4"/>
    </w:pPr>
    <w:rPr>
      <w:rFonts w:eastAsiaTheme="majorEastAsia" w:cstheme="majorBidi"/>
      <w:b/>
      <w:i/>
      <w:color w:val="506068" w:themeColor="accent5" w:themeShade="BF"/>
      <w:kern w:val="10"/>
      <w:szCs w:val="20"/>
    </w:rPr>
  </w:style>
  <w:style w:type="paragraph" w:styleId="Heading6">
    <w:name w:val="heading 6"/>
    <w:basedOn w:val="Normal"/>
    <w:next w:val="Normal"/>
    <w:link w:val="Heading6Char"/>
    <w:uiPriority w:val="7"/>
    <w:unhideWhenUsed/>
    <w:qFormat/>
    <w:rsid w:val="00F63A09"/>
    <w:pPr>
      <w:keepNext/>
      <w:keepLines/>
      <w:spacing w:before="160" w:after="80"/>
      <w:outlineLvl w:val="5"/>
    </w:pPr>
    <w:rPr>
      <w:rFonts w:asciiTheme="majorHAnsi" w:eastAsiaTheme="majorEastAsia" w:hAnsiTheme="majorHAnsi" w:cstheme="majorBidi"/>
      <w:color w:val="506068" w:themeColor="accent5" w:themeShade="BF"/>
      <w:kern w:val="10"/>
      <w:sz w:val="22"/>
    </w:rPr>
  </w:style>
  <w:style w:type="paragraph" w:styleId="Heading7">
    <w:name w:val="heading 7"/>
    <w:basedOn w:val="Normal"/>
    <w:next w:val="Normal"/>
    <w:link w:val="Heading7Char"/>
    <w:uiPriority w:val="7"/>
    <w:unhideWhenUsed/>
    <w:qFormat/>
    <w:rsid w:val="00925F25"/>
    <w:pPr>
      <w:keepNext/>
      <w:keepLines/>
      <w:spacing w:before="40" w:after="0"/>
      <w:outlineLvl w:val="6"/>
    </w:pPr>
    <w:rPr>
      <w:rFonts w:asciiTheme="majorHAnsi" w:eastAsiaTheme="majorEastAsia" w:hAnsiTheme="majorHAnsi" w:cstheme="majorBidi"/>
      <w:i/>
      <w:iCs/>
      <w:color w:val="CDB211" w:themeColor="background2" w:themeShade="80"/>
      <w:kern w:val="10"/>
    </w:rPr>
  </w:style>
  <w:style w:type="paragraph" w:styleId="Heading8">
    <w:name w:val="heading 8"/>
    <w:basedOn w:val="Normal"/>
    <w:next w:val="Normal"/>
    <w:link w:val="Heading8Char"/>
    <w:uiPriority w:val="7"/>
    <w:unhideWhenUsed/>
    <w:qFormat/>
    <w:rsid w:val="00EE7FEF"/>
    <w:pPr>
      <w:keepNext/>
      <w:keepLines/>
      <w:spacing w:before="40" w:after="0"/>
      <w:outlineLvl w:val="7"/>
    </w:pPr>
    <w:rPr>
      <w:rFonts w:asciiTheme="majorHAnsi" w:eastAsiaTheme="majorEastAsia" w:hAnsiTheme="majorHAnsi" w:cstheme="majorBidi"/>
      <w:color w:val="CDB211" w:themeColor="background2" w:themeShade="80"/>
      <w:kern w:val="10"/>
      <w:sz w:val="21"/>
      <w:szCs w:val="21"/>
    </w:rPr>
  </w:style>
  <w:style w:type="paragraph" w:styleId="Heading9">
    <w:name w:val="heading 9"/>
    <w:basedOn w:val="Normal"/>
    <w:next w:val="Normal"/>
    <w:link w:val="Heading9Char"/>
    <w:uiPriority w:val="7"/>
    <w:unhideWhenUsed/>
    <w:qFormat/>
    <w:rsid w:val="00B200A5"/>
    <w:pPr>
      <w:keepNext/>
      <w:keepLines/>
      <w:spacing w:before="160"/>
      <w:outlineLvl w:val="8"/>
    </w:pPr>
    <w:rPr>
      <w:rFonts w:asciiTheme="majorHAnsi" w:eastAsiaTheme="majorEastAsia" w:hAnsiTheme="majorHAnsi" w:cstheme="majorBidi"/>
      <w:i/>
      <w:iCs/>
      <w:color w:val="CDB211" w:themeColor="background2" w:themeShade="80"/>
      <w:kern w:val="1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9C76D8"/>
    <w:rPr>
      <w:rFonts w:asciiTheme="majorHAnsi" w:eastAsia="Calibri" w:hAnsiTheme="majorHAnsi" w:cs="Times New Roman"/>
      <w:b/>
      <w:color w:val="51852F" w:themeColor="accent2" w:themeShade="BF"/>
      <w:kern w:val="10"/>
      <w:sz w:val="32"/>
      <w:szCs w:val="32"/>
    </w:rPr>
  </w:style>
  <w:style w:type="character" w:customStyle="1" w:styleId="Heading2Char">
    <w:name w:val="Heading 2 Char"/>
    <w:basedOn w:val="DefaultParagraphFont"/>
    <w:link w:val="Heading2"/>
    <w:uiPriority w:val="4"/>
    <w:rsid w:val="009C76D8"/>
    <w:rPr>
      <w:rFonts w:asciiTheme="majorHAnsi" w:eastAsiaTheme="majorEastAsia" w:hAnsiTheme="majorHAnsi" w:cstheme="majorBidi"/>
      <w:b/>
      <w:bCs/>
      <w:color w:val="36591F" w:themeColor="accent2" w:themeShade="80"/>
      <w:kern w:val="10"/>
      <w:sz w:val="26"/>
      <w:szCs w:val="28"/>
    </w:rPr>
  </w:style>
  <w:style w:type="character" w:customStyle="1" w:styleId="Heading3Char">
    <w:name w:val="Heading 3 Char"/>
    <w:basedOn w:val="DefaultParagraphFont"/>
    <w:link w:val="Heading3"/>
    <w:uiPriority w:val="4"/>
    <w:rsid w:val="00753A5F"/>
    <w:rPr>
      <w:rFonts w:asciiTheme="majorHAnsi" w:eastAsiaTheme="majorEastAsia" w:hAnsiTheme="majorHAnsi" w:cstheme="majorBidi"/>
      <w:b/>
      <w:i/>
      <w:color w:val="6B818C" w:themeColor="accent5"/>
      <w:kern w:val="10"/>
      <w:sz w:val="24"/>
      <w:szCs w:val="20"/>
    </w:rPr>
  </w:style>
  <w:style w:type="character" w:customStyle="1" w:styleId="Heading4Char">
    <w:name w:val="Heading 4 Char"/>
    <w:basedOn w:val="DefaultParagraphFont"/>
    <w:link w:val="Heading4"/>
    <w:uiPriority w:val="5"/>
    <w:rsid w:val="004510D8"/>
    <w:rPr>
      <w:rFonts w:eastAsiaTheme="majorEastAsia" w:cstheme="majorBidi"/>
      <w:b/>
      <w:iCs/>
      <w:color w:val="506068" w:themeColor="accent5" w:themeShade="BF"/>
      <w:sz w:val="20"/>
      <w:u w:val="single"/>
    </w:rPr>
  </w:style>
  <w:style w:type="paragraph" w:customStyle="1" w:styleId="Comment">
    <w:name w:val="Comment"/>
    <w:basedOn w:val="Normal"/>
    <w:uiPriority w:val="99"/>
    <w:rsid w:val="004233D6"/>
    <w:pPr>
      <w:spacing w:before="120"/>
      <w:ind w:firstLine="720"/>
    </w:pPr>
    <w:rPr>
      <w:rFonts w:ascii="Arial" w:eastAsia="Times New Roman" w:hAnsi="Arial"/>
      <w:color w:val="14425D" w:themeColor="text2"/>
      <w:kern w:val="10"/>
      <w:szCs w:val="24"/>
    </w:rPr>
  </w:style>
  <w:style w:type="paragraph" w:styleId="Header">
    <w:name w:val="header"/>
    <w:basedOn w:val="Normal"/>
    <w:link w:val="HeaderChar"/>
    <w:uiPriority w:val="99"/>
    <w:unhideWhenUsed/>
    <w:rsid w:val="004233D6"/>
    <w:pPr>
      <w:tabs>
        <w:tab w:val="center" w:pos="4513"/>
        <w:tab w:val="right" w:pos="9026"/>
      </w:tabs>
      <w:spacing w:after="0"/>
      <w:jc w:val="right"/>
    </w:pPr>
    <w:rPr>
      <w:color w:val="595959" w:themeColor="text1" w:themeTint="A6"/>
      <w:kern w:val="10"/>
      <w:szCs w:val="20"/>
    </w:rPr>
  </w:style>
  <w:style w:type="character" w:customStyle="1" w:styleId="HeaderChar">
    <w:name w:val="Header Char"/>
    <w:basedOn w:val="DefaultParagraphFont"/>
    <w:link w:val="Header"/>
    <w:uiPriority w:val="99"/>
    <w:rsid w:val="004233D6"/>
    <w:rPr>
      <w:rFonts w:ascii="Calibri" w:eastAsia="Calibri" w:hAnsi="Calibri" w:cs="Times New Roman"/>
      <w:color w:val="595959" w:themeColor="text1" w:themeTint="A6"/>
      <w:sz w:val="20"/>
      <w:szCs w:val="20"/>
    </w:rPr>
  </w:style>
  <w:style w:type="paragraph" w:styleId="Footer">
    <w:name w:val="footer"/>
    <w:basedOn w:val="Normal"/>
    <w:link w:val="FooterChar"/>
    <w:uiPriority w:val="99"/>
    <w:unhideWhenUsed/>
    <w:qFormat/>
    <w:rsid w:val="00864DCB"/>
    <w:pPr>
      <w:tabs>
        <w:tab w:val="center" w:pos="4513"/>
        <w:tab w:val="right" w:pos="9026"/>
      </w:tabs>
      <w:spacing w:after="0"/>
    </w:pPr>
    <w:rPr>
      <w:color w:val="6DB33F" w:themeColor="accent2"/>
      <w:kern w:val="10"/>
      <w:szCs w:val="20"/>
    </w:rPr>
  </w:style>
  <w:style w:type="character" w:customStyle="1" w:styleId="FooterChar">
    <w:name w:val="Footer Char"/>
    <w:basedOn w:val="DefaultParagraphFont"/>
    <w:link w:val="Footer"/>
    <w:uiPriority w:val="99"/>
    <w:rsid w:val="00864DCB"/>
    <w:rPr>
      <w:rFonts w:eastAsia="Calibri" w:cs="Times New Roman"/>
      <w:color w:val="6DB33F" w:themeColor="accent2"/>
      <w:sz w:val="20"/>
      <w:szCs w:val="20"/>
    </w:rPr>
  </w:style>
  <w:style w:type="paragraph" w:styleId="BalloonText">
    <w:name w:val="Balloon Text"/>
    <w:basedOn w:val="Normal"/>
    <w:link w:val="BalloonTextChar"/>
    <w:uiPriority w:val="99"/>
    <w:semiHidden/>
    <w:unhideWhenUsed/>
    <w:rsid w:val="00066264"/>
    <w:pPr>
      <w:spacing w:after="0"/>
    </w:pPr>
    <w:rPr>
      <w:rFonts w:ascii="Tahoma" w:hAnsi="Tahoma" w:cs="Tahoma"/>
      <w:kern w:val="10"/>
      <w:sz w:val="16"/>
      <w:szCs w:val="16"/>
    </w:rPr>
  </w:style>
  <w:style w:type="character" w:customStyle="1" w:styleId="BalloonTextChar">
    <w:name w:val="Balloon Text Char"/>
    <w:basedOn w:val="DefaultParagraphFont"/>
    <w:link w:val="BalloonText"/>
    <w:uiPriority w:val="99"/>
    <w:semiHidden/>
    <w:rsid w:val="00066264"/>
    <w:rPr>
      <w:rFonts w:ascii="Tahoma" w:hAnsi="Tahoma" w:cs="Tahoma"/>
      <w:sz w:val="16"/>
      <w:szCs w:val="16"/>
    </w:rPr>
  </w:style>
  <w:style w:type="paragraph" w:styleId="ListParagraph">
    <w:name w:val="List Paragraph"/>
    <w:aliases w:val="Report Para,Bullet,List Paragraph (numbered (a)),List Paragraph1,Recommendation,List Paragraph11,L,Bullet point,Bullet Point,Bullet points,Content descriptions,Body Bullets 1,Main,CV text,Table text,F5 List Paragraph,Dot pt,Rec para"/>
    <w:basedOn w:val="Normal"/>
    <w:link w:val="ListParagraphChar"/>
    <w:uiPriority w:val="34"/>
    <w:qFormat/>
    <w:rsid w:val="004233D6"/>
    <w:pPr>
      <w:ind w:left="567"/>
      <w:contextualSpacing/>
    </w:pPr>
    <w:rPr>
      <w:kern w:val="10"/>
    </w:rPr>
  </w:style>
  <w:style w:type="paragraph" w:styleId="Title">
    <w:name w:val="Title"/>
    <w:basedOn w:val="Normal"/>
    <w:next w:val="Normal"/>
    <w:link w:val="TitleChar"/>
    <w:uiPriority w:val="8"/>
    <w:qFormat/>
    <w:rsid w:val="00671508"/>
    <w:pPr>
      <w:pBdr>
        <w:bottom w:val="single" w:sz="8" w:space="4" w:color="41766F" w:themeColor="accent3"/>
      </w:pBdr>
      <w:spacing w:before="240" w:after="300"/>
      <w:contextualSpacing/>
      <w:jc w:val="left"/>
    </w:pPr>
    <w:rPr>
      <w:rFonts w:asciiTheme="majorHAnsi" w:eastAsiaTheme="majorEastAsia" w:hAnsiTheme="majorHAnsi" w:cstheme="majorBidi"/>
      <w:b/>
      <w:bCs/>
      <w:color w:val="13512E" w:themeColor="accent1"/>
      <w:spacing w:val="5"/>
      <w:kern w:val="28"/>
      <w:sz w:val="40"/>
      <w:szCs w:val="40"/>
    </w:rPr>
  </w:style>
  <w:style w:type="character" w:customStyle="1" w:styleId="TitleChar">
    <w:name w:val="Title Char"/>
    <w:basedOn w:val="DefaultParagraphFont"/>
    <w:link w:val="Title"/>
    <w:uiPriority w:val="8"/>
    <w:rsid w:val="00671508"/>
    <w:rPr>
      <w:rFonts w:asciiTheme="majorHAnsi" w:eastAsiaTheme="majorEastAsia" w:hAnsiTheme="majorHAnsi" w:cstheme="majorBidi"/>
      <w:b/>
      <w:bCs/>
      <w:color w:val="13512E" w:themeColor="accent1"/>
      <w:spacing w:val="5"/>
      <w:kern w:val="28"/>
      <w:sz w:val="40"/>
      <w:szCs w:val="40"/>
    </w:rPr>
  </w:style>
  <w:style w:type="paragraph" w:styleId="Subtitle">
    <w:name w:val="Subtitle"/>
    <w:basedOn w:val="Normal"/>
    <w:next w:val="Normal"/>
    <w:link w:val="SubtitleChar"/>
    <w:uiPriority w:val="9"/>
    <w:qFormat/>
    <w:rsid w:val="00EC7673"/>
    <w:pPr>
      <w:numPr>
        <w:ilvl w:val="1"/>
      </w:numPr>
      <w:jc w:val="left"/>
    </w:pPr>
    <w:rPr>
      <w:rFonts w:asciiTheme="majorHAnsi" w:eastAsiaTheme="majorEastAsia" w:hAnsiTheme="majorHAnsi" w:cstheme="majorBidi"/>
      <w:i/>
      <w:iCs/>
      <w:color w:val="6B818C" w:themeColor="accent5"/>
      <w:spacing w:val="15"/>
      <w:kern w:val="10"/>
      <w:sz w:val="28"/>
      <w:szCs w:val="28"/>
    </w:rPr>
  </w:style>
  <w:style w:type="character" w:customStyle="1" w:styleId="SubtitleChar">
    <w:name w:val="Subtitle Char"/>
    <w:basedOn w:val="DefaultParagraphFont"/>
    <w:link w:val="Subtitle"/>
    <w:uiPriority w:val="9"/>
    <w:rsid w:val="00EC7673"/>
    <w:rPr>
      <w:rFonts w:asciiTheme="majorHAnsi" w:eastAsiaTheme="majorEastAsia" w:hAnsiTheme="majorHAnsi" w:cstheme="majorBidi"/>
      <w:i/>
      <w:iCs/>
      <w:color w:val="6B818C" w:themeColor="accent5"/>
      <w:spacing w:val="15"/>
      <w:sz w:val="28"/>
      <w:szCs w:val="28"/>
    </w:rPr>
  </w:style>
  <w:style w:type="paragraph" w:styleId="ListBullet">
    <w:name w:val="List Bullet"/>
    <w:aliases w:val="List Bullet 1"/>
    <w:basedOn w:val="Normal"/>
    <w:uiPriority w:val="99"/>
    <w:unhideWhenUsed/>
    <w:qFormat/>
    <w:rsid w:val="002A5593"/>
    <w:pPr>
      <w:numPr>
        <w:numId w:val="29"/>
      </w:numPr>
      <w:contextualSpacing/>
    </w:pPr>
    <w:rPr>
      <w:kern w:val="10"/>
    </w:rPr>
  </w:style>
  <w:style w:type="paragraph" w:styleId="ListNumber">
    <w:name w:val="List Number"/>
    <w:basedOn w:val="Normal"/>
    <w:uiPriority w:val="99"/>
    <w:unhideWhenUsed/>
    <w:rsid w:val="004233D6"/>
    <w:pPr>
      <w:contextualSpacing/>
    </w:pPr>
    <w:rPr>
      <w:kern w:val="10"/>
    </w:rPr>
  </w:style>
  <w:style w:type="paragraph" w:styleId="ListNumber2">
    <w:name w:val="List Number 2"/>
    <w:basedOn w:val="ListParagraph"/>
    <w:uiPriority w:val="99"/>
    <w:unhideWhenUsed/>
    <w:rsid w:val="004233D6"/>
    <w:pPr>
      <w:numPr>
        <w:numId w:val="7"/>
      </w:numPr>
    </w:pPr>
  </w:style>
  <w:style w:type="table" w:styleId="TableGrid">
    <w:name w:val="Table Grid"/>
    <w:aliases w:val="DPS Table Grid"/>
    <w:basedOn w:val="TableNormal"/>
    <w:uiPriority w:val="59"/>
    <w:rsid w:val="0042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1"/>
    <w:qFormat/>
    <w:rsid w:val="00AE5FA0"/>
    <w:pPr>
      <w:spacing w:before="60" w:after="60"/>
    </w:pPr>
    <w:rPr>
      <w:rFonts w:eastAsia="Calibri" w:cs="Times New Roman"/>
      <w:kern w:val="10"/>
      <w:sz w:val="20"/>
      <w:szCs w:val="20"/>
    </w:rPr>
  </w:style>
  <w:style w:type="paragraph" w:customStyle="1" w:styleId="NoteLevel21">
    <w:name w:val="Note Level 21"/>
    <w:basedOn w:val="Normal"/>
    <w:uiPriority w:val="99"/>
    <w:unhideWhenUsed/>
    <w:rsid w:val="004233D6"/>
    <w:pPr>
      <w:keepNext/>
      <w:numPr>
        <w:ilvl w:val="1"/>
        <w:numId w:val="10"/>
      </w:numPr>
      <w:spacing w:after="0"/>
      <w:contextualSpacing/>
      <w:jc w:val="left"/>
      <w:outlineLvl w:val="1"/>
    </w:pPr>
    <w:rPr>
      <w:rFonts w:ascii="Verdana" w:hAnsi="Verdana"/>
      <w:kern w:val="10"/>
    </w:rPr>
  </w:style>
  <w:style w:type="paragraph" w:customStyle="1" w:styleId="NoteLevel41">
    <w:name w:val="Note Level 41"/>
    <w:basedOn w:val="Normal"/>
    <w:uiPriority w:val="99"/>
    <w:unhideWhenUsed/>
    <w:rsid w:val="004233D6"/>
    <w:pPr>
      <w:keepNext/>
      <w:numPr>
        <w:ilvl w:val="3"/>
        <w:numId w:val="10"/>
      </w:numPr>
      <w:spacing w:after="0"/>
      <w:contextualSpacing/>
      <w:jc w:val="left"/>
      <w:outlineLvl w:val="3"/>
    </w:pPr>
    <w:rPr>
      <w:rFonts w:ascii="Verdana" w:hAnsi="Verdana"/>
      <w:kern w:val="10"/>
    </w:rPr>
  </w:style>
  <w:style w:type="paragraph" w:styleId="FootnoteText">
    <w:name w:val="footnote text"/>
    <w:aliases w:val="Footnote Text Char Char Char Char,ft,Footnote Text Char2,Footnote Text Char Char2,Footnote Text Char Char Char Char Char Char Char,Footnote Text Char Char1 Char,Footnote Text Char Char1,Footnote Text Char Char,single space,FOOTNOTES,fn,ADB"/>
    <w:basedOn w:val="Normal"/>
    <w:link w:val="FootnoteTextChar"/>
    <w:uiPriority w:val="99"/>
    <w:unhideWhenUsed/>
    <w:qFormat/>
    <w:rsid w:val="004233D6"/>
    <w:pPr>
      <w:spacing w:after="0"/>
      <w:jc w:val="left"/>
    </w:pPr>
    <w:rPr>
      <w:rFonts w:asciiTheme="majorHAnsi" w:eastAsiaTheme="minorEastAsia" w:hAnsiTheme="majorHAnsi" w:cstheme="minorBidi"/>
      <w:kern w:val="10"/>
      <w:sz w:val="18"/>
      <w:szCs w:val="20"/>
      <w:lang w:val="en-US" w:eastAsia="ja-JP"/>
    </w:rPr>
  </w:style>
  <w:style w:type="character" w:customStyle="1" w:styleId="FootnoteTextChar">
    <w:name w:val="Footnote Text Char"/>
    <w:aliases w:val="Footnote Text Char Char Char Char Char,ft Char,Footnote Text Char2 Char,Footnote Text Char Char2 Char,Footnote Text Char Char Char Char Char Char Char Char,Footnote Text Char Char1 Char Char,Footnote Text Char Char1 Char1,fn Char"/>
    <w:basedOn w:val="DefaultParagraphFont"/>
    <w:link w:val="FootnoteText"/>
    <w:uiPriority w:val="99"/>
    <w:rsid w:val="004233D6"/>
    <w:rPr>
      <w:rFonts w:asciiTheme="majorHAnsi" w:eastAsiaTheme="minorEastAsia" w:hAnsiTheme="majorHAnsi"/>
      <w:sz w:val="18"/>
      <w:szCs w:val="20"/>
      <w:lang w:val="en-US" w:eastAsia="ja-JP"/>
    </w:rPr>
  </w:style>
  <w:style w:type="character" w:styleId="CommentReference">
    <w:name w:val="annotation reference"/>
    <w:basedOn w:val="DefaultParagraphFont"/>
    <w:uiPriority w:val="99"/>
    <w:unhideWhenUsed/>
    <w:rsid w:val="004233D6"/>
    <w:rPr>
      <w:sz w:val="16"/>
      <w:szCs w:val="16"/>
    </w:rPr>
  </w:style>
  <w:style w:type="paragraph" w:styleId="CommentText">
    <w:name w:val="annotation text"/>
    <w:basedOn w:val="Normal"/>
    <w:link w:val="CommentTextChar"/>
    <w:uiPriority w:val="99"/>
    <w:unhideWhenUsed/>
    <w:rsid w:val="004233D6"/>
    <w:rPr>
      <w:color w:val="14425D" w:themeColor="text2"/>
      <w:kern w:val="10"/>
      <w:szCs w:val="20"/>
    </w:rPr>
  </w:style>
  <w:style w:type="character" w:customStyle="1" w:styleId="CommentTextChar">
    <w:name w:val="Comment Text Char"/>
    <w:basedOn w:val="DefaultParagraphFont"/>
    <w:link w:val="CommentText"/>
    <w:uiPriority w:val="99"/>
    <w:rsid w:val="004233D6"/>
    <w:rPr>
      <w:rFonts w:ascii="Calibri" w:eastAsia="Calibri" w:hAnsi="Calibri" w:cs="Times New Roman"/>
      <w:color w:val="14425D" w:themeColor="text2"/>
      <w:sz w:val="20"/>
      <w:szCs w:val="20"/>
    </w:rPr>
  </w:style>
  <w:style w:type="character" w:styleId="FootnoteReference">
    <w:name w:val="footnote reference"/>
    <w:aliases w:val="fr,ftref,16 Point,Superscript 6 Point, BVI fnr,BVI fnr, BVI fnr Car Car,BVI fnr Car, BVI fnr Car Car Car Car, BVI fnr Car Car Car Car Char,BVI fnr Car Car,BVI fnr Car Car Car Car,BVI fnr Car Car Car Car Char"/>
    <w:link w:val="Char2"/>
    <w:uiPriority w:val="99"/>
    <w:unhideWhenUsed/>
    <w:qFormat/>
    <w:rsid w:val="004233D6"/>
    <w:rPr>
      <w:b/>
      <w:bCs/>
      <w:vertAlign w:val="superscript"/>
    </w:rPr>
  </w:style>
  <w:style w:type="character" w:styleId="Hyperlink">
    <w:name w:val="Hyperlink"/>
    <w:basedOn w:val="DefaultParagraphFont"/>
    <w:uiPriority w:val="99"/>
    <w:rsid w:val="008A38F4"/>
    <w:rPr>
      <w:rFonts w:cs="Times New Roman"/>
      <w:color w:val="325FB8"/>
      <w:u w:val="single"/>
    </w:rPr>
  </w:style>
  <w:style w:type="paragraph" w:styleId="ListBullet2">
    <w:name w:val="List Bullet 2"/>
    <w:basedOn w:val="Normal"/>
    <w:uiPriority w:val="99"/>
    <w:unhideWhenUsed/>
    <w:rsid w:val="004233D6"/>
    <w:pPr>
      <w:numPr>
        <w:numId w:val="3"/>
      </w:numPr>
      <w:contextualSpacing/>
    </w:pPr>
    <w:rPr>
      <w:kern w:val="10"/>
    </w:rPr>
  </w:style>
  <w:style w:type="paragraph" w:styleId="NoSpacing">
    <w:name w:val="No Spacing"/>
    <w:basedOn w:val="Normal"/>
    <w:next w:val="Normal"/>
    <w:link w:val="NoSpacingChar"/>
    <w:uiPriority w:val="10"/>
    <w:qFormat/>
    <w:rsid w:val="004233D6"/>
    <w:pPr>
      <w:spacing w:after="0"/>
      <w:jc w:val="left"/>
    </w:pPr>
    <w:rPr>
      <w:rFonts w:eastAsiaTheme="minorEastAsia" w:cstheme="minorBidi"/>
      <w:kern w:val="10"/>
      <w:lang w:val="en-US" w:bidi="en-US"/>
    </w:rPr>
  </w:style>
  <w:style w:type="character" w:customStyle="1" w:styleId="NoSpacingChar">
    <w:name w:val="No Spacing Char"/>
    <w:basedOn w:val="DefaultParagraphFont"/>
    <w:link w:val="NoSpacing"/>
    <w:uiPriority w:val="10"/>
    <w:rsid w:val="004510D8"/>
    <w:rPr>
      <w:rFonts w:eastAsiaTheme="minorEastAsia"/>
      <w:sz w:val="20"/>
      <w:lang w:val="en-US" w:bidi="en-US"/>
    </w:rPr>
  </w:style>
  <w:style w:type="paragraph" w:styleId="Caption">
    <w:name w:val="caption"/>
    <w:next w:val="Normal"/>
    <w:uiPriority w:val="2"/>
    <w:qFormat/>
    <w:rsid w:val="00AE5FA0"/>
    <w:pPr>
      <w:keepLines/>
      <w:spacing w:before="200" w:line="240" w:lineRule="auto"/>
    </w:pPr>
    <w:rPr>
      <w:rFonts w:ascii="Georgia" w:eastAsia="Calibri" w:hAnsi="Georgia" w:cs="Times New Roman"/>
      <w:i/>
      <w:iCs/>
      <w:color w:val="0E3C22" w:themeColor="accent1" w:themeShade="BF"/>
      <w:kern w:val="10"/>
      <w:sz w:val="20"/>
      <w:szCs w:val="18"/>
    </w:rPr>
  </w:style>
  <w:style w:type="paragraph" w:styleId="ListNumber3">
    <w:name w:val="List Number 3"/>
    <w:basedOn w:val="Normal"/>
    <w:uiPriority w:val="99"/>
    <w:unhideWhenUsed/>
    <w:rsid w:val="004233D6"/>
    <w:pPr>
      <w:numPr>
        <w:numId w:val="8"/>
      </w:numPr>
      <w:contextualSpacing/>
    </w:pPr>
    <w:rPr>
      <w:kern w:val="10"/>
    </w:rPr>
  </w:style>
  <w:style w:type="paragraph" w:styleId="ListNumber4">
    <w:name w:val="List Number 4"/>
    <w:basedOn w:val="ListNumber3"/>
    <w:uiPriority w:val="99"/>
    <w:unhideWhenUsed/>
    <w:rsid w:val="004233D6"/>
    <w:pPr>
      <w:tabs>
        <w:tab w:val="num" w:pos="1800"/>
      </w:tabs>
      <w:ind w:left="1208" w:hanging="357"/>
    </w:pPr>
  </w:style>
  <w:style w:type="paragraph" w:styleId="ListNumber5">
    <w:name w:val="List Number 5"/>
    <w:basedOn w:val="Normal"/>
    <w:uiPriority w:val="99"/>
    <w:unhideWhenUsed/>
    <w:rsid w:val="004233D6"/>
    <w:pPr>
      <w:numPr>
        <w:numId w:val="9"/>
      </w:numPr>
      <w:contextualSpacing/>
    </w:pPr>
    <w:rPr>
      <w:kern w:val="10"/>
    </w:rPr>
  </w:style>
  <w:style w:type="paragraph" w:styleId="List">
    <w:name w:val="List"/>
    <w:basedOn w:val="Normal"/>
    <w:uiPriority w:val="99"/>
    <w:unhideWhenUsed/>
    <w:rsid w:val="004233D6"/>
    <w:pPr>
      <w:ind w:left="283" w:hanging="283"/>
      <w:contextualSpacing/>
    </w:pPr>
    <w:rPr>
      <w:kern w:val="10"/>
    </w:rPr>
  </w:style>
  <w:style w:type="character" w:styleId="LineNumber">
    <w:name w:val="line number"/>
    <w:basedOn w:val="DefaultParagraphFont"/>
    <w:uiPriority w:val="99"/>
    <w:unhideWhenUsed/>
    <w:rsid w:val="004233D6"/>
  </w:style>
  <w:style w:type="paragraph" w:styleId="EndnoteText">
    <w:name w:val="endnote text"/>
    <w:basedOn w:val="Normal"/>
    <w:link w:val="EndnoteTextChar"/>
    <w:uiPriority w:val="99"/>
    <w:semiHidden/>
    <w:unhideWhenUsed/>
    <w:rsid w:val="000B2DAC"/>
    <w:pPr>
      <w:spacing w:after="0" w:line="240" w:lineRule="auto"/>
    </w:pPr>
    <w:rPr>
      <w:kern w:val="10"/>
      <w:szCs w:val="20"/>
    </w:rPr>
  </w:style>
  <w:style w:type="character" w:customStyle="1" w:styleId="EndnoteTextChar">
    <w:name w:val="Endnote Text Char"/>
    <w:basedOn w:val="DefaultParagraphFont"/>
    <w:link w:val="EndnoteText"/>
    <w:uiPriority w:val="99"/>
    <w:semiHidden/>
    <w:rsid w:val="000B2DAC"/>
    <w:rPr>
      <w:rFonts w:ascii="Calibri" w:eastAsia="Calibri" w:hAnsi="Calibri" w:cs="Times New Roman"/>
      <w:sz w:val="20"/>
      <w:szCs w:val="20"/>
    </w:rPr>
  </w:style>
  <w:style w:type="character" w:styleId="EndnoteReference">
    <w:name w:val="endnote reference"/>
    <w:basedOn w:val="DefaultParagraphFont"/>
    <w:uiPriority w:val="99"/>
    <w:unhideWhenUsed/>
    <w:rsid w:val="004233D6"/>
    <w:rPr>
      <w:rFonts w:asciiTheme="majorHAnsi" w:hAnsiTheme="majorHAnsi"/>
      <w:b/>
      <w:bCs/>
      <w:vertAlign w:val="superscript"/>
    </w:rPr>
  </w:style>
  <w:style w:type="character" w:customStyle="1" w:styleId="UnresolvedMention1">
    <w:name w:val="Unresolved Mention1"/>
    <w:basedOn w:val="DefaultParagraphFont"/>
    <w:uiPriority w:val="99"/>
    <w:semiHidden/>
    <w:unhideWhenUsed/>
    <w:rsid w:val="000B2DAC"/>
    <w:rPr>
      <w:color w:val="605E5C"/>
      <w:shd w:val="clear" w:color="auto" w:fill="E1DFDD"/>
    </w:rPr>
  </w:style>
  <w:style w:type="table" w:customStyle="1" w:styleId="SustineoTableStyle1">
    <w:name w:val="SustineoTableStyle1"/>
    <w:basedOn w:val="TableNormal"/>
    <w:uiPriority w:val="99"/>
    <w:rsid w:val="00B965B5"/>
    <w:pPr>
      <w:spacing w:before="60" w:after="60" w:line="264" w:lineRule="auto"/>
    </w:pPr>
    <w:rPr>
      <w:sz w:val="20"/>
    </w:rPr>
    <w:tblPr>
      <w:tblStyleRowBandSize w:val="1"/>
      <w:tblStyleColBandSize w:val="1"/>
      <w:tblBorders>
        <w:top w:val="single" w:sz="4" w:space="0" w:color="41766F" w:themeColor="accent3"/>
        <w:left w:val="single" w:sz="4" w:space="0" w:color="41766F" w:themeColor="accent3"/>
        <w:bottom w:val="single" w:sz="4" w:space="0" w:color="41766F" w:themeColor="accent3"/>
        <w:right w:val="single" w:sz="4" w:space="0" w:color="41766F" w:themeColor="accent3"/>
      </w:tblBorders>
      <w:tblCellMar>
        <w:top w:w="28" w:type="dxa"/>
        <w:bottom w:w="28" w:type="dxa"/>
      </w:tblCellMar>
    </w:tblPr>
    <w:tcPr>
      <w:shd w:val="clear" w:color="auto" w:fill="auto"/>
    </w:tcPr>
    <w:tblStylePr w:type="firstRow">
      <w:pPr>
        <w:jc w:val="left"/>
      </w:pPr>
      <w:rPr>
        <w:b/>
        <w:color w:val="FFFFFF" w:themeColor="background1"/>
      </w:rPr>
      <w:tblPr/>
      <w:tcPr>
        <w:shd w:val="clear" w:color="auto" w:fill="41766F" w:themeFill="accent3"/>
      </w:tcPr>
    </w:tblStylePr>
    <w:tblStylePr w:type="lastRow">
      <w:rPr>
        <w:b/>
        <w:color w:val="auto"/>
      </w:rPr>
      <w:tblPr/>
      <w:tcPr>
        <w:tcBorders>
          <w:top w:val="single" w:sz="4" w:space="0" w:color="13512E" w:themeColor="accent1"/>
          <w:left w:val="single" w:sz="4" w:space="0" w:color="13512E" w:themeColor="accent1"/>
          <w:bottom w:val="single" w:sz="4" w:space="0" w:color="13512E" w:themeColor="accent1"/>
          <w:right w:val="single" w:sz="4" w:space="0" w:color="13512E" w:themeColor="accent1"/>
        </w:tcBorders>
        <w:shd w:val="clear" w:color="auto" w:fill="auto"/>
      </w:tcPr>
    </w:tblStylePr>
    <w:tblStylePr w:type="firstCol">
      <w:rPr>
        <w:b/>
        <w:color w:val="FFFFFF" w:themeColor="background1"/>
      </w:rPr>
      <w:tblPr/>
      <w:tcPr>
        <w:shd w:val="clear" w:color="auto" w:fill="41766F" w:themeFill="accent3"/>
      </w:tcPr>
    </w:tblStylePr>
    <w:tblStylePr w:type="lastCol">
      <w:rPr>
        <w:b/>
        <w:color w:val="auto"/>
      </w:rPr>
    </w:tblStylePr>
    <w:tblStylePr w:type="band2Vert">
      <w:tblPr/>
      <w:tcPr>
        <w:shd w:val="clear" w:color="auto" w:fill="F4F5F6"/>
      </w:tcPr>
    </w:tblStylePr>
    <w:tblStylePr w:type="band2Horz">
      <w:tblPr/>
      <w:tcPr>
        <w:shd w:val="clear" w:color="auto" w:fill="F4F5F6"/>
      </w:tcPr>
    </w:tblStylePr>
  </w:style>
  <w:style w:type="table" w:styleId="GridTable4-Accent3">
    <w:name w:val="Grid Table 4 Accent 3"/>
    <w:basedOn w:val="TableNormal"/>
    <w:uiPriority w:val="49"/>
    <w:rsid w:val="004233D6"/>
    <w:pPr>
      <w:spacing w:after="0" w:line="240" w:lineRule="auto"/>
    </w:pPr>
    <w:tblPr>
      <w:tblStyleRowBandSize w:val="1"/>
      <w:tblStyleColBandSize w:val="1"/>
      <w:tblBorders>
        <w:top w:val="single" w:sz="4" w:space="0" w:color="80B9B1" w:themeColor="accent3" w:themeTint="99"/>
        <w:left w:val="single" w:sz="4" w:space="0" w:color="80B9B1" w:themeColor="accent3" w:themeTint="99"/>
        <w:bottom w:val="single" w:sz="4" w:space="0" w:color="80B9B1" w:themeColor="accent3" w:themeTint="99"/>
        <w:right w:val="single" w:sz="4" w:space="0" w:color="80B9B1" w:themeColor="accent3" w:themeTint="99"/>
        <w:insideH w:val="single" w:sz="4" w:space="0" w:color="80B9B1" w:themeColor="accent3" w:themeTint="99"/>
        <w:insideV w:val="single" w:sz="4" w:space="0" w:color="80B9B1" w:themeColor="accent3" w:themeTint="99"/>
      </w:tblBorders>
    </w:tblPr>
    <w:tblStylePr w:type="firstRow">
      <w:rPr>
        <w:b/>
        <w:bCs/>
        <w:color w:val="FFFFFF" w:themeColor="background1"/>
      </w:rPr>
      <w:tblPr/>
      <w:tcPr>
        <w:tcBorders>
          <w:top w:val="single" w:sz="4" w:space="0" w:color="41766F" w:themeColor="accent3"/>
          <w:left w:val="single" w:sz="4" w:space="0" w:color="41766F" w:themeColor="accent3"/>
          <w:bottom w:val="single" w:sz="4" w:space="0" w:color="41766F" w:themeColor="accent3"/>
          <w:right w:val="single" w:sz="4" w:space="0" w:color="41766F" w:themeColor="accent3"/>
          <w:insideH w:val="nil"/>
          <w:insideV w:val="nil"/>
        </w:tcBorders>
        <w:shd w:val="clear" w:color="auto" w:fill="41766F" w:themeFill="accent3"/>
      </w:tcPr>
    </w:tblStylePr>
    <w:tblStylePr w:type="lastRow">
      <w:rPr>
        <w:b/>
        <w:bCs/>
      </w:rPr>
      <w:tblPr/>
      <w:tcPr>
        <w:tcBorders>
          <w:top w:val="double" w:sz="4" w:space="0" w:color="41766F" w:themeColor="accent3"/>
        </w:tcBorders>
      </w:tcPr>
    </w:tblStylePr>
    <w:tblStylePr w:type="firstCol">
      <w:rPr>
        <w:b/>
        <w:bCs/>
      </w:rPr>
    </w:tblStylePr>
    <w:tblStylePr w:type="lastCol">
      <w:rPr>
        <w:b/>
        <w:bCs/>
      </w:rPr>
    </w:tblStylePr>
    <w:tblStylePr w:type="band1Vert">
      <w:tblPr/>
      <w:tcPr>
        <w:shd w:val="clear" w:color="auto" w:fill="D4E7E5" w:themeFill="accent3" w:themeFillTint="33"/>
      </w:tcPr>
    </w:tblStylePr>
    <w:tblStylePr w:type="band1Horz">
      <w:tblPr/>
      <w:tcPr>
        <w:shd w:val="clear" w:color="auto" w:fill="D4E7E5" w:themeFill="accent3" w:themeFillTint="33"/>
      </w:tcPr>
    </w:tblStylePr>
  </w:style>
  <w:style w:type="paragraph" w:styleId="ListBullet3">
    <w:name w:val="List Bullet 3"/>
    <w:basedOn w:val="Normal"/>
    <w:uiPriority w:val="99"/>
    <w:unhideWhenUsed/>
    <w:rsid w:val="004233D6"/>
    <w:pPr>
      <w:numPr>
        <w:numId w:val="4"/>
      </w:numPr>
      <w:contextualSpacing/>
    </w:pPr>
    <w:rPr>
      <w:kern w:val="10"/>
    </w:rPr>
  </w:style>
  <w:style w:type="paragraph" w:styleId="ListBullet4">
    <w:name w:val="List Bullet 4"/>
    <w:basedOn w:val="Normal"/>
    <w:uiPriority w:val="99"/>
    <w:unhideWhenUsed/>
    <w:rsid w:val="004233D6"/>
    <w:pPr>
      <w:numPr>
        <w:numId w:val="5"/>
      </w:numPr>
      <w:contextualSpacing/>
    </w:pPr>
    <w:rPr>
      <w:kern w:val="10"/>
    </w:rPr>
  </w:style>
  <w:style w:type="paragraph" w:styleId="ListBullet5">
    <w:name w:val="List Bullet 5"/>
    <w:basedOn w:val="Normal"/>
    <w:uiPriority w:val="99"/>
    <w:unhideWhenUsed/>
    <w:rsid w:val="004233D6"/>
    <w:pPr>
      <w:numPr>
        <w:numId w:val="6"/>
      </w:numPr>
      <w:contextualSpacing/>
    </w:pPr>
    <w:rPr>
      <w:kern w:val="10"/>
    </w:rPr>
  </w:style>
  <w:style w:type="character" w:styleId="PageNumber">
    <w:name w:val="page number"/>
    <w:uiPriority w:val="99"/>
    <w:unhideWhenUsed/>
    <w:rsid w:val="004233D6"/>
    <w:rPr>
      <w:b/>
      <w:bCs/>
    </w:rPr>
  </w:style>
  <w:style w:type="paragraph" w:styleId="List2">
    <w:name w:val="List 2"/>
    <w:basedOn w:val="Normal"/>
    <w:uiPriority w:val="99"/>
    <w:unhideWhenUsed/>
    <w:rsid w:val="004233D6"/>
    <w:pPr>
      <w:ind w:left="566" w:hanging="283"/>
      <w:contextualSpacing/>
    </w:pPr>
    <w:rPr>
      <w:kern w:val="10"/>
    </w:rPr>
  </w:style>
  <w:style w:type="character" w:customStyle="1" w:styleId="Heading5Char">
    <w:name w:val="Heading 5 Char"/>
    <w:basedOn w:val="DefaultParagraphFont"/>
    <w:link w:val="Heading5"/>
    <w:uiPriority w:val="6"/>
    <w:rsid w:val="004510D8"/>
    <w:rPr>
      <w:rFonts w:eastAsiaTheme="majorEastAsia" w:cstheme="majorBidi"/>
      <w:b/>
      <w:i/>
      <w:color w:val="506068" w:themeColor="accent5" w:themeShade="BF"/>
      <w:sz w:val="20"/>
      <w:szCs w:val="20"/>
    </w:rPr>
  </w:style>
  <w:style w:type="character" w:customStyle="1" w:styleId="Heading7Char">
    <w:name w:val="Heading 7 Char"/>
    <w:basedOn w:val="DefaultParagraphFont"/>
    <w:link w:val="Heading7"/>
    <w:uiPriority w:val="7"/>
    <w:rsid w:val="00925F25"/>
    <w:rPr>
      <w:rFonts w:asciiTheme="majorHAnsi" w:eastAsiaTheme="majorEastAsia" w:hAnsiTheme="majorHAnsi" w:cstheme="majorBidi"/>
      <w:i/>
      <w:iCs/>
      <w:color w:val="CDB211" w:themeColor="background2" w:themeShade="80"/>
    </w:rPr>
  </w:style>
  <w:style w:type="character" w:customStyle="1" w:styleId="Heading8Char">
    <w:name w:val="Heading 8 Char"/>
    <w:basedOn w:val="DefaultParagraphFont"/>
    <w:link w:val="Heading8"/>
    <w:uiPriority w:val="7"/>
    <w:rsid w:val="00EE7FEF"/>
    <w:rPr>
      <w:rFonts w:asciiTheme="majorHAnsi" w:eastAsiaTheme="majorEastAsia" w:hAnsiTheme="majorHAnsi" w:cstheme="majorBidi"/>
      <w:color w:val="CDB211" w:themeColor="background2" w:themeShade="80"/>
      <w:sz w:val="21"/>
      <w:szCs w:val="21"/>
    </w:rPr>
  </w:style>
  <w:style w:type="character" w:customStyle="1" w:styleId="Heading9Char">
    <w:name w:val="Heading 9 Char"/>
    <w:basedOn w:val="DefaultParagraphFont"/>
    <w:link w:val="Heading9"/>
    <w:uiPriority w:val="7"/>
    <w:rsid w:val="00B200A5"/>
    <w:rPr>
      <w:rFonts w:asciiTheme="majorHAnsi" w:eastAsiaTheme="majorEastAsia" w:hAnsiTheme="majorHAnsi" w:cstheme="majorBidi"/>
      <w:i/>
      <w:iCs/>
      <w:color w:val="CDB211" w:themeColor="background2" w:themeShade="80"/>
      <w:kern w:val="10"/>
      <w:sz w:val="21"/>
      <w:szCs w:val="21"/>
    </w:rPr>
  </w:style>
  <w:style w:type="paragraph" w:styleId="TOCHeading">
    <w:name w:val="TOC Heading"/>
    <w:basedOn w:val="Heading1"/>
    <w:next w:val="Normal"/>
    <w:uiPriority w:val="39"/>
    <w:unhideWhenUsed/>
    <w:qFormat/>
    <w:rsid w:val="00AC02C4"/>
    <w:pPr>
      <w:numPr>
        <w:numId w:val="0"/>
      </w:numPr>
    </w:pPr>
  </w:style>
  <w:style w:type="numbering" w:customStyle="1" w:styleId="SustineoListStyle1">
    <w:name w:val="SustineoListStyle1"/>
    <w:uiPriority w:val="99"/>
    <w:rsid w:val="004233D6"/>
    <w:pPr>
      <w:numPr>
        <w:numId w:val="1"/>
      </w:numPr>
    </w:pPr>
  </w:style>
  <w:style w:type="table" w:styleId="PlainTable1">
    <w:name w:val="Plain Table 1"/>
    <w:basedOn w:val="TableNormal"/>
    <w:uiPriority w:val="99"/>
    <w:rsid w:val="004233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1">
    <w:name w:val="Style1"/>
    <w:uiPriority w:val="99"/>
    <w:rsid w:val="004233D6"/>
    <w:pPr>
      <w:numPr>
        <w:numId w:val="2"/>
      </w:numPr>
    </w:pPr>
  </w:style>
  <w:style w:type="paragraph" w:styleId="TOC1">
    <w:name w:val="toc 1"/>
    <w:basedOn w:val="Normal"/>
    <w:next w:val="Normal"/>
    <w:autoRedefine/>
    <w:uiPriority w:val="39"/>
    <w:unhideWhenUsed/>
    <w:rsid w:val="0021342B"/>
    <w:pPr>
      <w:tabs>
        <w:tab w:val="right" w:leader="dot" w:pos="8890"/>
      </w:tabs>
      <w:spacing w:after="100"/>
    </w:pPr>
    <w:rPr>
      <w:kern w:val="10"/>
    </w:rPr>
  </w:style>
  <w:style w:type="paragraph" w:styleId="TOC2">
    <w:name w:val="toc 2"/>
    <w:basedOn w:val="Normal"/>
    <w:next w:val="Normal"/>
    <w:autoRedefine/>
    <w:uiPriority w:val="39"/>
    <w:unhideWhenUsed/>
    <w:rsid w:val="007E584A"/>
    <w:pPr>
      <w:tabs>
        <w:tab w:val="left" w:pos="880"/>
        <w:tab w:val="right" w:leader="dot" w:pos="8890"/>
      </w:tabs>
      <w:spacing w:after="100"/>
      <w:ind w:left="220"/>
    </w:pPr>
    <w:rPr>
      <w:kern w:val="10"/>
    </w:rPr>
  </w:style>
  <w:style w:type="paragraph" w:styleId="TOC3">
    <w:name w:val="toc 3"/>
    <w:basedOn w:val="Normal"/>
    <w:next w:val="Normal"/>
    <w:autoRedefine/>
    <w:uiPriority w:val="39"/>
    <w:unhideWhenUsed/>
    <w:rsid w:val="00437630"/>
    <w:pPr>
      <w:tabs>
        <w:tab w:val="left" w:pos="1320"/>
        <w:tab w:val="right" w:leader="dot" w:pos="8890"/>
      </w:tabs>
      <w:spacing w:after="100"/>
      <w:ind w:left="440"/>
    </w:pPr>
    <w:rPr>
      <w:kern w:val="10"/>
    </w:rPr>
  </w:style>
  <w:style w:type="paragraph" w:customStyle="1" w:styleId="BasicParagraph">
    <w:name w:val="[Basic Paragraph]"/>
    <w:basedOn w:val="Normal"/>
    <w:uiPriority w:val="99"/>
    <w:rsid w:val="004233D6"/>
    <w:pPr>
      <w:widowControl w:val="0"/>
      <w:autoSpaceDE w:val="0"/>
      <w:autoSpaceDN w:val="0"/>
      <w:adjustRightInd w:val="0"/>
      <w:spacing w:line="288" w:lineRule="auto"/>
      <w:jc w:val="left"/>
      <w:textAlignment w:val="center"/>
    </w:pPr>
    <w:rPr>
      <w:rFonts w:ascii="MinionPro-Regular" w:eastAsiaTheme="minorHAnsi" w:hAnsi="MinionPro-Regular" w:cs="MinionPro-Regular"/>
      <w:color w:val="000000"/>
      <w:kern w:val="10"/>
      <w:szCs w:val="24"/>
    </w:rPr>
  </w:style>
  <w:style w:type="paragraph" w:styleId="Quote">
    <w:name w:val="Quote"/>
    <w:basedOn w:val="Boxbullett"/>
    <w:next w:val="Normal"/>
    <w:link w:val="QuoteChar"/>
    <w:uiPriority w:val="3"/>
    <w:qFormat/>
    <w:rsid w:val="0038672C"/>
    <w:pPr>
      <w:pBdr>
        <w:top w:val="none" w:sz="0" w:space="0" w:color="auto"/>
        <w:left w:val="none" w:sz="0" w:space="0" w:color="auto"/>
        <w:bottom w:val="none" w:sz="0" w:space="0" w:color="auto"/>
        <w:right w:val="none" w:sz="0" w:space="0" w:color="auto"/>
      </w:pBdr>
      <w:shd w:val="clear" w:color="auto" w:fill="auto"/>
      <w:spacing w:before="200" w:after="160" w:line="312" w:lineRule="auto"/>
      <w:ind w:left="567"/>
    </w:pPr>
    <w:rPr>
      <w:color w:val="41766F" w:themeColor="accent3"/>
    </w:rPr>
  </w:style>
  <w:style w:type="character" w:customStyle="1" w:styleId="QuoteChar">
    <w:name w:val="Quote Char"/>
    <w:basedOn w:val="DefaultParagraphFont"/>
    <w:link w:val="Quote"/>
    <w:uiPriority w:val="3"/>
    <w:rsid w:val="0038672C"/>
    <w:rPr>
      <w:rFonts w:eastAsia="Calibri" w:cs="Times New Roman"/>
      <w:color w:val="41766F" w:themeColor="accent3"/>
    </w:rPr>
  </w:style>
  <w:style w:type="paragraph" w:styleId="IntenseQuote">
    <w:name w:val="Intense Quote"/>
    <w:basedOn w:val="Normal"/>
    <w:next w:val="Normal"/>
    <w:link w:val="IntenseQuoteChar"/>
    <w:uiPriority w:val="30"/>
    <w:qFormat/>
    <w:rsid w:val="004233D6"/>
    <w:pPr>
      <w:pBdr>
        <w:top w:val="single" w:sz="4" w:space="10" w:color="CDB211" w:themeColor="background2" w:themeShade="80"/>
        <w:bottom w:val="single" w:sz="4" w:space="10" w:color="CDB211" w:themeColor="background2" w:themeShade="80"/>
      </w:pBdr>
      <w:spacing w:before="360" w:after="360"/>
      <w:ind w:left="864" w:right="864"/>
      <w:jc w:val="left"/>
    </w:pPr>
    <w:rPr>
      <w:i/>
      <w:iCs/>
      <w:color w:val="0E3C22" w:themeColor="accent1" w:themeShade="BF"/>
      <w:kern w:val="10"/>
    </w:rPr>
  </w:style>
  <w:style w:type="character" w:customStyle="1" w:styleId="IntenseQuoteChar">
    <w:name w:val="Intense Quote Char"/>
    <w:basedOn w:val="DefaultParagraphFont"/>
    <w:link w:val="IntenseQuote"/>
    <w:uiPriority w:val="30"/>
    <w:rsid w:val="004233D6"/>
    <w:rPr>
      <w:rFonts w:ascii="Calibri" w:eastAsia="Calibri" w:hAnsi="Calibri" w:cs="Times New Roman"/>
      <w:i/>
      <w:iCs/>
      <w:color w:val="0E3C22" w:themeColor="accent1" w:themeShade="BF"/>
    </w:rPr>
  </w:style>
  <w:style w:type="paragraph" w:styleId="BlockText">
    <w:name w:val="Block Text"/>
    <w:basedOn w:val="Normal"/>
    <w:uiPriority w:val="99"/>
    <w:unhideWhenUsed/>
    <w:qFormat/>
    <w:rsid w:val="00430892"/>
    <w:pPr>
      <w:pBdr>
        <w:top w:val="single" w:sz="2" w:space="10" w:color="13512E" w:themeColor="accent1"/>
        <w:left w:val="single" w:sz="2" w:space="10" w:color="13512E" w:themeColor="accent1"/>
        <w:bottom w:val="single" w:sz="2" w:space="10" w:color="13512E" w:themeColor="accent1"/>
        <w:right w:val="single" w:sz="2" w:space="10" w:color="13512E" w:themeColor="accent1"/>
      </w:pBdr>
      <w:spacing w:before="360"/>
      <w:ind w:left="1151" w:right="1151"/>
    </w:pPr>
    <w:rPr>
      <w:rFonts w:eastAsiaTheme="minorEastAsia" w:cstheme="minorBidi"/>
      <w:i/>
      <w:iCs/>
      <w:color w:val="14425D" w:themeColor="text2"/>
      <w:kern w:val="10"/>
    </w:rPr>
  </w:style>
  <w:style w:type="character" w:customStyle="1" w:styleId="ListParagraphChar">
    <w:name w:val="List Paragraph Char"/>
    <w:aliases w:val="Report Para Char,Bullet Char,List Paragraph (numbered (a)) Char,List Paragraph1 Char,Recommendation Char,List Paragraph11 Char,L Char,Bullet point Char,Bullet Point Char,Bullet points Char,Content descriptions Char,Main Char"/>
    <w:link w:val="ListParagraph"/>
    <w:uiPriority w:val="34"/>
    <w:qFormat/>
    <w:locked/>
    <w:rsid w:val="00322F08"/>
    <w:rPr>
      <w:rFonts w:ascii="Calibri" w:eastAsia="Calibri" w:hAnsi="Calibri" w:cs="Times New Roman"/>
    </w:rPr>
  </w:style>
  <w:style w:type="paragraph" w:styleId="BodyText">
    <w:name w:val="Body Text"/>
    <w:basedOn w:val="Normal"/>
    <w:link w:val="BodyTextChar"/>
    <w:uiPriority w:val="99"/>
    <w:semiHidden/>
    <w:unhideWhenUsed/>
    <w:rsid w:val="00322F08"/>
    <w:pPr>
      <w:widowControl w:val="0"/>
      <w:autoSpaceDE w:val="0"/>
      <w:autoSpaceDN w:val="0"/>
      <w:adjustRightInd w:val="0"/>
      <w:spacing w:line="240" w:lineRule="auto"/>
      <w:jc w:val="left"/>
    </w:pPr>
    <w:rPr>
      <w:rFonts w:ascii="Times New Roman" w:eastAsia="SimSun" w:hAnsi="Times New Roman"/>
      <w:kern w:val="10"/>
      <w:szCs w:val="24"/>
      <w:lang w:eastAsia="zh-CN"/>
    </w:rPr>
  </w:style>
  <w:style w:type="character" w:customStyle="1" w:styleId="BodyTextChar">
    <w:name w:val="Body Text Char"/>
    <w:basedOn w:val="DefaultParagraphFont"/>
    <w:link w:val="BodyText"/>
    <w:uiPriority w:val="99"/>
    <w:semiHidden/>
    <w:rsid w:val="00322F08"/>
    <w:rPr>
      <w:rFonts w:ascii="Times New Roman" w:eastAsia="SimSun" w:hAnsi="Times New Roman" w:cs="Times New Roman"/>
      <w:sz w:val="24"/>
      <w:szCs w:val="24"/>
      <w:lang w:eastAsia="zh-CN"/>
    </w:rPr>
  </w:style>
  <w:style w:type="paragraph" w:styleId="Revision">
    <w:name w:val="Revision"/>
    <w:hidden/>
    <w:uiPriority w:val="99"/>
    <w:semiHidden/>
    <w:rsid w:val="00322F08"/>
    <w:pPr>
      <w:spacing w:after="0" w:line="240" w:lineRule="auto"/>
    </w:pPr>
    <w:rPr>
      <w:rFonts w:ascii="Calibri" w:eastAsia="Calibri" w:hAnsi="Calibri" w:cs="Times New Roman"/>
    </w:rPr>
  </w:style>
  <w:style w:type="paragraph" w:styleId="NormalWeb">
    <w:name w:val="Normal (Web)"/>
    <w:basedOn w:val="Normal"/>
    <w:uiPriority w:val="99"/>
    <w:unhideWhenUsed/>
    <w:rsid w:val="001C6305"/>
    <w:pPr>
      <w:spacing w:before="100" w:beforeAutospacing="1" w:after="100" w:afterAutospacing="1" w:line="240" w:lineRule="auto"/>
      <w:jc w:val="left"/>
    </w:pPr>
    <w:rPr>
      <w:rFonts w:ascii="Times New Roman" w:eastAsia="Times New Roman" w:hAnsi="Times New Roman"/>
      <w:kern w:val="10"/>
      <w:szCs w:val="24"/>
      <w:lang w:eastAsia="en-AU"/>
    </w:rPr>
  </w:style>
  <w:style w:type="character" w:styleId="Strong">
    <w:name w:val="Strong"/>
    <w:basedOn w:val="DefaultParagraphFont"/>
    <w:uiPriority w:val="22"/>
    <w:qFormat/>
    <w:rsid w:val="001C6305"/>
    <w:rPr>
      <w:b/>
      <w:bCs/>
    </w:rPr>
  </w:style>
  <w:style w:type="character" w:customStyle="1" w:styleId="Heading6Char">
    <w:name w:val="Heading 6 Char"/>
    <w:basedOn w:val="DefaultParagraphFont"/>
    <w:link w:val="Heading6"/>
    <w:uiPriority w:val="7"/>
    <w:rsid w:val="00F63A09"/>
    <w:rPr>
      <w:rFonts w:asciiTheme="majorHAnsi" w:eastAsiaTheme="majorEastAsia" w:hAnsiTheme="majorHAnsi" w:cstheme="majorBidi"/>
      <w:color w:val="506068" w:themeColor="accent5" w:themeShade="BF"/>
      <w:kern w:val="10"/>
    </w:rPr>
  </w:style>
  <w:style w:type="paragraph" w:styleId="ListContinue">
    <w:name w:val="List Continue"/>
    <w:basedOn w:val="Normal"/>
    <w:uiPriority w:val="99"/>
    <w:unhideWhenUsed/>
    <w:rsid w:val="00065145"/>
    <w:pPr>
      <w:spacing w:after="120"/>
      <w:ind w:left="283"/>
      <w:contextualSpacing/>
    </w:pPr>
    <w:rPr>
      <w:kern w:val="10"/>
    </w:rPr>
  </w:style>
  <w:style w:type="paragraph" w:styleId="ListContinue2">
    <w:name w:val="List Continue 2"/>
    <w:basedOn w:val="Normal"/>
    <w:uiPriority w:val="99"/>
    <w:unhideWhenUsed/>
    <w:rsid w:val="00065145"/>
    <w:pPr>
      <w:spacing w:after="120"/>
      <w:ind w:left="566"/>
      <w:contextualSpacing/>
    </w:pPr>
    <w:rPr>
      <w:kern w:val="10"/>
    </w:rPr>
  </w:style>
  <w:style w:type="table" w:styleId="ListTable4-Accent6">
    <w:name w:val="List Table 4 Accent 6"/>
    <w:basedOn w:val="TableNormal"/>
    <w:uiPriority w:val="49"/>
    <w:rsid w:val="00D232B7"/>
    <w:pPr>
      <w:spacing w:after="0" w:line="240" w:lineRule="auto"/>
    </w:pPr>
    <w:tblPr>
      <w:tblStyleRowBandSize w:val="1"/>
      <w:tblStyleColBandSize w:val="1"/>
      <w:tblBorders>
        <w:top w:val="single" w:sz="4" w:space="0" w:color="FCE6B5" w:themeColor="accent6" w:themeTint="99"/>
        <w:left w:val="single" w:sz="4" w:space="0" w:color="FCE6B5" w:themeColor="accent6" w:themeTint="99"/>
        <w:bottom w:val="single" w:sz="4" w:space="0" w:color="FCE6B5" w:themeColor="accent6" w:themeTint="99"/>
        <w:right w:val="single" w:sz="4" w:space="0" w:color="FCE6B5" w:themeColor="accent6" w:themeTint="99"/>
        <w:insideH w:val="single" w:sz="4" w:space="0" w:color="FCE6B5" w:themeColor="accent6" w:themeTint="99"/>
      </w:tblBorders>
    </w:tblPr>
    <w:tblStylePr w:type="firstRow">
      <w:rPr>
        <w:b/>
        <w:bCs/>
        <w:color w:val="FFFFFF" w:themeColor="background1"/>
      </w:rPr>
      <w:tblPr/>
      <w:tcPr>
        <w:tcBorders>
          <w:top w:val="single" w:sz="4" w:space="0" w:color="FAD784" w:themeColor="accent6"/>
          <w:left w:val="single" w:sz="4" w:space="0" w:color="FAD784" w:themeColor="accent6"/>
          <w:bottom w:val="single" w:sz="4" w:space="0" w:color="FAD784" w:themeColor="accent6"/>
          <w:right w:val="single" w:sz="4" w:space="0" w:color="FAD784" w:themeColor="accent6"/>
          <w:insideH w:val="nil"/>
        </w:tcBorders>
        <w:shd w:val="clear" w:color="auto" w:fill="FAD784" w:themeFill="accent6"/>
      </w:tcPr>
    </w:tblStylePr>
    <w:tblStylePr w:type="lastRow">
      <w:rPr>
        <w:b/>
        <w:bCs/>
      </w:rPr>
      <w:tblPr/>
      <w:tcPr>
        <w:tcBorders>
          <w:top w:val="double" w:sz="4" w:space="0" w:color="FCE6B5" w:themeColor="accent6" w:themeTint="99"/>
        </w:tcBorders>
      </w:tcPr>
    </w:tblStylePr>
    <w:tblStylePr w:type="firstCol">
      <w:rPr>
        <w:b/>
        <w:bCs/>
      </w:rPr>
    </w:tblStylePr>
    <w:tblStylePr w:type="lastCol">
      <w:rPr>
        <w:b/>
        <w:bCs/>
      </w:rPr>
    </w:tblStylePr>
    <w:tblStylePr w:type="band1Vert">
      <w:tblPr/>
      <w:tcPr>
        <w:shd w:val="clear" w:color="auto" w:fill="FEF6E6" w:themeFill="accent6" w:themeFillTint="33"/>
      </w:tcPr>
    </w:tblStylePr>
    <w:tblStylePr w:type="band1Horz">
      <w:tblPr/>
      <w:tcPr>
        <w:shd w:val="clear" w:color="auto" w:fill="FEF6E6" w:themeFill="accent6" w:themeFillTint="33"/>
      </w:tcPr>
    </w:tblStylePr>
  </w:style>
  <w:style w:type="table" w:customStyle="1" w:styleId="Summaryboxtablestyle">
    <w:name w:val="Summary box table style"/>
    <w:basedOn w:val="TableNormal"/>
    <w:uiPriority w:val="99"/>
    <w:rsid w:val="00B965B5"/>
    <w:pPr>
      <w:spacing w:after="0" w:line="240" w:lineRule="auto"/>
    </w:pPr>
    <w:tblPr>
      <w:tblStyleRowBandSize w:val="1"/>
      <w:tblBorders>
        <w:top w:val="single" w:sz="4" w:space="0" w:color="6B818C" w:themeColor="accent5"/>
        <w:left w:val="single" w:sz="4" w:space="0" w:color="6B818C" w:themeColor="accent5"/>
        <w:bottom w:val="single" w:sz="4" w:space="0" w:color="6B818C" w:themeColor="accent5"/>
        <w:right w:val="single" w:sz="4" w:space="0" w:color="6B818C" w:themeColor="accent5"/>
      </w:tblBorders>
    </w:tblPr>
    <w:tblStylePr w:type="firstRow">
      <w:rPr>
        <w:b/>
        <w:color w:val="FFFFFF" w:themeColor="background1"/>
      </w:rPr>
      <w:tblPr/>
      <w:tcPr>
        <w:shd w:val="clear" w:color="auto" w:fill="6B818C" w:themeFill="accent5"/>
      </w:tcPr>
    </w:tblStylePr>
    <w:tblStylePr w:type="band2Horz">
      <w:tblPr/>
      <w:tcPr>
        <w:shd w:val="clear" w:color="auto" w:fill="E1E5E8" w:themeFill="accent5" w:themeFillTint="33"/>
      </w:tcPr>
    </w:tblStylePr>
  </w:style>
  <w:style w:type="paragraph" w:customStyle="1" w:styleId="TableNote">
    <w:name w:val="Table Note"/>
    <w:next w:val="Normal"/>
    <w:uiPriority w:val="2"/>
    <w:qFormat/>
    <w:rsid w:val="00131A63"/>
    <w:pPr>
      <w:spacing w:before="40" w:after="280"/>
    </w:pPr>
    <w:rPr>
      <w:rFonts w:eastAsia="Calibri" w:cs="Times New Roman"/>
      <w:i/>
      <w:iCs/>
      <w:color w:val="305853" w:themeColor="accent3" w:themeShade="BF"/>
      <w:kern w:val="10"/>
      <w:sz w:val="20"/>
    </w:rPr>
  </w:style>
  <w:style w:type="character" w:styleId="Emphasis">
    <w:name w:val="Emphasis"/>
    <w:basedOn w:val="DefaultParagraphFont"/>
    <w:uiPriority w:val="20"/>
    <w:qFormat/>
    <w:rsid w:val="004510D8"/>
    <w:rPr>
      <w:i/>
      <w:iCs/>
    </w:rPr>
  </w:style>
  <w:style w:type="paragraph" w:styleId="Bibliography">
    <w:name w:val="Bibliography"/>
    <w:aliases w:val="Reference List"/>
    <w:basedOn w:val="Normal"/>
    <w:uiPriority w:val="3"/>
    <w:qFormat/>
    <w:rsid w:val="004510D8"/>
    <w:pPr>
      <w:ind w:left="567" w:hanging="567"/>
      <w:jc w:val="left"/>
    </w:pPr>
    <w:rPr>
      <w:kern w:val="10"/>
    </w:rPr>
  </w:style>
  <w:style w:type="paragraph" w:customStyle="1" w:styleId="Bullet2">
    <w:name w:val="Bullet 2"/>
    <w:basedOn w:val="Normal"/>
    <w:rsid w:val="00A90860"/>
    <w:pPr>
      <w:numPr>
        <w:numId w:val="12"/>
      </w:numPr>
      <w:tabs>
        <w:tab w:val="clear" w:pos="851"/>
        <w:tab w:val="left" w:pos="907"/>
      </w:tabs>
      <w:spacing w:after="0" w:line="240" w:lineRule="auto"/>
      <w:ind w:left="908" w:hanging="454"/>
      <w:jc w:val="left"/>
    </w:pPr>
    <w:rPr>
      <w:rFonts w:ascii="Arial" w:eastAsia="Times New Roman" w:hAnsi="Arial"/>
      <w:sz w:val="22"/>
      <w:szCs w:val="20"/>
    </w:rPr>
  </w:style>
  <w:style w:type="paragraph" w:customStyle="1" w:styleId="Boxbullett">
    <w:name w:val="Box bullett"/>
    <w:basedOn w:val="Normal"/>
    <w:qFormat/>
    <w:rsid w:val="00232830"/>
    <w:pPr>
      <w:pBdr>
        <w:top w:val="single" w:sz="4" w:space="8" w:color="FFFFFF"/>
        <w:left w:val="single" w:sz="4" w:space="8" w:color="FFFFFF"/>
        <w:bottom w:val="single" w:sz="4" w:space="8" w:color="FFFFFF"/>
        <w:right w:val="single" w:sz="4" w:space="8" w:color="FFFFFF"/>
      </w:pBdr>
      <w:shd w:val="clear" w:color="auto" w:fill="EAF1DD"/>
      <w:spacing w:before="120" w:after="120" w:line="260" w:lineRule="atLeast"/>
      <w:ind w:right="567"/>
      <w:jc w:val="left"/>
    </w:pPr>
    <w:rPr>
      <w:sz w:val="22"/>
    </w:rPr>
  </w:style>
  <w:style w:type="table" w:styleId="PlainTable5">
    <w:name w:val="Plain Table 5"/>
    <w:basedOn w:val="TableNormal"/>
    <w:uiPriority w:val="45"/>
    <w:rsid w:val="00A9086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ppendix">
    <w:name w:val="Appendix"/>
    <w:qFormat/>
    <w:rsid w:val="00A90860"/>
    <w:pPr>
      <w:numPr>
        <w:numId w:val="13"/>
      </w:numPr>
      <w:spacing w:after="0" w:line="240" w:lineRule="auto"/>
    </w:pPr>
    <w:rPr>
      <w:rFonts w:ascii="Calibri" w:eastAsia="Calibri" w:hAnsi="Calibri" w:cs="Times New Roman"/>
      <w:b/>
      <w:smallCaps/>
      <w:color w:val="262626"/>
      <w:sz w:val="36"/>
      <w:szCs w:val="36"/>
    </w:rPr>
  </w:style>
  <w:style w:type="paragraph" w:customStyle="1" w:styleId="Char2">
    <w:name w:val="Char2"/>
    <w:basedOn w:val="Normal"/>
    <w:link w:val="FootnoteReference"/>
    <w:uiPriority w:val="99"/>
    <w:rsid w:val="00914139"/>
    <w:pPr>
      <w:spacing w:line="240" w:lineRule="exact"/>
      <w:ind w:left="425" w:hanging="425"/>
    </w:pPr>
    <w:rPr>
      <w:rFonts w:eastAsiaTheme="minorHAnsi" w:cstheme="minorBidi"/>
      <w:b/>
      <w:bCs/>
      <w:sz w:val="22"/>
      <w:vertAlign w:val="superscript"/>
    </w:rPr>
  </w:style>
  <w:style w:type="paragraph" w:customStyle="1" w:styleId="AlphabeticList">
    <w:name w:val="Alphabetic List"/>
    <w:basedOn w:val="ListParagraph"/>
    <w:uiPriority w:val="99"/>
    <w:qFormat/>
    <w:rsid w:val="00914139"/>
    <w:pPr>
      <w:numPr>
        <w:numId w:val="15"/>
      </w:numPr>
      <w:spacing w:after="120" w:line="240" w:lineRule="auto"/>
      <w:jc w:val="left"/>
    </w:pPr>
    <w:rPr>
      <w:rFonts w:ascii="Calibri" w:hAnsi="Calibri"/>
      <w:kern w:val="0"/>
      <w:sz w:val="22"/>
    </w:rPr>
  </w:style>
  <w:style w:type="paragraph" w:customStyle="1" w:styleId="ClauseLevel1">
    <w:name w:val="Clause Level 1"/>
    <w:basedOn w:val="Normal"/>
    <w:next w:val="Normal"/>
    <w:uiPriority w:val="99"/>
    <w:rsid w:val="00ED238A"/>
    <w:pPr>
      <w:keepNext/>
      <w:numPr>
        <w:numId w:val="17"/>
      </w:numPr>
      <w:pBdr>
        <w:bottom w:val="single" w:sz="2" w:space="0" w:color="auto"/>
      </w:pBdr>
      <w:spacing w:before="200" w:after="120" w:line="280" w:lineRule="atLeast"/>
      <w:jc w:val="left"/>
      <w:outlineLvl w:val="0"/>
    </w:pPr>
    <w:rPr>
      <w:rFonts w:ascii="Arial" w:eastAsia="Times New Roman" w:hAnsi="Arial" w:cs="Arial"/>
      <w:b/>
      <w:caps/>
      <w:sz w:val="20"/>
      <w:lang w:eastAsia="en-AU"/>
    </w:rPr>
  </w:style>
  <w:style w:type="paragraph" w:customStyle="1" w:styleId="ClauseLevel2">
    <w:name w:val="Clause Level 2"/>
    <w:next w:val="Normal"/>
    <w:qFormat/>
    <w:rsid w:val="00ED238A"/>
    <w:pPr>
      <w:keepNext/>
      <w:numPr>
        <w:ilvl w:val="1"/>
        <w:numId w:val="17"/>
      </w:numPr>
      <w:spacing w:before="140" w:after="140" w:line="280" w:lineRule="atLeast"/>
      <w:outlineLvl w:val="1"/>
    </w:pPr>
    <w:rPr>
      <w:rFonts w:ascii="Arial" w:eastAsia="Times New Roman" w:hAnsi="Arial" w:cs="Arial"/>
      <w:b/>
      <w:sz w:val="20"/>
      <w:lang w:eastAsia="en-AU"/>
    </w:rPr>
  </w:style>
  <w:style w:type="paragraph" w:customStyle="1" w:styleId="ClauseLevel3">
    <w:name w:val="Clause Level 3"/>
    <w:basedOn w:val="Normal"/>
    <w:uiPriority w:val="99"/>
    <w:qFormat/>
    <w:rsid w:val="00ED238A"/>
    <w:pPr>
      <w:numPr>
        <w:ilvl w:val="2"/>
        <w:numId w:val="17"/>
      </w:numPr>
      <w:spacing w:before="120" w:after="120" w:line="280" w:lineRule="atLeast"/>
      <w:jc w:val="left"/>
    </w:pPr>
    <w:rPr>
      <w:rFonts w:ascii="Arial" w:eastAsia="Times New Roman" w:hAnsi="Arial" w:cs="Arial"/>
      <w:color w:val="000000"/>
      <w:sz w:val="20"/>
      <w:lang w:eastAsia="en-AU"/>
    </w:rPr>
  </w:style>
  <w:style w:type="paragraph" w:customStyle="1" w:styleId="ClauseLevel4">
    <w:name w:val="Clause Level 4"/>
    <w:basedOn w:val="ClauseLevel3"/>
    <w:uiPriority w:val="99"/>
    <w:qFormat/>
    <w:rsid w:val="00ED238A"/>
    <w:pPr>
      <w:numPr>
        <w:ilvl w:val="3"/>
      </w:numPr>
      <w:spacing w:before="0"/>
    </w:pPr>
  </w:style>
  <w:style w:type="paragraph" w:customStyle="1" w:styleId="ClauseLevel5">
    <w:name w:val="Clause Level 5"/>
    <w:basedOn w:val="ClauseLevel4"/>
    <w:uiPriority w:val="99"/>
    <w:qFormat/>
    <w:rsid w:val="00ED238A"/>
    <w:pPr>
      <w:numPr>
        <w:ilvl w:val="4"/>
      </w:numPr>
    </w:pPr>
  </w:style>
  <w:style w:type="paragraph" w:customStyle="1" w:styleId="ClauseLevel6">
    <w:name w:val="Clause Level 6"/>
    <w:basedOn w:val="ClauseLevel4"/>
    <w:uiPriority w:val="99"/>
    <w:rsid w:val="00ED238A"/>
    <w:pPr>
      <w:numPr>
        <w:ilvl w:val="5"/>
      </w:numPr>
    </w:pPr>
  </w:style>
  <w:style w:type="paragraph" w:customStyle="1" w:styleId="ClauseLevel7">
    <w:name w:val="Clause Level 7"/>
    <w:basedOn w:val="ClauseLevel4"/>
    <w:uiPriority w:val="99"/>
    <w:rsid w:val="00ED238A"/>
    <w:pPr>
      <w:numPr>
        <w:ilvl w:val="6"/>
      </w:numPr>
    </w:pPr>
  </w:style>
  <w:style w:type="paragraph" w:customStyle="1" w:styleId="ClauseLevel8">
    <w:name w:val="Clause Level 8"/>
    <w:basedOn w:val="ClauseLevel4"/>
    <w:uiPriority w:val="99"/>
    <w:rsid w:val="00ED238A"/>
    <w:pPr>
      <w:numPr>
        <w:ilvl w:val="7"/>
      </w:numPr>
    </w:pPr>
  </w:style>
  <w:style w:type="paragraph" w:customStyle="1" w:styleId="ClauseLevel9">
    <w:name w:val="Clause Level 9"/>
    <w:basedOn w:val="ClauseLevel4"/>
    <w:uiPriority w:val="99"/>
    <w:rsid w:val="00ED238A"/>
    <w:pPr>
      <w:numPr>
        <w:ilvl w:val="8"/>
      </w:numPr>
    </w:pPr>
  </w:style>
  <w:style w:type="paragraph" w:customStyle="1" w:styleId="AIATSISBodyText">
    <w:name w:val="AIATSIS Body Text"/>
    <w:basedOn w:val="BodyText"/>
    <w:rsid w:val="00ED238A"/>
    <w:pPr>
      <w:widowControl/>
      <w:autoSpaceDE/>
      <w:autoSpaceDN/>
      <w:adjustRightInd/>
      <w:spacing w:after="120"/>
    </w:pPr>
    <w:rPr>
      <w:rFonts w:ascii="Calibri" w:eastAsia="Times New Roman" w:hAnsi="Calibri"/>
      <w:kern w:val="0"/>
      <w:sz w:val="22"/>
      <w:lang w:eastAsia="en-US"/>
    </w:rPr>
  </w:style>
  <w:style w:type="paragraph" w:customStyle="1" w:styleId="Normal-Close">
    <w:name w:val="Normal - Close"/>
    <w:basedOn w:val="Normal"/>
    <w:qFormat/>
    <w:rsid w:val="00B24AB4"/>
    <w:pPr>
      <w:spacing w:after="0" w:line="240" w:lineRule="auto"/>
      <w:jc w:val="left"/>
    </w:pPr>
    <w:rPr>
      <w:rFonts w:ascii="Calibri" w:hAnsi="Calibri"/>
      <w:sz w:val="22"/>
    </w:rPr>
  </w:style>
  <w:style w:type="character" w:styleId="FollowedHyperlink">
    <w:name w:val="FollowedHyperlink"/>
    <w:basedOn w:val="DefaultParagraphFont"/>
    <w:uiPriority w:val="99"/>
    <w:semiHidden/>
    <w:unhideWhenUsed/>
    <w:rsid w:val="00450886"/>
    <w:rPr>
      <w:color w:val="7F5599" w:themeColor="followedHyperlink"/>
      <w:u w:val="single"/>
    </w:rPr>
  </w:style>
  <w:style w:type="paragraph" w:customStyle="1" w:styleId="Default">
    <w:name w:val="Default"/>
    <w:rsid w:val="00520ADD"/>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B57378"/>
    <w:pPr>
      <w:spacing w:line="240" w:lineRule="auto"/>
    </w:pPr>
    <w:rPr>
      <w:b/>
      <w:bCs/>
      <w:color w:val="auto"/>
      <w:kern w:val="0"/>
      <w:sz w:val="20"/>
    </w:rPr>
  </w:style>
  <w:style w:type="character" w:customStyle="1" w:styleId="CommentSubjectChar">
    <w:name w:val="Comment Subject Char"/>
    <w:basedOn w:val="CommentTextChar"/>
    <w:link w:val="CommentSubject"/>
    <w:uiPriority w:val="99"/>
    <w:semiHidden/>
    <w:rsid w:val="00B57378"/>
    <w:rPr>
      <w:rFonts w:ascii="Calibri" w:eastAsia="Calibri" w:hAnsi="Calibri" w:cs="Times New Roman"/>
      <w:b/>
      <w:bCs/>
      <w:color w:val="14425D" w:themeColor="text2"/>
      <w:sz w:val="20"/>
      <w:szCs w:val="20"/>
    </w:rPr>
  </w:style>
  <w:style w:type="paragraph" w:customStyle="1" w:styleId="Pa1">
    <w:name w:val="Pa1"/>
    <w:basedOn w:val="Default"/>
    <w:next w:val="Default"/>
    <w:uiPriority w:val="99"/>
    <w:rsid w:val="00E01D46"/>
    <w:pPr>
      <w:spacing w:line="201" w:lineRule="atLeast"/>
    </w:pPr>
    <w:rPr>
      <w:rFonts w:ascii="MrEavesXLModOTBook" w:hAnsi="MrEavesXLModOTBook" w:cstheme="minorBidi"/>
      <w:color w:val="auto"/>
    </w:rPr>
  </w:style>
  <w:style w:type="character" w:customStyle="1" w:styleId="A5">
    <w:name w:val="A5"/>
    <w:uiPriority w:val="99"/>
    <w:rsid w:val="003E7CBA"/>
    <w:rPr>
      <w:rFonts w:cs="MrEavesXLModOTBook"/>
      <w:color w:val="000000"/>
      <w:sz w:val="20"/>
      <w:szCs w:val="20"/>
    </w:rPr>
  </w:style>
  <w:style w:type="paragraph" w:customStyle="1" w:styleId="Findingssummarylist">
    <w:name w:val="Findings summary list"/>
    <w:basedOn w:val="TableText"/>
    <w:qFormat/>
    <w:rsid w:val="007F34B0"/>
    <w:pPr>
      <w:numPr>
        <w:numId w:val="2"/>
      </w:numPr>
      <w:spacing w:line="240" w:lineRule="auto"/>
    </w:pPr>
  </w:style>
  <w:style w:type="character" w:customStyle="1" w:styleId="normaltextrun">
    <w:name w:val="normaltextrun"/>
    <w:basedOn w:val="DefaultParagraphFont"/>
    <w:rsid w:val="007C4E4B"/>
  </w:style>
  <w:style w:type="character" w:customStyle="1" w:styleId="A3">
    <w:name w:val="A3"/>
    <w:uiPriority w:val="99"/>
    <w:rsid w:val="00A40AD9"/>
    <w:rPr>
      <w:rFonts w:cs="Source Sans Pro ExtraLight"/>
      <w:color w:val="000000"/>
      <w:sz w:val="22"/>
      <w:szCs w:val="22"/>
    </w:rPr>
  </w:style>
  <w:style w:type="character" w:customStyle="1" w:styleId="UnresolvedMention2">
    <w:name w:val="Unresolved Mention2"/>
    <w:basedOn w:val="DefaultParagraphFont"/>
    <w:uiPriority w:val="99"/>
    <w:semiHidden/>
    <w:unhideWhenUsed/>
    <w:rsid w:val="00A40AD9"/>
    <w:rPr>
      <w:color w:val="605E5C"/>
      <w:shd w:val="clear" w:color="auto" w:fill="E1DFDD"/>
    </w:rPr>
  </w:style>
  <w:style w:type="paragraph" w:customStyle="1" w:styleId="pf0">
    <w:name w:val="pf0"/>
    <w:basedOn w:val="Normal"/>
    <w:rsid w:val="005129A9"/>
    <w:pPr>
      <w:spacing w:before="100" w:beforeAutospacing="1" w:after="100" w:afterAutospacing="1" w:line="240" w:lineRule="auto"/>
      <w:jc w:val="left"/>
    </w:pPr>
    <w:rPr>
      <w:rFonts w:ascii="Times New Roman" w:eastAsia="Times New Roman" w:hAnsi="Times New Roman"/>
      <w:szCs w:val="24"/>
      <w:lang w:eastAsia="en-AU"/>
    </w:rPr>
  </w:style>
  <w:style w:type="character" w:customStyle="1" w:styleId="cf01">
    <w:name w:val="cf01"/>
    <w:basedOn w:val="DefaultParagraphFont"/>
    <w:rsid w:val="005129A9"/>
    <w:rPr>
      <w:rFonts w:ascii="Segoe UI" w:hAnsi="Segoe UI" w:cs="Segoe UI" w:hint="default"/>
      <w:color w:val="14425D"/>
      <w:sz w:val="18"/>
      <w:szCs w:val="18"/>
    </w:rPr>
  </w:style>
  <w:style w:type="character" w:customStyle="1" w:styleId="UnresolvedMention3">
    <w:name w:val="Unresolved Mention3"/>
    <w:basedOn w:val="DefaultParagraphFont"/>
    <w:uiPriority w:val="99"/>
    <w:semiHidden/>
    <w:unhideWhenUsed/>
    <w:rsid w:val="00BE77C3"/>
    <w:rPr>
      <w:color w:val="605E5C"/>
      <w:shd w:val="clear" w:color="auto" w:fill="E1DFDD"/>
    </w:rPr>
  </w:style>
  <w:style w:type="character" w:styleId="UnresolvedMention">
    <w:name w:val="Unresolved Mention"/>
    <w:basedOn w:val="DefaultParagraphFont"/>
    <w:uiPriority w:val="99"/>
    <w:semiHidden/>
    <w:unhideWhenUsed/>
    <w:rsid w:val="00B41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021">
      <w:bodyDiv w:val="1"/>
      <w:marLeft w:val="0"/>
      <w:marRight w:val="0"/>
      <w:marTop w:val="0"/>
      <w:marBottom w:val="0"/>
      <w:divBdr>
        <w:top w:val="none" w:sz="0" w:space="0" w:color="auto"/>
        <w:left w:val="none" w:sz="0" w:space="0" w:color="auto"/>
        <w:bottom w:val="none" w:sz="0" w:space="0" w:color="auto"/>
        <w:right w:val="none" w:sz="0" w:space="0" w:color="auto"/>
      </w:divBdr>
    </w:div>
    <w:div w:id="39591972">
      <w:bodyDiv w:val="1"/>
      <w:marLeft w:val="0"/>
      <w:marRight w:val="0"/>
      <w:marTop w:val="0"/>
      <w:marBottom w:val="0"/>
      <w:divBdr>
        <w:top w:val="none" w:sz="0" w:space="0" w:color="auto"/>
        <w:left w:val="none" w:sz="0" w:space="0" w:color="auto"/>
        <w:bottom w:val="none" w:sz="0" w:space="0" w:color="auto"/>
        <w:right w:val="none" w:sz="0" w:space="0" w:color="auto"/>
      </w:divBdr>
    </w:div>
    <w:div w:id="78134949">
      <w:bodyDiv w:val="1"/>
      <w:marLeft w:val="0"/>
      <w:marRight w:val="0"/>
      <w:marTop w:val="0"/>
      <w:marBottom w:val="0"/>
      <w:divBdr>
        <w:top w:val="none" w:sz="0" w:space="0" w:color="auto"/>
        <w:left w:val="none" w:sz="0" w:space="0" w:color="auto"/>
        <w:bottom w:val="none" w:sz="0" w:space="0" w:color="auto"/>
        <w:right w:val="none" w:sz="0" w:space="0" w:color="auto"/>
      </w:divBdr>
    </w:div>
    <w:div w:id="147213571">
      <w:bodyDiv w:val="1"/>
      <w:marLeft w:val="0"/>
      <w:marRight w:val="0"/>
      <w:marTop w:val="0"/>
      <w:marBottom w:val="0"/>
      <w:divBdr>
        <w:top w:val="none" w:sz="0" w:space="0" w:color="auto"/>
        <w:left w:val="none" w:sz="0" w:space="0" w:color="auto"/>
        <w:bottom w:val="none" w:sz="0" w:space="0" w:color="auto"/>
        <w:right w:val="none" w:sz="0" w:space="0" w:color="auto"/>
      </w:divBdr>
      <w:divsChild>
        <w:div w:id="546066849">
          <w:marLeft w:val="144"/>
          <w:marRight w:val="0"/>
          <w:marTop w:val="20"/>
          <w:marBottom w:val="0"/>
          <w:divBdr>
            <w:top w:val="none" w:sz="0" w:space="0" w:color="auto"/>
            <w:left w:val="none" w:sz="0" w:space="0" w:color="auto"/>
            <w:bottom w:val="none" w:sz="0" w:space="0" w:color="auto"/>
            <w:right w:val="none" w:sz="0" w:space="0" w:color="auto"/>
          </w:divBdr>
        </w:div>
        <w:div w:id="652875838">
          <w:marLeft w:val="144"/>
          <w:marRight w:val="0"/>
          <w:marTop w:val="20"/>
          <w:marBottom w:val="0"/>
          <w:divBdr>
            <w:top w:val="none" w:sz="0" w:space="0" w:color="auto"/>
            <w:left w:val="none" w:sz="0" w:space="0" w:color="auto"/>
            <w:bottom w:val="none" w:sz="0" w:space="0" w:color="auto"/>
            <w:right w:val="none" w:sz="0" w:space="0" w:color="auto"/>
          </w:divBdr>
        </w:div>
        <w:div w:id="1719696805">
          <w:marLeft w:val="144"/>
          <w:marRight w:val="0"/>
          <w:marTop w:val="20"/>
          <w:marBottom w:val="0"/>
          <w:divBdr>
            <w:top w:val="none" w:sz="0" w:space="0" w:color="auto"/>
            <w:left w:val="none" w:sz="0" w:space="0" w:color="auto"/>
            <w:bottom w:val="none" w:sz="0" w:space="0" w:color="auto"/>
            <w:right w:val="none" w:sz="0" w:space="0" w:color="auto"/>
          </w:divBdr>
        </w:div>
        <w:div w:id="2140492444">
          <w:marLeft w:val="144"/>
          <w:marRight w:val="0"/>
          <w:marTop w:val="20"/>
          <w:marBottom w:val="0"/>
          <w:divBdr>
            <w:top w:val="none" w:sz="0" w:space="0" w:color="auto"/>
            <w:left w:val="none" w:sz="0" w:space="0" w:color="auto"/>
            <w:bottom w:val="none" w:sz="0" w:space="0" w:color="auto"/>
            <w:right w:val="none" w:sz="0" w:space="0" w:color="auto"/>
          </w:divBdr>
        </w:div>
      </w:divsChild>
    </w:div>
    <w:div w:id="190144705">
      <w:bodyDiv w:val="1"/>
      <w:marLeft w:val="0"/>
      <w:marRight w:val="0"/>
      <w:marTop w:val="0"/>
      <w:marBottom w:val="0"/>
      <w:divBdr>
        <w:top w:val="none" w:sz="0" w:space="0" w:color="auto"/>
        <w:left w:val="none" w:sz="0" w:space="0" w:color="auto"/>
        <w:bottom w:val="none" w:sz="0" w:space="0" w:color="auto"/>
        <w:right w:val="none" w:sz="0" w:space="0" w:color="auto"/>
      </w:divBdr>
    </w:div>
    <w:div w:id="237250338">
      <w:bodyDiv w:val="1"/>
      <w:marLeft w:val="0"/>
      <w:marRight w:val="0"/>
      <w:marTop w:val="0"/>
      <w:marBottom w:val="0"/>
      <w:divBdr>
        <w:top w:val="none" w:sz="0" w:space="0" w:color="auto"/>
        <w:left w:val="none" w:sz="0" w:space="0" w:color="auto"/>
        <w:bottom w:val="none" w:sz="0" w:space="0" w:color="auto"/>
        <w:right w:val="none" w:sz="0" w:space="0" w:color="auto"/>
      </w:divBdr>
    </w:div>
    <w:div w:id="253979803">
      <w:bodyDiv w:val="1"/>
      <w:marLeft w:val="0"/>
      <w:marRight w:val="0"/>
      <w:marTop w:val="0"/>
      <w:marBottom w:val="0"/>
      <w:divBdr>
        <w:top w:val="none" w:sz="0" w:space="0" w:color="auto"/>
        <w:left w:val="none" w:sz="0" w:space="0" w:color="auto"/>
        <w:bottom w:val="none" w:sz="0" w:space="0" w:color="auto"/>
        <w:right w:val="none" w:sz="0" w:space="0" w:color="auto"/>
      </w:divBdr>
    </w:div>
    <w:div w:id="256207647">
      <w:bodyDiv w:val="1"/>
      <w:marLeft w:val="0"/>
      <w:marRight w:val="0"/>
      <w:marTop w:val="0"/>
      <w:marBottom w:val="0"/>
      <w:divBdr>
        <w:top w:val="none" w:sz="0" w:space="0" w:color="auto"/>
        <w:left w:val="none" w:sz="0" w:space="0" w:color="auto"/>
        <w:bottom w:val="none" w:sz="0" w:space="0" w:color="auto"/>
        <w:right w:val="none" w:sz="0" w:space="0" w:color="auto"/>
      </w:divBdr>
      <w:divsChild>
        <w:div w:id="450712894">
          <w:marLeft w:val="144"/>
          <w:marRight w:val="0"/>
          <w:marTop w:val="20"/>
          <w:marBottom w:val="0"/>
          <w:divBdr>
            <w:top w:val="none" w:sz="0" w:space="0" w:color="auto"/>
            <w:left w:val="none" w:sz="0" w:space="0" w:color="auto"/>
            <w:bottom w:val="none" w:sz="0" w:space="0" w:color="auto"/>
            <w:right w:val="none" w:sz="0" w:space="0" w:color="auto"/>
          </w:divBdr>
        </w:div>
        <w:div w:id="795677611">
          <w:marLeft w:val="144"/>
          <w:marRight w:val="0"/>
          <w:marTop w:val="20"/>
          <w:marBottom w:val="0"/>
          <w:divBdr>
            <w:top w:val="none" w:sz="0" w:space="0" w:color="auto"/>
            <w:left w:val="none" w:sz="0" w:space="0" w:color="auto"/>
            <w:bottom w:val="none" w:sz="0" w:space="0" w:color="auto"/>
            <w:right w:val="none" w:sz="0" w:space="0" w:color="auto"/>
          </w:divBdr>
        </w:div>
        <w:div w:id="1450733566">
          <w:marLeft w:val="144"/>
          <w:marRight w:val="0"/>
          <w:marTop w:val="20"/>
          <w:marBottom w:val="0"/>
          <w:divBdr>
            <w:top w:val="none" w:sz="0" w:space="0" w:color="auto"/>
            <w:left w:val="none" w:sz="0" w:space="0" w:color="auto"/>
            <w:bottom w:val="none" w:sz="0" w:space="0" w:color="auto"/>
            <w:right w:val="none" w:sz="0" w:space="0" w:color="auto"/>
          </w:divBdr>
        </w:div>
        <w:div w:id="1869873248">
          <w:marLeft w:val="144"/>
          <w:marRight w:val="0"/>
          <w:marTop w:val="20"/>
          <w:marBottom w:val="0"/>
          <w:divBdr>
            <w:top w:val="none" w:sz="0" w:space="0" w:color="auto"/>
            <w:left w:val="none" w:sz="0" w:space="0" w:color="auto"/>
            <w:bottom w:val="none" w:sz="0" w:space="0" w:color="auto"/>
            <w:right w:val="none" w:sz="0" w:space="0" w:color="auto"/>
          </w:divBdr>
        </w:div>
        <w:div w:id="2014796833">
          <w:marLeft w:val="144"/>
          <w:marRight w:val="0"/>
          <w:marTop w:val="20"/>
          <w:marBottom w:val="0"/>
          <w:divBdr>
            <w:top w:val="none" w:sz="0" w:space="0" w:color="auto"/>
            <w:left w:val="none" w:sz="0" w:space="0" w:color="auto"/>
            <w:bottom w:val="none" w:sz="0" w:space="0" w:color="auto"/>
            <w:right w:val="none" w:sz="0" w:space="0" w:color="auto"/>
          </w:divBdr>
        </w:div>
      </w:divsChild>
    </w:div>
    <w:div w:id="276259424">
      <w:bodyDiv w:val="1"/>
      <w:marLeft w:val="0"/>
      <w:marRight w:val="0"/>
      <w:marTop w:val="0"/>
      <w:marBottom w:val="0"/>
      <w:divBdr>
        <w:top w:val="none" w:sz="0" w:space="0" w:color="auto"/>
        <w:left w:val="none" w:sz="0" w:space="0" w:color="auto"/>
        <w:bottom w:val="none" w:sz="0" w:space="0" w:color="auto"/>
        <w:right w:val="none" w:sz="0" w:space="0" w:color="auto"/>
      </w:divBdr>
    </w:div>
    <w:div w:id="294681109">
      <w:bodyDiv w:val="1"/>
      <w:marLeft w:val="0"/>
      <w:marRight w:val="0"/>
      <w:marTop w:val="0"/>
      <w:marBottom w:val="0"/>
      <w:divBdr>
        <w:top w:val="none" w:sz="0" w:space="0" w:color="auto"/>
        <w:left w:val="none" w:sz="0" w:space="0" w:color="auto"/>
        <w:bottom w:val="none" w:sz="0" w:space="0" w:color="auto"/>
        <w:right w:val="none" w:sz="0" w:space="0" w:color="auto"/>
      </w:divBdr>
    </w:div>
    <w:div w:id="315693526">
      <w:bodyDiv w:val="1"/>
      <w:marLeft w:val="0"/>
      <w:marRight w:val="0"/>
      <w:marTop w:val="0"/>
      <w:marBottom w:val="0"/>
      <w:divBdr>
        <w:top w:val="none" w:sz="0" w:space="0" w:color="auto"/>
        <w:left w:val="none" w:sz="0" w:space="0" w:color="auto"/>
        <w:bottom w:val="none" w:sz="0" w:space="0" w:color="auto"/>
        <w:right w:val="none" w:sz="0" w:space="0" w:color="auto"/>
      </w:divBdr>
    </w:div>
    <w:div w:id="317422490">
      <w:bodyDiv w:val="1"/>
      <w:marLeft w:val="0"/>
      <w:marRight w:val="0"/>
      <w:marTop w:val="0"/>
      <w:marBottom w:val="0"/>
      <w:divBdr>
        <w:top w:val="none" w:sz="0" w:space="0" w:color="auto"/>
        <w:left w:val="none" w:sz="0" w:space="0" w:color="auto"/>
        <w:bottom w:val="none" w:sz="0" w:space="0" w:color="auto"/>
        <w:right w:val="none" w:sz="0" w:space="0" w:color="auto"/>
      </w:divBdr>
    </w:div>
    <w:div w:id="337006398">
      <w:bodyDiv w:val="1"/>
      <w:marLeft w:val="0"/>
      <w:marRight w:val="0"/>
      <w:marTop w:val="0"/>
      <w:marBottom w:val="0"/>
      <w:divBdr>
        <w:top w:val="none" w:sz="0" w:space="0" w:color="auto"/>
        <w:left w:val="none" w:sz="0" w:space="0" w:color="auto"/>
        <w:bottom w:val="none" w:sz="0" w:space="0" w:color="auto"/>
        <w:right w:val="none" w:sz="0" w:space="0" w:color="auto"/>
      </w:divBdr>
    </w:div>
    <w:div w:id="351339391">
      <w:bodyDiv w:val="1"/>
      <w:marLeft w:val="0"/>
      <w:marRight w:val="0"/>
      <w:marTop w:val="0"/>
      <w:marBottom w:val="0"/>
      <w:divBdr>
        <w:top w:val="none" w:sz="0" w:space="0" w:color="auto"/>
        <w:left w:val="none" w:sz="0" w:space="0" w:color="auto"/>
        <w:bottom w:val="none" w:sz="0" w:space="0" w:color="auto"/>
        <w:right w:val="none" w:sz="0" w:space="0" w:color="auto"/>
      </w:divBdr>
    </w:div>
    <w:div w:id="409230357">
      <w:bodyDiv w:val="1"/>
      <w:marLeft w:val="0"/>
      <w:marRight w:val="0"/>
      <w:marTop w:val="0"/>
      <w:marBottom w:val="0"/>
      <w:divBdr>
        <w:top w:val="none" w:sz="0" w:space="0" w:color="auto"/>
        <w:left w:val="none" w:sz="0" w:space="0" w:color="auto"/>
        <w:bottom w:val="none" w:sz="0" w:space="0" w:color="auto"/>
        <w:right w:val="none" w:sz="0" w:space="0" w:color="auto"/>
      </w:divBdr>
    </w:div>
    <w:div w:id="462816055">
      <w:bodyDiv w:val="1"/>
      <w:marLeft w:val="0"/>
      <w:marRight w:val="0"/>
      <w:marTop w:val="0"/>
      <w:marBottom w:val="0"/>
      <w:divBdr>
        <w:top w:val="none" w:sz="0" w:space="0" w:color="auto"/>
        <w:left w:val="none" w:sz="0" w:space="0" w:color="auto"/>
        <w:bottom w:val="none" w:sz="0" w:space="0" w:color="auto"/>
        <w:right w:val="none" w:sz="0" w:space="0" w:color="auto"/>
      </w:divBdr>
    </w:div>
    <w:div w:id="466893496">
      <w:bodyDiv w:val="1"/>
      <w:marLeft w:val="0"/>
      <w:marRight w:val="0"/>
      <w:marTop w:val="0"/>
      <w:marBottom w:val="0"/>
      <w:divBdr>
        <w:top w:val="none" w:sz="0" w:space="0" w:color="auto"/>
        <w:left w:val="none" w:sz="0" w:space="0" w:color="auto"/>
        <w:bottom w:val="none" w:sz="0" w:space="0" w:color="auto"/>
        <w:right w:val="none" w:sz="0" w:space="0" w:color="auto"/>
      </w:divBdr>
      <w:divsChild>
        <w:div w:id="604576594">
          <w:marLeft w:val="432"/>
          <w:marRight w:val="216"/>
          <w:marTop w:val="0"/>
          <w:marBottom w:val="0"/>
          <w:divBdr>
            <w:top w:val="none" w:sz="0" w:space="0" w:color="auto"/>
            <w:left w:val="none" w:sz="0" w:space="0" w:color="auto"/>
            <w:bottom w:val="none" w:sz="0" w:space="0" w:color="auto"/>
            <w:right w:val="none" w:sz="0" w:space="0" w:color="auto"/>
          </w:divBdr>
        </w:div>
        <w:div w:id="610864837">
          <w:marLeft w:val="216"/>
          <w:marRight w:val="432"/>
          <w:marTop w:val="0"/>
          <w:marBottom w:val="0"/>
          <w:divBdr>
            <w:top w:val="none" w:sz="0" w:space="0" w:color="auto"/>
            <w:left w:val="none" w:sz="0" w:space="0" w:color="auto"/>
            <w:bottom w:val="none" w:sz="0" w:space="0" w:color="auto"/>
            <w:right w:val="none" w:sz="0" w:space="0" w:color="auto"/>
          </w:divBdr>
        </w:div>
        <w:div w:id="652564914">
          <w:marLeft w:val="432"/>
          <w:marRight w:val="216"/>
          <w:marTop w:val="0"/>
          <w:marBottom w:val="0"/>
          <w:divBdr>
            <w:top w:val="none" w:sz="0" w:space="0" w:color="auto"/>
            <w:left w:val="none" w:sz="0" w:space="0" w:color="auto"/>
            <w:bottom w:val="none" w:sz="0" w:space="0" w:color="auto"/>
            <w:right w:val="none" w:sz="0" w:space="0" w:color="auto"/>
          </w:divBdr>
        </w:div>
        <w:div w:id="746802879">
          <w:marLeft w:val="216"/>
          <w:marRight w:val="432"/>
          <w:marTop w:val="0"/>
          <w:marBottom w:val="0"/>
          <w:divBdr>
            <w:top w:val="none" w:sz="0" w:space="0" w:color="auto"/>
            <w:left w:val="none" w:sz="0" w:space="0" w:color="auto"/>
            <w:bottom w:val="none" w:sz="0" w:space="0" w:color="auto"/>
            <w:right w:val="none" w:sz="0" w:space="0" w:color="auto"/>
          </w:divBdr>
        </w:div>
      </w:divsChild>
    </w:div>
    <w:div w:id="503937061">
      <w:bodyDiv w:val="1"/>
      <w:marLeft w:val="0"/>
      <w:marRight w:val="0"/>
      <w:marTop w:val="0"/>
      <w:marBottom w:val="0"/>
      <w:divBdr>
        <w:top w:val="none" w:sz="0" w:space="0" w:color="auto"/>
        <w:left w:val="none" w:sz="0" w:space="0" w:color="auto"/>
        <w:bottom w:val="none" w:sz="0" w:space="0" w:color="auto"/>
        <w:right w:val="none" w:sz="0" w:space="0" w:color="auto"/>
      </w:divBdr>
      <w:divsChild>
        <w:div w:id="98717736">
          <w:marLeft w:val="144"/>
          <w:marRight w:val="0"/>
          <w:marTop w:val="20"/>
          <w:marBottom w:val="0"/>
          <w:divBdr>
            <w:top w:val="none" w:sz="0" w:space="0" w:color="auto"/>
            <w:left w:val="none" w:sz="0" w:space="0" w:color="auto"/>
            <w:bottom w:val="none" w:sz="0" w:space="0" w:color="auto"/>
            <w:right w:val="none" w:sz="0" w:space="0" w:color="auto"/>
          </w:divBdr>
        </w:div>
        <w:div w:id="306202998">
          <w:marLeft w:val="144"/>
          <w:marRight w:val="0"/>
          <w:marTop w:val="20"/>
          <w:marBottom w:val="0"/>
          <w:divBdr>
            <w:top w:val="none" w:sz="0" w:space="0" w:color="auto"/>
            <w:left w:val="none" w:sz="0" w:space="0" w:color="auto"/>
            <w:bottom w:val="none" w:sz="0" w:space="0" w:color="auto"/>
            <w:right w:val="none" w:sz="0" w:space="0" w:color="auto"/>
          </w:divBdr>
        </w:div>
        <w:div w:id="1189754885">
          <w:marLeft w:val="144"/>
          <w:marRight w:val="0"/>
          <w:marTop w:val="20"/>
          <w:marBottom w:val="0"/>
          <w:divBdr>
            <w:top w:val="none" w:sz="0" w:space="0" w:color="auto"/>
            <w:left w:val="none" w:sz="0" w:space="0" w:color="auto"/>
            <w:bottom w:val="none" w:sz="0" w:space="0" w:color="auto"/>
            <w:right w:val="none" w:sz="0" w:space="0" w:color="auto"/>
          </w:divBdr>
        </w:div>
        <w:div w:id="1750346070">
          <w:marLeft w:val="144"/>
          <w:marRight w:val="0"/>
          <w:marTop w:val="20"/>
          <w:marBottom w:val="0"/>
          <w:divBdr>
            <w:top w:val="none" w:sz="0" w:space="0" w:color="auto"/>
            <w:left w:val="none" w:sz="0" w:space="0" w:color="auto"/>
            <w:bottom w:val="none" w:sz="0" w:space="0" w:color="auto"/>
            <w:right w:val="none" w:sz="0" w:space="0" w:color="auto"/>
          </w:divBdr>
        </w:div>
      </w:divsChild>
    </w:div>
    <w:div w:id="515581772">
      <w:bodyDiv w:val="1"/>
      <w:marLeft w:val="0"/>
      <w:marRight w:val="0"/>
      <w:marTop w:val="0"/>
      <w:marBottom w:val="0"/>
      <w:divBdr>
        <w:top w:val="none" w:sz="0" w:space="0" w:color="auto"/>
        <w:left w:val="none" w:sz="0" w:space="0" w:color="auto"/>
        <w:bottom w:val="none" w:sz="0" w:space="0" w:color="auto"/>
        <w:right w:val="none" w:sz="0" w:space="0" w:color="auto"/>
      </w:divBdr>
    </w:div>
    <w:div w:id="546375382">
      <w:bodyDiv w:val="1"/>
      <w:marLeft w:val="0"/>
      <w:marRight w:val="0"/>
      <w:marTop w:val="0"/>
      <w:marBottom w:val="0"/>
      <w:divBdr>
        <w:top w:val="none" w:sz="0" w:space="0" w:color="auto"/>
        <w:left w:val="none" w:sz="0" w:space="0" w:color="auto"/>
        <w:bottom w:val="none" w:sz="0" w:space="0" w:color="auto"/>
        <w:right w:val="none" w:sz="0" w:space="0" w:color="auto"/>
      </w:divBdr>
    </w:div>
    <w:div w:id="555973078">
      <w:bodyDiv w:val="1"/>
      <w:marLeft w:val="0"/>
      <w:marRight w:val="0"/>
      <w:marTop w:val="0"/>
      <w:marBottom w:val="0"/>
      <w:divBdr>
        <w:top w:val="none" w:sz="0" w:space="0" w:color="auto"/>
        <w:left w:val="none" w:sz="0" w:space="0" w:color="auto"/>
        <w:bottom w:val="none" w:sz="0" w:space="0" w:color="auto"/>
        <w:right w:val="none" w:sz="0" w:space="0" w:color="auto"/>
      </w:divBdr>
    </w:div>
    <w:div w:id="614558931">
      <w:bodyDiv w:val="1"/>
      <w:marLeft w:val="0"/>
      <w:marRight w:val="0"/>
      <w:marTop w:val="0"/>
      <w:marBottom w:val="0"/>
      <w:divBdr>
        <w:top w:val="none" w:sz="0" w:space="0" w:color="auto"/>
        <w:left w:val="none" w:sz="0" w:space="0" w:color="auto"/>
        <w:bottom w:val="none" w:sz="0" w:space="0" w:color="auto"/>
        <w:right w:val="none" w:sz="0" w:space="0" w:color="auto"/>
      </w:divBdr>
    </w:div>
    <w:div w:id="651108041">
      <w:bodyDiv w:val="1"/>
      <w:marLeft w:val="0"/>
      <w:marRight w:val="0"/>
      <w:marTop w:val="0"/>
      <w:marBottom w:val="0"/>
      <w:divBdr>
        <w:top w:val="none" w:sz="0" w:space="0" w:color="auto"/>
        <w:left w:val="none" w:sz="0" w:space="0" w:color="auto"/>
        <w:bottom w:val="none" w:sz="0" w:space="0" w:color="auto"/>
        <w:right w:val="none" w:sz="0" w:space="0" w:color="auto"/>
      </w:divBdr>
    </w:div>
    <w:div w:id="865290501">
      <w:bodyDiv w:val="1"/>
      <w:marLeft w:val="0"/>
      <w:marRight w:val="0"/>
      <w:marTop w:val="0"/>
      <w:marBottom w:val="0"/>
      <w:divBdr>
        <w:top w:val="none" w:sz="0" w:space="0" w:color="auto"/>
        <w:left w:val="none" w:sz="0" w:space="0" w:color="auto"/>
        <w:bottom w:val="none" w:sz="0" w:space="0" w:color="auto"/>
        <w:right w:val="none" w:sz="0" w:space="0" w:color="auto"/>
      </w:divBdr>
      <w:divsChild>
        <w:div w:id="134877616">
          <w:marLeft w:val="144"/>
          <w:marRight w:val="0"/>
          <w:marTop w:val="20"/>
          <w:marBottom w:val="0"/>
          <w:divBdr>
            <w:top w:val="none" w:sz="0" w:space="0" w:color="auto"/>
            <w:left w:val="none" w:sz="0" w:space="0" w:color="auto"/>
            <w:bottom w:val="none" w:sz="0" w:space="0" w:color="auto"/>
            <w:right w:val="none" w:sz="0" w:space="0" w:color="auto"/>
          </w:divBdr>
        </w:div>
        <w:div w:id="566764586">
          <w:marLeft w:val="144"/>
          <w:marRight w:val="0"/>
          <w:marTop w:val="20"/>
          <w:marBottom w:val="0"/>
          <w:divBdr>
            <w:top w:val="none" w:sz="0" w:space="0" w:color="auto"/>
            <w:left w:val="none" w:sz="0" w:space="0" w:color="auto"/>
            <w:bottom w:val="none" w:sz="0" w:space="0" w:color="auto"/>
            <w:right w:val="none" w:sz="0" w:space="0" w:color="auto"/>
          </w:divBdr>
        </w:div>
        <w:div w:id="1356156987">
          <w:marLeft w:val="144"/>
          <w:marRight w:val="0"/>
          <w:marTop w:val="20"/>
          <w:marBottom w:val="0"/>
          <w:divBdr>
            <w:top w:val="none" w:sz="0" w:space="0" w:color="auto"/>
            <w:left w:val="none" w:sz="0" w:space="0" w:color="auto"/>
            <w:bottom w:val="none" w:sz="0" w:space="0" w:color="auto"/>
            <w:right w:val="none" w:sz="0" w:space="0" w:color="auto"/>
          </w:divBdr>
        </w:div>
        <w:div w:id="1647858692">
          <w:marLeft w:val="144"/>
          <w:marRight w:val="0"/>
          <w:marTop w:val="20"/>
          <w:marBottom w:val="0"/>
          <w:divBdr>
            <w:top w:val="none" w:sz="0" w:space="0" w:color="auto"/>
            <w:left w:val="none" w:sz="0" w:space="0" w:color="auto"/>
            <w:bottom w:val="none" w:sz="0" w:space="0" w:color="auto"/>
            <w:right w:val="none" w:sz="0" w:space="0" w:color="auto"/>
          </w:divBdr>
        </w:div>
      </w:divsChild>
    </w:div>
    <w:div w:id="901991120">
      <w:bodyDiv w:val="1"/>
      <w:marLeft w:val="0"/>
      <w:marRight w:val="0"/>
      <w:marTop w:val="0"/>
      <w:marBottom w:val="0"/>
      <w:divBdr>
        <w:top w:val="none" w:sz="0" w:space="0" w:color="auto"/>
        <w:left w:val="none" w:sz="0" w:space="0" w:color="auto"/>
        <w:bottom w:val="none" w:sz="0" w:space="0" w:color="auto"/>
        <w:right w:val="none" w:sz="0" w:space="0" w:color="auto"/>
      </w:divBdr>
    </w:div>
    <w:div w:id="905871182">
      <w:bodyDiv w:val="1"/>
      <w:marLeft w:val="0"/>
      <w:marRight w:val="0"/>
      <w:marTop w:val="0"/>
      <w:marBottom w:val="0"/>
      <w:divBdr>
        <w:top w:val="none" w:sz="0" w:space="0" w:color="auto"/>
        <w:left w:val="none" w:sz="0" w:space="0" w:color="auto"/>
        <w:bottom w:val="none" w:sz="0" w:space="0" w:color="auto"/>
        <w:right w:val="none" w:sz="0" w:space="0" w:color="auto"/>
      </w:divBdr>
    </w:div>
    <w:div w:id="946540094">
      <w:bodyDiv w:val="1"/>
      <w:marLeft w:val="0"/>
      <w:marRight w:val="0"/>
      <w:marTop w:val="0"/>
      <w:marBottom w:val="0"/>
      <w:divBdr>
        <w:top w:val="none" w:sz="0" w:space="0" w:color="auto"/>
        <w:left w:val="none" w:sz="0" w:space="0" w:color="auto"/>
        <w:bottom w:val="none" w:sz="0" w:space="0" w:color="auto"/>
        <w:right w:val="none" w:sz="0" w:space="0" w:color="auto"/>
      </w:divBdr>
    </w:div>
    <w:div w:id="958225672">
      <w:bodyDiv w:val="1"/>
      <w:marLeft w:val="0"/>
      <w:marRight w:val="0"/>
      <w:marTop w:val="0"/>
      <w:marBottom w:val="0"/>
      <w:divBdr>
        <w:top w:val="none" w:sz="0" w:space="0" w:color="auto"/>
        <w:left w:val="none" w:sz="0" w:space="0" w:color="auto"/>
        <w:bottom w:val="none" w:sz="0" w:space="0" w:color="auto"/>
        <w:right w:val="none" w:sz="0" w:space="0" w:color="auto"/>
      </w:divBdr>
    </w:div>
    <w:div w:id="1029334080">
      <w:bodyDiv w:val="1"/>
      <w:marLeft w:val="0"/>
      <w:marRight w:val="0"/>
      <w:marTop w:val="0"/>
      <w:marBottom w:val="0"/>
      <w:divBdr>
        <w:top w:val="none" w:sz="0" w:space="0" w:color="auto"/>
        <w:left w:val="none" w:sz="0" w:space="0" w:color="auto"/>
        <w:bottom w:val="none" w:sz="0" w:space="0" w:color="auto"/>
        <w:right w:val="none" w:sz="0" w:space="0" w:color="auto"/>
      </w:divBdr>
    </w:div>
    <w:div w:id="1054230667">
      <w:bodyDiv w:val="1"/>
      <w:marLeft w:val="0"/>
      <w:marRight w:val="0"/>
      <w:marTop w:val="0"/>
      <w:marBottom w:val="0"/>
      <w:divBdr>
        <w:top w:val="none" w:sz="0" w:space="0" w:color="auto"/>
        <w:left w:val="none" w:sz="0" w:space="0" w:color="auto"/>
        <w:bottom w:val="none" w:sz="0" w:space="0" w:color="auto"/>
        <w:right w:val="none" w:sz="0" w:space="0" w:color="auto"/>
      </w:divBdr>
    </w:div>
    <w:div w:id="1066030442">
      <w:bodyDiv w:val="1"/>
      <w:marLeft w:val="0"/>
      <w:marRight w:val="0"/>
      <w:marTop w:val="0"/>
      <w:marBottom w:val="0"/>
      <w:divBdr>
        <w:top w:val="none" w:sz="0" w:space="0" w:color="auto"/>
        <w:left w:val="none" w:sz="0" w:space="0" w:color="auto"/>
        <w:bottom w:val="none" w:sz="0" w:space="0" w:color="auto"/>
        <w:right w:val="none" w:sz="0" w:space="0" w:color="auto"/>
      </w:divBdr>
    </w:div>
    <w:div w:id="1219319098">
      <w:bodyDiv w:val="1"/>
      <w:marLeft w:val="0"/>
      <w:marRight w:val="0"/>
      <w:marTop w:val="0"/>
      <w:marBottom w:val="0"/>
      <w:divBdr>
        <w:top w:val="none" w:sz="0" w:space="0" w:color="auto"/>
        <w:left w:val="none" w:sz="0" w:space="0" w:color="auto"/>
        <w:bottom w:val="none" w:sz="0" w:space="0" w:color="auto"/>
        <w:right w:val="none" w:sz="0" w:space="0" w:color="auto"/>
      </w:divBdr>
    </w:div>
    <w:div w:id="1230842444">
      <w:bodyDiv w:val="1"/>
      <w:marLeft w:val="0"/>
      <w:marRight w:val="0"/>
      <w:marTop w:val="0"/>
      <w:marBottom w:val="0"/>
      <w:divBdr>
        <w:top w:val="none" w:sz="0" w:space="0" w:color="auto"/>
        <w:left w:val="none" w:sz="0" w:space="0" w:color="auto"/>
        <w:bottom w:val="none" w:sz="0" w:space="0" w:color="auto"/>
        <w:right w:val="none" w:sz="0" w:space="0" w:color="auto"/>
      </w:divBdr>
    </w:div>
    <w:div w:id="1241208200">
      <w:bodyDiv w:val="1"/>
      <w:marLeft w:val="0"/>
      <w:marRight w:val="0"/>
      <w:marTop w:val="0"/>
      <w:marBottom w:val="0"/>
      <w:divBdr>
        <w:top w:val="none" w:sz="0" w:space="0" w:color="auto"/>
        <w:left w:val="none" w:sz="0" w:space="0" w:color="auto"/>
        <w:bottom w:val="none" w:sz="0" w:space="0" w:color="auto"/>
        <w:right w:val="none" w:sz="0" w:space="0" w:color="auto"/>
      </w:divBdr>
    </w:div>
    <w:div w:id="1359697133">
      <w:bodyDiv w:val="1"/>
      <w:marLeft w:val="0"/>
      <w:marRight w:val="0"/>
      <w:marTop w:val="0"/>
      <w:marBottom w:val="0"/>
      <w:divBdr>
        <w:top w:val="none" w:sz="0" w:space="0" w:color="auto"/>
        <w:left w:val="none" w:sz="0" w:space="0" w:color="auto"/>
        <w:bottom w:val="none" w:sz="0" w:space="0" w:color="auto"/>
        <w:right w:val="none" w:sz="0" w:space="0" w:color="auto"/>
      </w:divBdr>
    </w:div>
    <w:div w:id="1360163910">
      <w:bodyDiv w:val="1"/>
      <w:marLeft w:val="0"/>
      <w:marRight w:val="0"/>
      <w:marTop w:val="0"/>
      <w:marBottom w:val="0"/>
      <w:divBdr>
        <w:top w:val="none" w:sz="0" w:space="0" w:color="auto"/>
        <w:left w:val="none" w:sz="0" w:space="0" w:color="auto"/>
        <w:bottom w:val="none" w:sz="0" w:space="0" w:color="auto"/>
        <w:right w:val="none" w:sz="0" w:space="0" w:color="auto"/>
      </w:divBdr>
      <w:divsChild>
        <w:div w:id="19015796">
          <w:marLeft w:val="144"/>
          <w:marRight w:val="0"/>
          <w:marTop w:val="20"/>
          <w:marBottom w:val="0"/>
          <w:divBdr>
            <w:top w:val="none" w:sz="0" w:space="0" w:color="auto"/>
            <w:left w:val="none" w:sz="0" w:space="0" w:color="auto"/>
            <w:bottom w:val="none" w:sz="0" w:space="0" w:color="auto"/>
            <w:right w:val="none" w:sz="0" w:space="0" w:color="auto"/>
          </w:divBdr>
        </w:div>
        <w:div w:id="651757417">
          <w:marLeft w:val="144"/>
          <w:marRight w:val="0"/>
          <w:marTop w:val="20"/>
          <w:marBottom w:val="0"/>
          <w:divBdr>
            <w:top w:val="none" w:sz="0" w:space="0" w:color="auto"/>
            <w:left w:val="none" w:sz="0" w:space="0" w:color="auto"/>
            <w:bottom w:val="none" w:sz="0" w:space="0" w:color="auto"/>
            <w:right w:val="none" w:sz="0" w:space="0" w:color="auto"/>
          </w:divBdr>
        </w:div>
        <w:div w:id="821313572">
          <w:marLeft w:val="144"/>
          <w:marRight w:val="0"/>
          <w:marTop w:val="20"/>
          <w:marBottom w:val="0"/>
          <w:divBdr>
            <w:top w:val="none" w:sz="0" w:space="0" w:color="auto"/>
            <w:left w:val="none" w:sz="0" w:space="0" w:color="auto"/>
            <w:bottom w:val="none" w:sz="0" w:space="0" w:color="auto"/>
            <w:right w:val="none" w:sz="0" w:space="0" w:color="auto"/>
          </w:divBdr>
        </w:div>
      </w:divsChild>
    </w:div>
    <w:div w:id="1368065171">
      <w:bodyDiv w:val="1"/>
      <w:marLeft w:val="0"/>
      <w:marRight w:val="0"/>
      <w:marTop w:val="0"/>
      <w:marBottom w:val="0"/>
      <w:divBdr>
        <w:top w:val="none" w:sz="0" w:space="0" w:color="auto"/>
        <w:left w:val="none" w:sz="0" w:space="0" w:color="auto"/>
        <w:bottom w:val="none" w:sz="0" w:space="0" w:color="auto"/>
        <w:right w:val="none" w:sz="0" w:space="0" w:color="auto"/>
      </w:divBdr>
    </w:div>
    <w:div w:id="1388845920">
      <w:bodyDiv w:val="1"/>
      <w:marLeft w:val="0"/>
      <w:marRight w:val="0"/>
      <w:marTop w:val="0"/>
      <w:marBottom w:val="0"/>
      <w:divBdr>
        <w:top w:val="none" w:sz="0" w:space="0" w:color="auto"/>
        <w:left w:val="none" w:sz="0" w:space="0" w:color="auto"/>
        <w:bottom w:val="none" w:sz="0" w:space="0" w:color="auto"/>
        <w:right w:val="none" w:sz="0" w:space="0" w:color="auto"/>
      </w:divBdr>
    </w:div>
    <w:div w:id="1420827425">
      <w:bodyDiv w:val="1"/>
      <w:marLeft w:val="0"/>
      <w:marRight w:val="0"/>
      <w:marTop w:val="0"/>
      <w:marBottom w:val="0"/>
      <w:divBdr>
        <w:top w:val="none" w:sz="0" w:space="0" w:color="auto"/>
        <w:left w:val="none" w:sz="0" w:space="0" w:color="auto"/>
        <w:bottom w:val="none" w:sz="0" w:space="0" w:color="auto"/>
        <w:right w:val="none" w:sz="0" w:space="0" w:color="auto"/>
      </w:divBdr>
    </w:div>
    <w:div w:id="1487354014">
      <w:bodyDiv w:val="1"/>
      <w:marLeft w:val="0"/>
      <w:marRight w:val="0"/>
      <w:marTop w:val="0"/>
      <w:marBottom w:val="0"/>
      <w:divBdr>
        <w:top w:val="none" w:sz="0" w:space="0" w:color="auto"/>
        <w:left w:val="none" w:sz="0" w:space="0" w:color="auto"/>
        <w:bottom w:val="none" w:sz="0" w:space="0" w:color="auto"/>
        <w:right w:val="none" w:sz="0" w:space="0" w:color="auto"/>
      </w:divBdr>
    </w:div>
    <w:div w:id="1487815231">
      <w:bodyDiv w:val="1"/>
      <w:marLeft w:val="0"/>
      <w:marRight w:val="0"/>
      <w:marTop w:val="0"/>
      <w:marBottom w:val="0"/>
      <w:divBdr>
        <w:top w:val="none" w:sz="0" w:space="0" w:color="auto"/>
        <w:left w:val="none" w:sz="0" w:space="0" w:color="auto"/>
        <w:bottom w:val="none" w:sz="0" w:space="0" w:color="auto"/>
        <w:right w:val="none" w:sz="0" w:space="0" w:color="auto"/>
      </w:divBdr>
    </w:div>
    <w:div w:id="1572618623">
      <w:bodyDiv w:val="1"/>
      <w:marLeft w:val="0"/>
      <w:marRight w:val="0"/>
      <w:marTop w:val="0"/>
      <w:marBottom w:val="0"/>
      <w:divBdr>
        <w:top w:val="none" w:sz="0" w:space="0" w:color="auto"/>
        <w:left w:val="none" w:sz="0" w:space="0" w:color="auto"/>
        <w:bottom w:val="none" w:sz="0" w:space="0" w:color="auto"/>
        <w:right w:val="none" w:sz="0" w:space="0" w:color="auto"/>
      </w:divBdr>
    </w:div>
    <w:div w:id="1672636548">
      <w:bodyDiv w:val="1"/>
      <w:marLeft w:val="0"/>
      <w:marRight w:val="0"/>
      <w:marTop w:val="0"/>
      <w:marBottom w:val="0"/>
      <w:divBdr>
        <w:top w:val="none" w:sz="0" w:space="0" w:color="auto"/>
        <w:left w:val="none" w:sz="0" w:space="0" w:color="auto"/>
        <w:bottom w:val="none" w:sz="0" w:space="0" w:color="auto"/>
        <w:right w:val="none" w:sz="0" w:space="0" w:color="auto"/>
      </w:divBdr>
    </w:div>
    <w:div w:id="1675574384">
      <w:bodyDiv w:val="1"/>
      <w:marLeft w:val="0"/>
      <w:marRight w:val="0"/>
      <w:marTop w:val="0"/>
      <w:marBottom w:val="0"/>
      <w:divBdr>
        <w:top w:val="none" w:sz="0" w:space="0" w:color="auto"/>
        <w:left w:val="none" w:sz="0" w:space="0" w:color="auto"/>
        <w:bottom w:val="none" w:sz="0" w:space="0" w:color="auto"/>
        <w:right w:val="none" w:sz="0" w:space="0" w:color="auto"/>
      </w:divBdr>
    </w:div>
    <w:div w:id="1708677316">
      <w:bodyDiv w:val="1"/>
      <w:marLeft w:val="0"/>
      <w:marRight w:val="0"/>
      <w:marTop w:val="0"/>
      <w:marBottom w:val="0"/>
      <w:divBdr>
        <w:top w:val="none" w:sz="0" w:space="0" w:color="auto"/>
        <w:left w:val="none" w:sz="0" w:space="0" w:color="auto"/>
        <w:bottom w:val="none" w:sz="0" w:space="0" w:color="auto"/>
        <w:right w:val="none" w:sz="0" w:space="0" w:color="auto"/>
      </w:divBdr>
    </w:div>
    <w:div w:id="1728987004">
      <w:bodyDiv w:val="1"/>
      <w:marLeft w:val="0"/>
      <w:marRight w:val="0"/>
      <w:marTop w:val="0"/>
      <w:marBottom w:val="0"/>
      <w:divBdr>
        <w:top w:val="none" w:sz="0" w:space="0" w:color="auto"/>
        <w:left w:val="none" w:sz="0" w:space="0" w:color="auto"/>
        <w:bottom w:val="none" w:sz="0" w:space="0" w:color="auto"/>
        <w:right w:val="none" w:sz="0" w:space="0" w:color="auto"/>
      </w:divBdr>
    </w:div>
    <w:div w:id="1738436398">
      <w:bodyDiv w:val="1"/>
      <w:marLeft w:val="0"/>
      <w:marRight w:val="0"/>
      <w:marTop w:val="0"/>
      <w:marBottom w:val="0"/>
      <w:divBdr>
        <w:top w:val="none" w:sz="0" w:space="0" w:color="auto"/>
        <w:left w:val="none" w:sz="0" w:space="0" w:color="auto"/>
        <w:bottom w:val="none" w:sz="0" w:space="0" w:color="auto"/>
        <w:right w:val="none" w:sz="0" w:space="0" w:color="auto"/>
      </w:divBdr>
    </w:div>
    <w:div w:id="1744797666">
      <w:bodyDiv w:val="1"/>
      <w:marLeft w:val="0"/>
      <w:marRight w:val="0"/>
      <w:marTop w:val="0"/>
      <w:marBottom w:val="0"/>
      <w:divBdr>
        <w:top w:val="none" w:sz="0" w:space="0" w:color="auto"/>
        <w:left w:val="none" w:sz="0" w:space="0" w:color="auto"/>
        <w:bottom w:val="none" w:sz="0" w:space="0" w:color="auto"/>
        <w:right w:val="none" w:sz="0" w:space="0" w:color="auto"/>
      </w:divBdr>
    </w:div>
    <w:div w:id="1981878743">
      <w:bodyDiv w:val="1"/>
      <w:marLeft w:val="0"/>
      <w:marRight w:val="0"/>
      <w:marTop w:val="0"/>
      <w:marBottom w:val="0"/>
      <w:divBdr>
        <w:top w:val="none" w:sz="0" w:space="0" w:color="auto"/>
        <w:left w:val="none" w:sz="0" w:space="0" w:color="auto"/>
        <w:bottom w:val="none" w:sz="0" w:space="0" w:color="auto"/>
        <w:right w:val="none" w:sz="0" w:space="0" w:color="auto"/>
      </w:divBdr>
    </w:div>
    <w:div w:id="1986542405">
      <w:bodyDiv w:val="1"/>
      <w:marLeft w:val="0"/>
      <w:marRight w:val="0"/>
      <w:marTop w:val="0"/>
      <w:marBottom w:val="0"/>
      <w:divBdr>
        <w:top w:val="none" w:sz="0" w:space="0" w:color="auto"/>
        <w:left w:val="none" w:sz="0" w:space="0" w:color="auto"/>
        <w:bottom w:val="none" w:sz="0" w:space="0" w:color="auto"/>
        <w:right w:val="none" w:sz="0" w:space="0" w:color="auto"/>
      </w:divBdr>
    </w:div>
    <w:div w:id="2054956787">
      <w:bodyDiv w:val="1"/>
      <w:marLeft w:val="0"/>
      <w:marRight w:val="0"/>
      <w:marTop w:val="0"/>
      <w:marBottom w:val="0"/>
      <w:divBdr>
        <w:top w:val="none" w:sz="0" w:space="0" w:color="auto"/>
        <w:left w:val="none" w:sz="0" w:space="0" w:color="auto"/>
        <w:bottom w:val="none" w:sz="0" w:space="0" w:color="auto"/>
        <w:right w:val="none" w:sz="0" w:space="0" w:color="auto"/>
      </w:divBdr>
      <w:divsChild>
        <w:div w:id="577255476">
          <w:marLeft w:val="144"/>
          <w:marRight w:val="0"/>
          <w:marTop w:val="20"/>
          <w:marBottom w:val="0"/>
          <w:divBdr>
            <w:top w:val="none" w:sz="0" w:space="0" w:color="auto"/>
            <w:left w:val="none" w:sz="0" w:space="0" w:color="auto"/>
            <w:bottom w:val="none" w:sz="0" w:space="0" w:color="auto"/>
            <w:right w:val="none" w:sz="0" w:space="0" w:color="auto"/>
          </w:divBdr>
        </w:div>
        <w:div w:id="593511298">
          <w:marLeft w:val="144"/>
          <w:marRight w:val="0"/>
          <w:marTop w:val="20"/>
          <w:marBottom w:val="0"/>
          <w:divBdr>
            <w:top w:val="none" w:sz="0" w:space="0" w:color="auto"/>
            <w:left w:val="none" w:sz="0" w:space="0" w:color="auto"/>
            <w:bottom w:val="none" w:sz="0" w:space="0" w:color="auto"/>
            <w:right w:val="none" w:sz="0" w:space="0" w:color="auto"/>
          </w:divBdr>
        </w:div>
        <w:div w:id="1139693364">
          <w:marLeft w:val="144"/>
          <w:marRight w:val="0"/>
          <w:marTop w:val="20"/>
          <w:marBottom w:val="0"/>
          <w:divBdr>
            <w:top w:val="none" w:sz="0" w:space="0" w:color="auto"/>
            <w:left w:val="none" w:sz="0" w:space="0" w:color="auto"/>
            <w:bottom w:val="none" w:sz="0" w:space="0" w:color="auto"/>
            <w:right w:val="none" w:sz="0" w:space="0" w:color="auto"/>
          </w:divBdr>
        </w:div>
        <w:div w:id="1288782626">
          <w:marLeft w:val="144"/>
          <w:marRight w:val="0"/>
          <w:marTop w:val="20"/>
          <w:marBottom w:val="0"/>
          <w:divBdr>
            <w:top w:val="none" w:sz="0" w:space="0" w:color="auto"/>
            <w:left w:val="none" w:sz="0" w:space="0" w:color="auto"/>
            <w:bottom w:val="none" w:sz="0" w:space="0" w:color="auto"/>
            <w:right w:val="none" w:sz="0" w:space="0" w:color="auto"/>
          </w:divBdr>
        </w:div>
        <w:div w:id="1984697948">
          <w:marLeft w:val="144"/>
          <w:marRight w:val="0"/>
          <w:marTop w:val="20"/>
          <w:marBottom w:val="0"/>
          <w:divBdr>
            <w:top w:val="none" w:sz="0" w:space="0" w:color="auto"/>
            <w:left w:val="none" w:sz="0" w:space="0" w:color="auto"/>
            <w:bottom w:val="none" w:sz="0" w:space="0" w:color="auto"/>
            <w:right w:val="none" w:sz="0" w:space="0" w:color="auto"/>
          </w:divBdr>
        </w:div>
      </w:divsChild>
    </w:div>
    <w:div w:id="2055734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2.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footer" Target="footer4.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iba.gov.au/impact-report-2020/" TargetMode="External"/><Relationship Id="rId3" Type="http://schemas.openxmlformats.org/officeDocument/2006/relationships/hyperlink" Target="https://www.aph.gov.au/parliamentary_business/committees/house_of_representatives_committees?url=atsia/indigenousenterprises/report.htm" TargetMode="External"/><Relationship Id="rId7" Type="http://schemas.openxmlformats.org/officeDocument/2006/relationships/hyperlink" Target="https://www.minderoo.org/generation-one/reports/backing-black-business/" TargetMode="External"/><Relationship Id="rId2" Type="http://schemas.openxmlformats.org/officeDocument/2006/relationships/hyperlink" Target="https://www.niaa.gov.au/sites/default/files/publications/ibss_strategy.pdf" TargetMode="External"/><Relationship Id="rId1" Type="http://schemas.openxmlformats.org/officeDocument/2006/relationships/hyperlink" Target="https://www.niaa.gov.au/sites/default/files/publications/ibss_strategy.pdf" TargetMode="External"/><Relationship Id="rId6" Type="http://schemas.openxmlformats.org/officeDocument/2006/relationships/hyperlink" Target="https://fbe.unimelb.edu.au/ibl/assets/snapshot/RFQ03898-M-and-M-Snapshot-Study.pdf" TargetMode="External"/><Relationship Id="rId5" Type="http://schemas.openxmlformats.org/officeDocument/2006/relationships/hyperlink" Target="https://fbe.unimelb.edu.au/ibl/assets/snapshot/RFQ03898-M-and-M-Snapshot-Study.pdf" TargetMode="External"/><Relationship Id="rId10" Type="http://schemas.openxmlformats.org/officeDocument/2006/relationships/hyperlink" Target="https://www.tpk.govt.nz/en/whakamahia/maori-enterprise" TargetMode="External"/><Relationship Id="rId4" Type="http://schemas.openxmlformats.org/officeDocument/2006/relationships/hyperlink" Target="https://fundsquire.com.au/business-startup-statistics-australia/" TargetMode="External"/><Relationship Id="rId9" Type="http://schemas.openxmlformats.org/officeDocument/2006/relationships/hyperlink" Target="https://www.niaa.gov.au/sites/default/files/publications/ibss_development_cyc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square"/>
            <c:size val="5"/>
            <c:spPr>
              <a:solidFill>
                <a:schemeClr val="accent1"/>
              </a:solidFill>
              <a:ln w="9525">
                <a:solidFill>
                  <a:schemeClr val="accent2"/>
                </a:solidFill>
              </a:ln>
              <a:effectLst/>
            </c:spPr>
          </c:marker>
          <c:cat>
            <c:strRef>
              <c:f>Sheet1!$A$1:$E$1</c:f>
              <c:strCache>
                <c:ptCount val="5"/>
                <c:pt idx="0">
                  <c:v>2016-17</c:v>
                </c:pt>
                <c:pt idx="1">
                  <c:v>2017-18</c:v>
                </c:pt>
                <c:pt idx="2">
                  <c:v>2018-19</c:v>
                </c:pt>
                <c:pt idx="3">
                  <c:v>2019-20</c:v>
                </c:pt>
                <c:pt idx="4">
                  <c:v>2020-21</c:v>
                </c:pt>
              </c:strCache>
            </c:strRef>
          </c:cat>
          <c:val>
            <c:numRef>
              <c:f>Sheet1!$A$2:$E$2</c:f>
              <c:numCache>
                <c:formatCode>"$"#,##0.00_);[Red]\("$"#,##0.00\)</c:formatCode>
                <c:ptCount val="5"/>
                <c:pt idx="0" formatCode="General">
                  <c:v>0</c:v>
                </c:pt>
                <c:pt idx="1">
                  <c:v>333559</c:v>
                </c:pt>
                <c:pt idx="2">
                  <c:v>3083713</c:v>
                </c:pt>
                <c:pt idx="3">
                  <c:v>6052546.5199999996</c:v>
                </c:pt>
                <c:pt idx="4">
                  <c:v>11446456.52</c:v>
                </c:pt>
              </c:numCache>
            </c:numRef>
          </c:val>
          <c:smooth val="0"/>
          <c:extLst>
            <c:ext xmlns:c16="http://schemas.microsoft.com/office/drawing/2014/chart" uri="{C3380CC4-5D6E-409C-BE32-E72D297353CC}">
              <c16:uniqueId val="{00000000-5065-4C95-80AD-FC62260CAE8C}"/>
            </c:ext>
          </c:extLst>
        </c:ser>
        <c:dLbls>
          <c:showLegendKey val="0"/>
          <c:showVal val="0"/>
          <c:showCatName val="0"/>
          <c:showSerName val="0"/>
          <c:showPercent val="0"/>
          <c:showBubbleSize val="0"/>
        </c:dLbls>
        <c:marker val="1"/>
        <c:smooth val="0"/>
        <c:axId val="1133109199"/>
        <c:axId val="1133106703"/>
      </c:lineChart>
      <c:catAx>
        <c:axId val="113310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33106703"/>
        <c:crosses val="autoZero"/>
        <c:auto val="1"/>
        <c:lblAlgn val="ctr"/>
        <c:lblOffset val="100"/>
        <c:noMultiLvlLbl val="0"/>
      </c:catAx>
      <c:valAx>
        <c:axId val="1133106703"/>
        <c:scaling>
          <c:orientation val="minMax"/>
          <c:max val="12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33109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ustineo Custom">
      <a:dk1>
        <a:sysClr val="windowText" lastClr="000000"/>
      </a:dk1>
      <a:lt1>
        <a:sysClr val="window" lastClr="FFFFFF"/>
      </a:lt1>
      <a:dk2>
        <a:srgbClr val="14425D"/>
      </a:dk2>
      <a:lt2>
        <a:srgbClr val="FAF2C2"/>
      </a:lt2>
      <a:accent1>
        <a:srgbClr val="13512E"/>
      </a:accent1>
      <a:accent2>
        <a:srgbClr val="6DB33F"/>
      </a:accent2>
      <a:accent3>
        <a:srgbClr val="41766F"/>
      </a:accent3>
      <a:accent4>
        <a:srgbClr val="DAF6F3"/>
      </a:accent4>
      <a:accent5>
        <a:srgbClr val="6B818C"/>
      </a:accent5>
      <a:accent6>
        <a:srgbClr val="FAD784"/>
      </a:accent6>
      <a:hlink>
        <a:srgbClr val="0079CC"/>
      </a:hlink>
      <a:folHlink>
        <a:srgbClr val="7F5599"/>
      </a:folHlink>
    </a:clrScheme>
    <a:fontScheme name="Sustineo Custom 1">
      <a:majorFont>
        <a:latin typeface="Georgia"/>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D242250AECE6D94086529FE694A2CC23" ma:contentTypeVersion="9" ma:contentTypeDescription="ShareHub Document" ma:contentTypeScope="" ma:versionID="b7d7d4d62ab6f4f7a9979839a7ec5cd1">
  <xsd:schema xmlns:xsd="http://www.w3.org/2001/XMLSchema" xmlns:xs="http://www.w3.org/2001/XMLSchema" xmlns:p="http://schemas.microsoft.com/office/2006/metadata/properties" xmlns:ns2="60a35e40-75ac-4f64-bf7a-0326c940d430" xmlns:ns3="685f9fda-bd71-4433-b331-92feb9553089" targetNamespace="http://schemas.microsoft.com/office/2006/metadata/properties" ma:root="true" ma:fieldsID="f5675025abbdaf3dfcb9179e67bbac01" ns2:_="" ns3:_="">
    <xsd:import namespace="60a35e40-75ac-4f64-bf7a-0326c940d430"/>
    <xsd:import namespace="685f9fda-bd71-4433-b331-92feb9553089"/>
    <xsd:element name="properties">
      <xsd:complexType>
        <xsd:sequence>
          <xsd:element name="documentManagement">
            <xsd:complexType>
              <xsd:all>
                <xsd:element ref="ns3:NonRecordJustification" minOccurs="0"/>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element ref="ns2:SharedWithUsers" minOccurs="0"/>
                <xsd:element ref="ns2:ic88decb64e34f9caf49fcc96ac7343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35e40-75ac-4f64-bf7a-0326c940d430"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3;#OFFICIAL|11463c70-78df-4e3b-b0ff-f66cd3cb26ec"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fa53480-2695-47cf-a529-8c9276da2826}" ma:internalName="TaxCatchAll" ma:showField="CatchAllData" ma:web="60a35e40-75ac-4f64-bf7a-0326c940d43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fa53480-2695-47cf-a529-8c9276da2826}" ma:internalName="TaxCatchAllLabel" ma:readOnly="true" ma:showField="CatchAllDataLabel" ma:web="60a35e40-75ac-4f64-bf7a-0326c940d430">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88decb64e34f9caf49fcc96ac7343c" ma:index="18" nillable="true" ma:taxonomy="true" ma:internalName="ic88decb64e34f9caf49fcc96ac7343c" ma:taxonomyFieldName="ESearchTags" ma:displayName="Tags" ma:fieldId="{2c88decb-64e3-4f9c-af49-fcc96ac7343c}" ma:taxonomyMulti="true" ma:sspId="a560683c-39f7-40cc-81e5-5b545283d6d6" ma:termSetId="9180df41-f70c-418d-8757-45bd3340d27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60a35e40-75ac-4f64-bf7a-0326c940d430">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60a35e40-75ac-4f64-bf7a-0326c940d430">UDOC22-306375</ShareHubID>
    <TaxCatchAll xmlns="60a35e40-75ac-4f64-bf7a-0326c940d430">
      <Value>27</Value>
      <Value>53</Value>
      <Value>25</Value>
      <Value>7</Value>
    </TaxCatchAll>
    <ic88decb64e34f9caf49fcc96ac7343c xmlns="60a35e40-75ac-4f64-bf7a-0326c940d430">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7a07f35e-4353-46db-9744-03c8d3a90438</TermId>
        </TermInfo>
        <TermInfo xmlns="http://schemas.microsoft.com/office/infopath/2007/PartnerControls">
          <TermName xmlns="http://schemas.microsoft.com/office/infopath/2007/PartnerControls">Election</TermName>
          <TermId xmlns="http://schemas.microsoft.com/office/infopath/2007/PartnerControls">8c15a0fa-850d-431a-a860-a1f9402e3ba2</TermId>
        </TermInfo>
        <TermInfo xmlns="http://schemas.microsoft.com/office/infopath/2007/PartnerControls">
          <TermName xmlns="http://schemas.microsoft.com/office/infopath/2007/PartnerControls">APEC</TermName>
          <TermId xmlns="http://schemas.microsoft.com/office/infopath/2007/PartnerControls">96cb26cd-e02c-4845-bb82-3ec1397b9677</TermId>
        </TermInfo>
      </Terms>
    </ic88decb64e34f9caf49fcc96ac7343c>
    <jd1c641577414dfdab1686c9d5d0dbd0 xmlns="60a35e40-75ac-4f64-bf7a-0326c940d430">
      <Terms xmlns="http://schemas.microsoft.com/office/infopath/2007/PartnerControls"/>
    </jd1c641577414dfdab1686c9d5d0dbd0>
    <PMCNotes xmlns="60a35e40-75ac-4f64-bf7a-0326c940d430" xsi:nil="true"/>
    <NonRecordJustification xmlns="685f9fda-bd71-4433-b331-92feb9553089">None</NonRecordJustific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8A547-D772-4EEE-82A8-930EE814E100}">
  <ds:schemaRefs>
    <ds:schemaRef ds:uri="http://schemas.openxmlformats.org/officeDocument/2006/bibliography"/>
  </ds:schemaRefs>
</ds:datastoreItem>
</file>

<file path=customXml/itemProps2.xml><?xml version="1.0" encoding="utf-8"?>
<ds:datastoreItem xmlns:ds="http://schemas.openxmlformats.org/officeDocument/2006/customXml" ds:itemID="{6E09D515-6409-476D-B4B8-5BEB9CEC7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35e40-75ac-4f64-bf7a-0326c940d430"/>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4CCE00-F0F3-47B5-8F99-5DEFFDDD9310}">
  <ds:schemaRefs>
    <ds:schemaRef ds:uri="http://schemas.microsoft.com/office/2006/metadata/properties"/>
    <ds:schemaRef ds:uri="http://schemas.microsoft.com/office/infopath/2007/PartnerControls"/>
    <ds:schemaRef ds:uri="60a35e40-75ac-4f64-bf7a-0326c940d430"/>
    <ds:schemaRef ds:uri="685f9fda-bd71-4433-b331-92feb9553089"/>
  </ds:schemaRefs>
</ds:datastoreItem>
</file>

<file path=customXml/itemProps4.xml><?xml version="1.0" encoding="utf-8"?>
<ds:datastoreItem xmlns:ds="http://schemas.openxmlformats.org/officeDocument/2006/customXml" ds:itemID="{AA45C91D-C107-4A25-9A33-1494FEB0E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39174</Words>
  <Characters>223294</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2023-01-04T01:07:00Z</dcterms:created>
  <dcterms:modified xsi:type="dcterms:W3CDTF">2023-01-04T03:26:00Z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53;#OFFICIAL|11463c70-78df-4e3b-b0ff-f66cd3cb26ec</vt:lpwstr>
  </property>
  <property fmtid="{D5CDD505-2E9C-101B-9397-08002B2CF9AE}" pid="3" name="ContentTypeId">
    <vt:lpwstr>0x0101002825A64A6E1845A99A9D8EE8A5686ECB00D242250AECE6D94086529FE694A2CC23</vt:lpwstr>
  </property>
  <property fmtid="{D5CDD505-2E9C-101B-9397-08002B2CF9AE}" pid="4" name="ESearchTags">
    <vt:lpwstr>7;#Training|7a07f35e-4353-46db-9744-03c8d3a90438;#27;#Election|8c15a0fa-850d-431a-a860-a1f9402e3ba2;#25;#APEC|96cb26cd-e02c-4845-bb82-3ec1397b9677</vt:lpwstr>
  </property>
  <property fmtid="{D5CDD505-2E9C-101B-9397-08002B2CF9AE}" pid="5" name="HPRMSecurityCaveat">
    <vt:lpwstr/>
  </property>
  <property fmtid="{D5CDD505-2E9C-101B-9397-08002B2CF9AE}" pid="6" name="PMC.ESearch.TagGeneratedTime">
    <vt:lpwstr>2022-12-14T18:20:56</vt:lpwstr>
  </property>
</Properties>
</file>