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160" w14:textId="10C80590" w:rsidR="004163FA" w:rsidRDefault="00000000" w:rsidP="0061255F">
      <w:pPr>
        <w:pStyle w:val="ProtectiveMarking"/>
        <w:spacing w:before="600" w:after="240"/>
        <w:rPr>
          <w:caps w:val="0"/>
          <w:noProof w:val="0"/>
          <w:color w:val="191919" w:themeColor="text1" w:themeTint="E6"/>
        </w:rPr>
      </w:pPr>
      <w:sdt>
        <w:sdtPr>
          <w:alias w:val="Classification"/>
          <w:tag w:val="Classification"/>
          <w:id w:val="-521240474"/>
          <w:showingPlcHdr/>
          <w:dataBinding w:xpath="/root[1]/Classification[1]" w:storeItemID="{00000000-0000-0000-0000-000000000000}"/>
          <w:dropDownList>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Content>
          <w:r w:rsidR="00F43301">
            <w:t xml:space="preserve">     </w:t>
          </w:r>
        </w:sdtContent>
      </w:sdt>
    </w:p>
    <w:p w14:paraId="06895D8B" w14:textId="26D061E4" w:rsidR="00E578B7" w:rsidRPr="00833E3C" w:rsidRDefault="00487138" w:rsidP="00833E3C">
      <w:pPr>
        <w:pStyle w:val="Title"/>
      </w:pPr>
      <w:r w:rsidRPr="00833E3C">
        <w:t>Community Development Program</w:t>
      </w:r>
      <w:r w:rsidR="0044338F" w:rsidRPr="00833E3C">
        <w:t>:</w:t>
      </w:r>
      <w:r w:rsidR="00E36F5D">
        <w:t xml:space="preserve"> Phase 2</w:t>
      </w:r>
      <w:r w:rsidR="0044338F" w:rsidRPr="00833E3C">
        <w:t xml:space="preserve"> Trials</w:t>
      </w:r>
      <w:r w:rsidR="0058282C">
        <w:t xml:space="preserve"> Interim Report</w:t>
      </w:r>
    </w:p>
    <w:p w14:paraId="5ED663C7" w14:textId="4CD1D4B6" w:rsidR="00437572" w:rsidRDefault="009C2AA1">
      <w:pPr>
        <w:pStyle w:val="Subtitle"/>
      </w:pPr>
      <w:r w:rsidRPr="00833E3C">
        <w:t>Synthesis</w:t>
      </w:r>
      <w:r>
        <w:t xml:space="preserve"> of Early Learnings </w:t>
      </w:r>
      <w:r w:rsidR="00487138">
        <w:t xml:space="preserve">from </w:t>
      </w:r>
      <w:r w:rsidR="002B40C4">
        <w:t>July – December 2023</w:t>
      </w:r>
    </w:p>
    <w:p w14:paraId="29F8A748" w14:textId="744E2F65" w:rsidR="006E1DC0" w:rsidRDefault="006E1DC0" w:rsidP="00A224E2">
      <w:pPr>
        <w:pStyle w:val="BodyText"/>
      </w:pPr>
      <w:r w:rsidRPr="00833E3C">
        <w:t>The</w:t>
      </w:r>
      <w:r>
        <w:t xml:space="preserve"> Government is delivering on its election commitment to replace CDP with a new program with real jobs, proper wages and decent conditions – developed in partnership with First Nations people. </w:t>
      </w:r>
      <w:r w:rsidR="00A224E2">
        <w:t xml:space="preserve">Between November 2022 and June 2023, CDP providers were able to re-direct around 25 per cent of their funding to work with remote communities and trial new approaches to securing real jobs for participants. </w:t>
      </w:r>
      <w:r w:rsidR="00666B08">
        <w:t>CDP providers were subsequently required to work with communities to expand their community projects and/or implement new initiatives</w:t>
      </w:r>
      <w:r w:rsidR="00666B08" w:rsidRPr="00E36F5D">
        <w:t xml:space="preserve"> </w:t>
      </w:r>
      <w:r w:rsidR="000D54E3">
        <w:t>during Phase 2 (July 2023</w:t>
      </w:r>
      <w:r w:rsidR="003F2154">
        <w:t xml:space="preserve"> </w:t>
      </w:r>
      <w:r w:rsidR="000D54E3">
        <w:t>–</w:t>
      </w:r>
      <w:r w:rsidR="003F2154">
        <w:t xml:space="preserve"> </w:t>
      </w:r>
      <w:r w:rsidR="00E36F5D">
        <w:t>October 2024</w:t>
      </w:r>
      <w:r w:rsidR="000D54E3">
        <w:t>)</w:t>
      </w:r>
      <w:r w:rsidR="00E36F5D">
        <w:t xml:space="preserve">. </w:t>
      </w:r>
      <w:r w:rsidR="00833E3C" w:rsidRPr="001B4ABB">
        <w:t>Fifty-eight</w:t>
      </w:r>
      <w:r w:rsidR="00332769" w:rsidRPr="001B4ABB">
        <w:t xml:space="preserve"> trial </w:t>
      </w:r>
      <w:r w:rsidR="00A21C67">
        <w:t>projects</w:t>
      </w:r>
      <w:r w:rsidR="00332769">
        <w:t xml:space="preserve"> </w:t>
      </w:r>
      <w:r w:rsidR="00B40C5A">
        <w:t xml:space="preserve">were undertaken </w:t>
      </w:r>
      <w:r w:rsidR="00332769">
        <w:t>in this phase</w:t>
      </w:r>
      <w:r w:rsidR="00B40C5A">
        <w:t>,</w:t>
      </w:r>
      <w:r w:rsidR="00332769">
        <w:t xml:space="preserve"> </w:t>
      </w:r>
      <w:r w:rsidR="00B40C5A">
        <w:t xml:space="preserve">with </w:t>
      </w:r>
      <w:r w:rsidR="00332769">
        <w:t>a</w:t>
      </w:r>
      <w:r w:rsidR="00F5510E">
        <w:t xml:space="preserve">n approved total value of </w:t>
      </w:r>
      <w:r w:rsidR="00332769">
        <w:t>$</w:t>
      </w:r>
      <w:r w:rsidR="00E36F5D">
        <w:t>123</w:t>
      </w:r>
      <w:r w:rsidR="00B40C5A">
        <w:t xml:space="preserve"> million</w:t>
      </w:r>
      <w:r w:rsidR="00E36F5D">
        <w:t>.</w:t>
      </w:r>
    </w:p>
    <w:p w14:paraId="5977A6D5" w14:textId="11F0C2F1" w:rsidR="006E1DC0" w:rsidRDefault="00332769" w:rsidP="00833E3C">
      <w:pPr>
        <w:pStyle w:val="BodyText"/>
      </w:pPr>
      <w:r>
        <w:t xml:space="preserve">This </w:t>
      </w:r>
      <w:r w:rsidRPr="00833E3C">
        <w:t>report</w:t>
      </w:r>
      <w:r>
        <w:t xml:space="preserve"> synthesises the NIAA’s early learnings </w:t>
      </w:r>
      <w:r w:rsidR="00E36F5D">
        <w:t xml:space="preserve">from </w:t>
      </w:r>
      <w:r w:rsidR="003F2154">
        <w:t>this</w:t>
      </w:r>
      <w:r w:rsidR="00E36F5D">
        <w:t xml:space="preserve"> second</w:t>
      </w:r>
      <w:r>
        <w:t xml:space="preserve"> phase </w:t>
      </w:r>
      <w:r w:rsidR="00E36F5D">
        <w:t xml:space="preserve">of </w:t>
      </w:r>
      <w:r>
        <w:t xml:space="preserve">the </w:t>
      </w:r>
      <w:r w:rsidR="00CE212C">
        <w:t>CDP Trial</w:t>
      </w:r>
      <w:r w:rsidR="00E36F5D">
        <w:t xml:space="preserve">, based on </w:t>
      </w:r>
      <w:r w:rsidR="002B40C4">
        <w:t xml:space="preserve">interim reporting for </w:t>
      </w:r>
      <w:r w:rsidR="00E36F5D">
        <w:t>the six months from July to December 2023</w:t>
      </w:r>
      <w:r w:rsidR="00CE212C" w:rsidRPr="00B268F0">
        <w:rPr>
          <w:i/>
          <w:iCs/>
        </w:rPr>
        <w:t>.</w:t>
      </w:r>
      <w:r>
        <w:t xml:space="preserve"> It includes analysis </w:t>
      </w:r>
      <w:r w:rsidR="00050D34">
        <w:t>of self-reported data from CDP p</w:t>
      </w:r>
      <w:r>
        <w:t>roviders, as well as insights from site visits made by NIAA regional office staff and the NIAA’s Monitoring, Evidence and Learning partner, Keogh Bay.</w:t>
      </w:r>
      <w:r w:rsidR="00055DDF">
        <w:t xml:space="preserve"> </w:t>
      </w:r>
      <w:r w:rsidR="00F5510E">
        <w:t xml:space="preserve">It builds on similar analysis undertaken </w:t>
      </w:r>
      <w:r w:rsidR="00A224E2">
        <w:t>for</w:t>
      </w:r>
      <w:r w:rsidR="00F5510E">
        <w:t xml:space="preserve"> Phase 1 of the CDP Trial</w:t>
      </w:r>
      <w:r w:rsidR="00263972">
        <w:t>s</w:t>
      </w:r>
      <w:r w:rsidR="00F5510E">
        <w:t>.</w:t>
      </w:r>
      <w:r w:rsidR="00F5510E">
        <w:rPr>
          <w:rStyle w:val="FootnoteReference"/>
        </w:rPr>
        <w:footnoteReference w:id="2"/>
      </w:r>
    </w:p>
    <w:p w14:paraId="0EA7DBB7" w14:textId="6DB3FB41" w:rsidR="00610349" w:rsidRDefault="00A224E2" w:rsidP="00F43301">
      <w:pPr>
        <w:pStyle w:val="Heading2"/>
      </w:pPr>
      <w:r>
        <w:t>Phase 2 Progress Overview</w:t>
      </w:r>
    </w:p>
    <w:p w14:paraId="191B107B" w14:textId="7049E4A6" w:rsidR="000040C0" w:rsidRDefault="00666B08" w:rsidP="00833E3C">
      <w:pPr>
        <w:pStyle w:val="BodyText"/>
      </w:pPr>
      <w:r>
        <w:t>The CDP Trials continue</w:t>
      </w:r>
      <w:r w:rsidR="006A4359">
        <w:t xml:space="preserve"> to provide valuable insights </w:t>
      </w:r>
      <w:r w:rsidR="00DF2DDF">
        <w:t>into</w:t>
      </w:r>
      <w:r w:rsidR="006A4359">
        <w:t xml:space="preserve"> how to better support</w:t>
      </w:r>
      <w:r w:rsidR="00124880">
        <w:t xml:space="preserve"> </w:t>
      </w:r>
      <w:r w:rsidR="00F5510E">
        <w:t xml:space="preserve">CDP participants </w:t>
      </w:r>
      <w:r w:rsidR="00124880">
        <w:t xml:space="preserve">into work. </w:t>
      </w:r>
      <w:r w:rsidR="008417CF">
        <w:t>CDP p</w:t>
      </w:r>
      <w:r w:rsidR="004B3A4D">
        <w:t xml:space="preserve">roviders reported that </w:t>
      </w:r>
      <w:r w:rsidR="00C02312" w:rsidDel="009C46E0">
        <w:t>61</w:t>
      </w:r>
      <w:r w:rsidR="00916BED">
        <w:t> </w:t>
      </w:r>
      <w:r w:rsidR="0013529C">
        <w:t>per cent</w:t>
      </w:r>
      <w:r w:rsidR="00B40C5A">
        <w:t xml:space="preserve"> of </w:t>
      </w:r>
      <w:r w:rsidR="00A21C67">
        <w:t>projects</w:t>
      </w:r>
      <w:r w:rsidR="00F5510E">
        <w:t xml:space="preserve"> trialled</w:t>
      </w:r>
      <w:r w:rsidR="0013529C">
        <w:t xml:space="preserve"> led to a ‘strong’ or ‘very strong’ improvement of participant engagement in CDP</w:t>
      </w:r>
      <w:r w:rsidR="00DF2DDF">
        <w:t xml:space="preserve">, and that CDP participants were supportive of </w:t>
      </w:r>
      <w:r w:rsidR="006A4359">
        <w:t>nearly all (</w:t>
      </w:r>
      <w:r w:rsidR="004B3A4D" w:rsidDel="009C46E0">
        <w:t>94</w:t>
      </w:r>
      <w:r w:rsidR="00C17E5E">
        <w:t xml:space="preserve"> per cent</w:t>
      </w:r>
      <w:r w:rsidR="006A4359">
        <w:t>)</w:t>
      </w:r>
      <w:r w:rsidR="00C17E5E">
        <w:t xml:space="preserve"> </w:t>
      </w:r>
      <w:r w:rsidR="00DF2DDF">
        <w:t>projects</w:t>
      </w:r>
      <w:r w:rsidR="0013529C">
        <w:t>.</w:t>
      </w:r>
      <w:r w:rsidR="00511320" w:rsidRPr="00511320">
        <w:t xml:space="preserve"> </w:t>
      </w:r>
      <w:r w:rsidR="00511320">
        <w:t>The vast majority (</w:t>
      </w:r>
      <w:r w:rsidR="001B4ABB">
        <w:t>93</w:t>
      </w:r>
      <w:r w:rsidR="00511320">
        <w:t xml:space="preserve"> per cent) of projects expect to deliver their </w:t>
      </w:r>
      <w:r w:rsidR="00F5510E">
        <w:t>anticipat</w:t>
      </w:r>
      <w:r w:rsidR="00511320">
        <w:t>ed benefits by the end of October 2024.</w:t>
      </w:r>
    </w:p>
    <w:p w14:paraId="73B3CEA2" w14:textId="418DEDB5" w:rsidR="00B4266E" w:rsidRDefault="00A224E2" w:rsidP="00833E3C">
      <w:pPr>
        <w:pStyle w:val="BodyText"/>
      </w:pPr>
      <w:r>
        <w:rPr>
          <w:color w:val="auto"/>
        </w:rPr>
        <w:t>I</w:t>
      </w:r>
      <w:r w:rsidR="00B4266E">
        <w:rPr>
          <w:color w:val="auto"/>
        </w:rPr>
        <w:t>n the initial 6-month period of Phase 2, a</w:t>
      </w:r>
      <w:r w:rsidR="00FC255B">
        <w:rPr>
          <w:color w:val="auto"/>
        </w:rPr>
        <w:t>round</w:t>
      </w:r>
      <w:r w:rsidR="00080602" w:rsidRPr="00080602">
        <w:rPr>
          <w:color w:val="auto"/>
        </w:rPr>
        <w:t xml:space="preserve"> </w:t>
      </w:r>
      <w:r w:rsidR="006002BF" w:rsidRPr="00E43D31">
        <w:rPr>
          <w:color w:val="auto"/>
        </w:rPr>
        <w:t>5,</w:t>
      </w:r>
      <w:r w:rsidR="00FC255B" w:rsidRPr="00E43D31">
        <w:rPr>
          <w:color w:val="auto"/>
        </w:rPr>
        <w:t>7</w:t>
      </w:r>
      <w:r w:rsidR="00124880" w:rsidRPr="00E43D31">
        <w:rPr>
          <w:color w:val="auto"/>
        </w:rPr>
        <w:t>00</w:t>
      </w:r>
      <w:r w:rsidR="000040C0" w:rsidRPr="00E43D31">
        <w:rPr>
          <w:color w:val="auto"/>
        </w:rPr>
        <w:t xml:space="preserve"> </w:t>
      </w:r>
      <w:r w:rsidR="000040C0" w:rsidRPr="00E43D31">
        <w:t>CDP</w:t>
      </w:r>
      <w:r w:rsidR="000040C0" w:rsidRPr="00080602">
        <w:t xml:space="preserve"> participants</w:t>
      </w:r>
      <w:r w:rsidR="00BA2517">
        <w:t xml:space="preserve"> – or 15 per cent of the caseload in regions</w:t>
      </w:r>
      <w:r w:rsidR="00E80FDE">
        <w:t xml:space="preserve"> that participated</w:t>
      </w:r>
      <w:r w:rsidR="00BA2517">
        <w:t xml:space="preserve"> in </w:t>
      </w:r>
      <w:r w:rsidR="00E80FDE">
        <w:t xml:space="preserve">Phase 2 </w:t>
      </w:r>
      <w:r w:rsidR="00BA2517">
        <w:t>–</w:t>
      </w:r>
      <w:r w:rsidR="000040C0" w:rsidRPr="00080602">
        <w:t xml:space="preserve"> </w:t>
      </w:r>
      <w:r w:rsidR="00F5510E">
        <w:t xml:space="preserve">had </w:t>
      </w:r>
      <w:r w:rsidR="000040C0" w:rsidRPr="00080602">
        <w:t xml:space="preserve">benefitted in some way from </w:t>
      </w:r>
      <w:r w:rsidR="0013529C">
        <w:t>community projects</w:t>
      </w:r>
      <w:r w:rsidR="00462BF3">
        <w:t xml:space="preserve">, up from around 5,500 </w:t>
      </w:r>
      <w:r w:rsidR="000D54E3">
        <w:t>in Phase 1</w:t>
      </w:r>
      <w:r w:rsidR="00FC255B">
        <w:t xml:space="preserve">. This represents </w:t>
      </w:r>
      <w:r w:rsidR="00916BED">
        <w:t>over half (</w:t>
      </w:r>
      <w:r w:rsidR="00FC255B">
        <w:t>59 per cent</w:t>
      </w:r>
      <w:r w:rsidR="00916BED">
        <w:t>)</w:t>
      </w:r>
      <w:r w:rsidR="00FC255B">
        <w:t xml:space="preserve"> of </w:t>
      </w:r>
      <w:r w:rsidR="00B4266E">
        <w:t>the total number of anticipated beneficiaries over the full Phase 2 period (</w:t>
      </w:r>
      <w:r w:rsidR="00511320">
        <w:t>9,600 </w:t>
      </w:r>
      <w:r w:rsidR="000D54E3">
        <w:t>participants</w:t>
      </w:r>
      <w:r w:rsidR="00B4266E">
        <w:t>)</w:t>
      </w:r>
      <w:r w:rsidR="00511320">
        <w:t>.</w:t>
      </w:r>
      <w:r w:rsidR="00DF2DDF">
        <w:t xml:space="preserve"> </w:t>
      </w:r>
      <w:r w:rsidR="00B4266E">
        <w:t>It is also an increase in the number of participants supported by Phase 1, where a total of 5,500 participants</w:t>
      </w:r>
      <w:r>
        <w:t xml:space="preserve"> benefitted during an eight month period</w:t>
      </w:r>
      <w:r w:rsidR="00B4266E">
        <w:t xml:space="preserve">. </w:t>
      </w:r>
    </w:p>
    <w:p w14:paraId="2E071351" w14:textId="439266FF" w:rsidR="00462BF3" w:rsidRDefault="00271EE3" w:rsidP="00833E3C">
      <w:pPr>
        <w:pStyle w:val="BodyText"/>
      </w:pPr>
      <w:r>
        <w:t>Providers reported spending a</w:t>
      </w:r>
      <w:r w:rsidR="00462BF3">
        <w:t>n estimated $30.6 million in the first six months</w:t>
      </w:r>
      <w:r w:rsidR="00511320">
        <w:t xml:space="preserve"> of Phase 2</w:t>
      </w:r>
      <w:r w:rsidR="00462BF3">
        <w:t xml:space="preserve">, or </w:t>
      </w:r>
      <w:r w:rsidR="000D54E3">
        <w:t>around</w:t>
      </w:r>
      <w:r w:rsidR="00462BF3">
        <w:t xml:space="preserve"> 22 per cent of funds available. The average cost was</w:t>
      </w:r>
      <w:r w:rsidR="000D54E3">
        <w:t xml:space="preserve"> </w:t>
      </w:r>
      <w:r w:rsidR="00462BF3">
        <w:t xml:space="preserve">around $5,400 per beneficiary, </w:t>
      </w:r>
      <w:r w:rsidR="006A4359">
        <w:t>up</w:t>
      </w:r>
      <w:r w:rsidR="00462BF3">
        <w:t xml:space="preserve"> from around $4,700 in Phase</w:t>
      </w:r>
      <w:r w:rsidR="008545DE">
        <w:t> </w:t>
      </w:r>
      <w:r w:rsidR="00462BF3">
        <w:t>1.</w:t>
      </w:r>
      <w:r w:rsidR="00A224E2">
        <w:t xml:space="preserve"> </w:t>
      </w:r>
      <w:r w:rsidR="002902FB">
        <w:t xml:space="preserve">One of the primary </w:t>
      </w:r>
      <w:r w:rsidR="00A224E2">
        <w:t>driver</w:t>
      </w:r>
      <w:r w:rsidR="002902FB">
        <w:t>s</w:t>
      </w:r>
      <w:r w:rsidR="00A224E2">
        <w:t xml:space="preserve"> of the increase </w:t>
      </w:r>
      <w:r w:rsidR="002902FB">
        <w:t xml:space="preserve">was an increase in wage subsidies paid. This appears due to an increase in </w:t>
      </w:r>
      <w:r w:rsidR="002902FB">
        <w:lastRenderedPageBreak/>
        <w:t>average wages paid, although it is difficult to ascertain if this is due to increas</w:t>
      </w:r>
      <w:r w:rsidR="00E80FDE">
        <w:t>ed average hours or higher average wage rates</w:t>
      </w:r>
      <w:r w:rsidR="002902FB">
        <w:t>.</w:t>
      </w:r>
    </w:p>
    <w:p w14:paraId="36EB2C37" w14:textId="4029DB65" w:rsidR="005106C5" w:rsidRDefault="00462BF3" w:rsidP="00833E3C">
      <w:pPr>
        <w:pStyle w:val="BodyText"/>
      </w:pPr>
      <w:r>
        <w:t>N</w:t>
      </w:r>
      <w:r w:rsidR="006002BF">
        <w:t>early</w:t>
      </w:r>
      <w:r w:rsidR="00080602" w:rsidRPr="00080602">
        <w:t xml:space="preserve"> </w:t>
      </w:r>
      <w:r w:rsidR="00124880" w:rsidRPr="00080602">
        <w:t>1,300</w:t>
      </w:r>
      <w:r w:rsidR="000040C0" w:rsidRPr="00080602">
        <w:t xml:space="preserve"> participants</w:t>
      </w:r>
      <w:r w:rsidR="000F43B2">
        <w:t xml:space="preserve"> </w:t>
      </w:r>
      <w:r w:rsidR="00BA2517">
        <w:t xml:space="preserve">– or </w:t>
      </w:r>
      <w:r w:rsidR="007D059D">
        <w:t>over</w:t>
      </w:r>
      <w:r w:rsidR="00BA2517">
        <w:t xml:space="preserve"> </w:t>
      </w:r>
      <w:r w:rsidR="007D059D">
        <w:t>3</w:t>
      </w:r>
      <w:r w:rsidR="00BA2517">
        <w:t xml:space="preserve"> per cent of the caseload in regions that participat</w:t>
      </w:r>
      <w:r w:rsidR="00E80FDE">
        <w:t>ed</w:t>
      </w:r>
      <w:r w:rsidR="00BA2517">
        <w:t xml:space="preserve"> in </w:t>
      </w:r>
      <w:r w:rsidR="00E80FDE">
        <w:t xml:space="preserve">Phase 2 </w:t>
      </w:r>
      <w:r w:rsidR="00BA2517">
        <w:t xml:space="preserve">– </w:t>
      </w:r>
      <w:r w:rsidR="000F43B2">
        <w:t>attained</w:t>
      </w:r>
      <w:r w:rsidR="000040C0">
        <w:t xml:space="preserve"> pa</w:t>
      </w:r>
      <w:r w:rsidR="000040C0" w:rsidRPr="00B66618">
        <w:t>id work opportunities</w:t>
      </w:r>
      <w:r w:rsidR="006A4359">
        <w:t xml:space="preserve"> during the reporting period</w:t>
      </w:r>
      <w:r w:rsidR="00FC255B">
        <w:t xml:space="preserve">, </w:t>
      </w:r>
      <w:r w:rsidR="0010619B">
        <w:t>similar to the around 1,3</w:t>
      </w:r>
      <w:r w:rsidR="00FC255B">
        <w:t>00</w:t>
      </w:r>
      <w:r>
        <w:t xml:space="preserve"> </w:t>
      </w:r>
      <w:r w:rsidR="00511320">
        <w:t xml:space="preserve">reported </w:t>
      </w:r>
      <w:r>
        <w:t>in Phase 1</w:t>
      </w:r>
      <w:r w:rsidR="000040C0" w:rsidRPr="00B66618">
        <w:t xml:space="preserve">. </w:t>
      </w:r>
      <w:r w:rsidR="004E3EB8">
        <w:t>Overall, t</w:t>
      </w:r>
      <w:r w:rsidR="000040C0" w:rsidRPr="00B66618">
        <w:t xml:space="preserve">here were </w:t>
      </w:r>
      <w:r w:rsidR="00B56D1E" w:rsidRPr="000106CE">
        <w:t>14.9</w:t>
      </w:r>
      <w:r w:rsidR="00917AA3">
        <w:t xml:space="preserve"> per cent</w:t>
      </w:r>
      <w:r w:rsidR="000040C0" w:rsidRPr="00B66618">
        <w:t xml:space="preserve"> more</w:t>
      </w:r>
      <w:r w:rsidR="000040C0">
        <w:t xml:space="preserve"> job placements during </w:t>
      </w:r>
      <w:r w:rsidR="002B40C4">
        <w:t xml:space="preserve">the </w:t>
      </w:r>
      <w:r w:rsidR="006A4359">
        <w:t>reporting period, c</w:t>
      </w:r>
      <w:r w:rsidR="006A4359" w:rsidRPr="00B66618">
        <w:t xml:space="preserve">ompared with </w:t>
      </w:r>
      <w:r w:rsidR="006A4359">
        <w:t xml:space="preserve">the same period </w:t>
      </w:r>
      <w:r w:rsidR="006A4359" w:rsidRPr="00B66618">
        <w:t xml:space="preserve">twelve months prior (that is, </w:t>
      </w:r>
      <w:r w:rsidR="006A4359">
        <w:t>July</w:t>
      </w:r>
      <w:r w:rsidR="00E80FDE">
        <w:t xml:space="preserve"> </w:t>
      </w:r>
      <w:r w:rsidR="006A4359" w:rsidRPr="00B66618">
        <w:t>–</w:t>
      </w:r>
      <w:r w:rsidR="006A4359">
        <w:t xml:space="preserve"> December 2022)</w:t>
      </w:r>
      <w:r w:rsidR="000040C0">
        <w:t xml:space="preserve">. </w:t>
      </w:r>
      <w:r w:rsidR="00666B08">
        <w:t xml:space="preserve">Consistent with Phase 1, placements continued to be driven by </w:t>
      </w:r>
      <w:r w:rsidR="00666B08" w:rsidRPr="00B517C9">
        <w:t xml:space="preserve">services and </w:t>
      </w:r>
      <w:r w:rsidR="00666B08">
        <w:t xml:space="preserve">manual labour roles, with the largest increases in individual occupations being </w:t>
      </w:r>
      <w:r w:rsidR="00666B08" w:rsidRPr="00B517C9">
        <w:t>community workers, builder’s labourers and garden labourers.</w:t>
      </w:r>
    </w:p>
    <w:p w14:paraId="6503A3B5" w14:textId="085D11B0" w:rsidR="00610349" w:rsidRDefault="004565D1" w:rsidP="00833E3C">
      <w:pPr>
        <w:pStyle w:val="BodyText"/>
      </w:pPr>
      <w:r>
        <w:t xml:space="preserve">The majority of paid work opportunities </w:t>
      </w:r>
      <w:r w:rsidR="000D54E3">
        <w:t xml:space="preserve">continued to be </w:t>
      </w:r>
      <w:r>
        <w:t xml:space="preserve">casual and short term, with </w:t>
      </w:r>
      <w:r w:rsidR="003F2154">
        <w:t xml:space="preserve">a </w:t>
      </w:r>
      <w:r>
        <w:t xml:space="preserve">focus on providing participants with work experience. </w:t>
      </w:r>
      <w:r w:rsidR="002401D6">
        <w:t xml:space="preserve">Casual and part-time roles are generally for a maximum of 20–25 hours per week, </w:t>
      </w:r>
      <w:r w:rsidR="00DF2DDF">
        <w:t>which provides</w:t>
      </w:r>
      <w:r w:rsidR="002401D6">
        <w:t xml:space="preserve"> flexibility in retaining job seekers</w:t>
      </w:r>
      <w:r w:rsidR="004E3EB8">
        <w:t xml:space="preserve">. </w:t>
      </w:r>
      <w:r w:rsidR="002902FB">
        <w:t>In addition, t</w:t>
      </w:r>
      <w:r w:rsidR="004E3EB8">
        <w:t>his level of additional income</w:t>
      </w:r>
      <w:r w:rsidR="002902FB">
        <w:t xml:space="preserve"> </w:t>
      </w:r>
      <w:r w:rsidR="00DF2DDF">
        <w:t xml:space="preserve">does not </w:t>
      </w:r>
      <w:r w:rsidR="00666B08">
        <w:t xml:space="preserve">generally </w:t>
      </w:r>
      <w:r w:rsidR="00DF2DDF">
        <w:t xml:space="preserve">risk </w:t>
      </w:r>
      <w:r w:rsidR="004E3EB8">
        <w:t xml:space="preserve">significant impacts on </w:t>
      </w:r>
      <w:r w:rsidR="00DF2DDF">
        <w:t xml:space="preserve">much-needed social </w:t>
      </w:r>
      <w:r w:rsidR="00666B08">
        <w:t xml:space="preserve">services </w:t>
      </w:r>
      <w:r w:rsidR="004E3EB8">
        <w:t>entitlements</w:t>
      </w:r>
      <w:r w:rsidR="00666B08">
        <w:t xml:space="preserve"> (such as housing and income support)</w:t>
      </w:r>
      <w:r w:rsidR="002401D6" w:rsidRPr="0C8C79B3">
        <w:t>.</w:t>
      </w:r>
      <w:r w:rsidR="002401D6">
        <w:t xml:space="preserve"> </w:t>
      </w:r>
      <w:r>
        <w:t>Yet d</w:t>
      </w:r>
      <w:r w:rsidR="005106C5">
        <w:t xml:space="preserve">espite the focus on shorter-term placements, overall the initiative was </w:t>
      </w:r>
      <w:r>
        <w:t xml:space="preserve">still </w:t>
      </w:r>
      <w:r w:rsidR="005106C5">
        <w:t xml:space="preserve">successful in creating longer-term employment outcomes. </w:t>
      </w:r>
      <w:r w:rsidR="002902FB">
        <w:t>A quarter (</w:t>
      </w:r>
      <w:r w:rsidR="004E3EB8">
        <w:t>25</w:t>
      </w:r>
      <w:r w:rsidR="002902FB">
        <w:t> </w:t>
      </w:r>
      <w:r w:rsidR="004E3EB8">
        <w:t>per cent</w:t>
      </w:r>
      <w:r w:rsidR="002902FB">
        <w:t>)</w:t>
      </w:r>
      <w:r w:rsidR="004E3EB8">
        <w:t xml:space="preserve"> of placements converted to </w:t>
      </w:r>
      <w:r w:rsidR="006A4359">
        <w:t xml:space="preserve">13-week </w:t>
      </w:r>
      <w:r w:rsidR="004E3EB8">
        <w:t xml:space="preserve">employment </w:t>
      </w:r>
      <w:r w:rsidR="006A4359">
        <w:t>outcomes</w:t>
      </w:r>
      <w:r w:rsidR="004E3EB8">
        <w:t>, with 9 per cent</w:t>
      </w:r>
      <w:r w:rsidR="006A4359">
        <w:t xml:space="preserve"> </w:t>
      </w:r>
      <w:r w:rsidR="004E3EB8">
        <w:t>reaching 26 week outcomes during th</w:t>
      </w:r>
      <w:r w:rsidR="002902FB">
        <w:t>e reporting period</w:t>
      </w:r>
      <w:r w:rsidR="004D6C56">
        <w:t xml:space="preserve">, </w:t>
      </w:r>
      <w:r w:rsidR="002902FB">
        <w:t>broadly similar to Phase 1 (24</w:t>
      </w:r>
      <w:r w:rsidR="00E80FDE">
        <w:t> </w:t>
      </w:r>
      <w:r w:rsidR="002902FB">
        <w:t xml:space="preserve">per cent and 11 per cent, </w:t>
      </w:r>
      <w:r w:rsidR="003F2154">
        <w:t>respectively</w:t>
      </w:r>
      <w:r w:rsidR="002902FB">
        <w:t>)</w:t>
      </w:r>
      <w:r w:rsidR="004D6C56">
        <w:t>.</w:t>
      </w:r>
    </w:p>
    <w:p w14:paraId="076EB0CB" w14:textId="23E9451C" w:rsidR="00217928" w:rsidRDefault="00203AEC" w:rsidP="00833E3C">
      <w:pPr>
        <w:pStyle w:val="BodyText"/>
        <w:rPr>
          <w:color w:val="auto"/>
        </w:rPr>
      </w:pPr>
      <w:r>
        <w:t>There were</w:t>
      </w:r>
      <w:r w:rsidR="00200198">
        <w:t>, however,</w:t>
      </w:r>
      <w:r>
        <w:t xml:space="preserve"> </w:t>
      </w:r>
      <w:r w:rsidR="003F2154">
        <w:t>persistent</w:t>
      </w:r>
      <w:r w:rsidR="006002BF">
        <w:t xml:space="preserve"> </w:t>
      </w:r>
      <w:r>
        <w:t xml:space="preserve">challenges associated with </w:t>
      </w:r>
      <w:r w:rsidR="006002BF">
        <w:t>delivering community projects in remote and very remote parts of Australia</w:t>
      </w:r>
      <w:r>
        <w:t xml:space="preserve">. </w:t>
      </w:r>
      <w:r w:rsidR="006002BF">
        <w:t xml:space="preserve">Providers </w:t>
      </w:r>
      <w:r w:rsidR="006A4359">
        <w:t>again reported</w:t>
      </w:r>
      <w:r w:rsidR="006002BF">
        <w:t xml:space="preserve"> difficulties</w:t>
      </w:r>
      <w:r>
        <w:t xml:space="preserve"> in accessing materials, contractors and equipment</w:t>
      </w:r>
      <w:r w:rsidR="00511320">
        <w:t xml:space="preserve">, especially on remote islands. Some projects were unable to attract or house </w:t>
      </w:r>
      <w:r w:rsidR="006002BF">
        <w:t>qualified staff</w:t>
      </w:r>
      <w:r w:rsidR="00511320">
        <w:t xml:space="preserve"> for an extended period, leading to delays</w:t>
      </w:r>
      <w:r>
        <w:t>.</w:t>
      </w:r>
      <w:r w:rsidR="00A234FE">
        <w:t xml:space="preserve"> </w:t>
      </w:r>
      <w:r w:rsidR="006002BF" w:rsidRPr="00200929">
        <w:t xml:space="preserve">Several providers again reported </w:t>
      </w:r>
      <w:r w:rsidR="006002BF" w:rsidRPr="00200929">
        <w:rPr>
          <w:color w:val="auto"/>
        </w:rPr>
        <w:t>troubles</w:t>
      </w:r>
      <w:r w:rsidR="00A234A9" w:rsidRPr="00200929">
        <w:rPr>
          <w:color w:val="auto"/>
        </w:rPr>
        <w:t xml:space="preserve"> in procuring training organisations in a timely manner.</w:t>
      </w:r>
      <w:r w:rsidR="00A234A9">
        <w:rPr>
          <w:color w:val="auto"/>
        </w:rPr>
        <w:t xml:space="preserve"> </w:t>
      </w:r>
    </w:p>
    <w:p w14:paraId="17E3F477" w14:textId="5AC79D28" w:rsidR="00610349" w:rsidRPr="00610349" w:rsidRDefault="00A224E2" w:rsidP="00F43301">
      <w:pPr>
        <w:pStyle w:val="Heading2"/>
      </w:pPr>
      <w:r>
        <w:t>L</w:t>
      </w:r>
      <w:r w:rsidR="00610349" w:rsidRPr="00833E3C">
        <w:t>earnings</w:t>
      </w:r>
    </w:p>
    <w:p w14:paraId="2B338569" w14:textId="59BDF97F" w:rsidR="0044338F" w:rsidRDefault="0044338F" w:rsidP="00833E3C">
      <w:pPr>
        <w:pStyle w:val="BodyText"/>
      </w:pPr>
      <w:r>
        <w:t xml:space="preserve">As is the nature of place-based approaches, contextual factors have often been the key determinants of the success or shortfall of specific trial </w:t>
      </w:r>
      <w:r w:rsidR="00A21C67">
        <w:t>projects</w:t>
      </w:r>
      <w:r>
        <w:t>. However, there are</w:t>
      </w:r>
      <w:r w:rsidR="004565D1">
        <w:t xml:space="preserve"> some</w:t>
      </w:r>
      <w:r>
        <w:t xml:space="preserve"> </w:t>
      </w:r>
      <w:r w:rsidR="003F2154">
        <w:t>general</w:t>
      </w:r>
      <w:r>
        <w:t xml:space="preserve"> learnings for each of the overarching themes of the </w:t>
      </w:r>
      <w:r w:rsidR="006002BF">
        <w:t>CDP Trials</w:t>
      </w:r>
      <w:r w:rsidR="00A21C67">
        <w:t>,</w:t>
      </w:r>
      <w:r w:rsidR="00666B08">
        <w:t xml:space="preserve"> with these Phase 2 learnings aligning closely with those that emerged from Phase 1. They provide</w:t>
      </w:r>
      <w:r w:rsidR="00A21C67">
        <w:t xml:space="preserve"> insights relevant for the </w:t>
      </w:r>
      <w:r w:rsidR="006A4359">
        <w:t xml:space="preserve">design of </w:t>
      </w:r>
      <w:r w:rsidR="00A21C67">
        <w:t xml:space="preserve">both the Remote Jobs and Economic Development (RJED) program and </w:t>
      </w:r>
      <w:r w:rsidR="003F2154">
        <w:t>a</w:t>
      </w:r>
      <w:r w:rsidR="006A4359">
        <w:t xml:space="preserve"> </w:t>
      </w:r>
      <w:r w:rsidR="004D6C56">
        <w:t>new remote employment service.</w:t>
      </w:r>
    </w:p>
    <w:p w14:paraId="7B9CD90B" w14:textId="77777777" w:rsidR="00666B08" w:rsidRDefault="00666B08" w:rsidP="00666B08">
      <w:pPr>
        <w:pStyle w:val="Heading4"/>
      </w:pPr>
      <w:r>
        <w:t>Provide support to access existing job opportunities, and increase the number of jobs filled by local job seekers, in remote communities</w:t>
      </w:r>
    </w:p>
    <w:p w14:paraId="4B3F6F22" w14:textId="77777777" w:rsidR="00666B08" w:rsidRPr="00FA2A21" w:rsidRDefault="00666B08" w:rsidP="00666B08">
      <w:pPr>
        <w:pStyle w:val="BodyText"/>
        <w:rPr>
          <w:i/>
          <w:iCs/>
        </w:rPr>
      </w:pPr>
      <w:r w:rsidRPr="00B268F0">
        <w:rPr>
          <w:i/>
          <w:iCs/>
        </w:rPr>
        <w:t>Key learning: Employment subsidies are a ‘win-win’ opportunity – giving job seekers paid opportunities to build valuable skills and lower</w:t>
      </w:r>
      <w:r>
        <w:rPr>
          <w:i/>
          <w:iCs/>
        </w:rPr>
        <w:t>ing</w:t>
      </w:r>
      <w:r w:rsidRPr="00B268F0">
        <w:rPr>
          <w:i/>
          <w:iCs/>
        </w:rPr>
        <w:t xml:space="preserve"> risks for employers – but many employers remain wary about taking on participants</w:t>
      </w:r>
    </w:p>
    <w:p w14:paraId="5B975A2B" w14:textId="5D7C44ED" w:rsidR="00666B08" w:rsidRDefault="00666B08" w:rsidP="00666B08">
      <w:pPr>
        <w:pStyle w:val="BodyText"/>
      </w:pPr>
      <w:r>
        <w:t xml:space="preserve">Almost all projects (55, or 95 per cent) funded employers to offer paid employment opportunities for CDP participants. The cost of wages funded depended on the level and length of support, but averaged around $10,000 per employed participant (an increase from around $9,200 in Phase 1). Most (44, or 76 per cent) involved participants being employed by CDP providers, either for direct employment or placement with host </w:t>
      </w:r>
      <w:r w:rsidRPr="002401D6">
        <w:t>employers.</w:t>
      </w:r>
      <w:r>
        <w:t xml:space="preserve"> The majority (29, or 57</w:t>
      </w:r>
      <w:r w:rsidRPr="002401D6">
        <w:t> per cent</w:t>
      </w:r>
      <w:r>
        <w:t>)</w:t>
      </w:r>
      <w:r w:rsidRPr="002401D6">
        <w:t xml:space="preserve"> reported employer subsidies as either ‘successful’ or ‘very successful’. Three providers</w:t>
      </w:r>
      <w:r>
        <w:t xml:space="preserve"> created employment opportunities for over 10 per cent of their caseload during Phase 2, with one </w:t>
      </w:r>
      <w:r>
        <w:lastRenderedPageBreak/>
        <w:t xml:space="preserve">employing 123 participants. The majority of these </w:t>
      </w:r>
      <w:r w:rsidR="00E80FDE">
        <w:t xml:space="preserve">projects saw participants </w:t>
      </w:r>
      <w:r>
        <w:t>direct</w:t>
      </w:r>
      <w:r w:rsidR="00E80FDE">
        <w:t>ly employed by</w:t>
      </w:r>
      <w:r>
        <w:t xml:space="preserve"> the</w:t>
      </w:r>
      <w:r w:rsidR="00E80FDE">
        <w:t xml:space="preserve"> relevant</w:t>
      </w:r>
      <w:r>
        <w:t xml:space="preserve"> provider.</w:t>
      </w:r>
    </w:p>
    <w:p w14:paraId="586B1643" w14:textId="413FDC25" w:rsidR="00666B08" w:rsidRDefault="00666B08" w:rsidP="00666B08">
      <w:pPr>
        <w:pStyle w:val="BodyText"/>
      </w:pPr>
      <w:r>
        <w:t xml:space="preserve">Many providers agreed again that subsidies were a ‘powerful’ mechanism to engage job seekers with paid work experience, while giving employers a low-risk opportunity to assess candidates in on-the-job settings. They noted that it helped ‘bridge the gap between the job requirements and the skills of potential employees’, leading to better longer-term success in the role. However, there are still many businesses who do not wish to engage CDP participants, even for fully subsidised positions. Employers reported an administrative burden, even where providers handled human resources functions. Some employers </w:t>
      </w:r>
      <w:r w:rsidR="00152B50">
        <w:t>are reluctant to provide the training and other supports that</w:t>
      </w:r>
      <w:r>
        <w:t xml:space="preserve"> CDP participants</w:t>
      </w:r>
      <w:r w:rsidR="00152B50">
        <w:t xml:space="preserve"> often need</w:t>
      </w:r>
      <w:r>
        <w:t>. Others (often smaller employers) report being too stretched by meeting their core responsibilities to on-board new staff, emphasising the need for subsidies to extend beyond employee salary and on-costs to cover related supervision and administration costs.</w:t>
      </w:r>
    </w:p>
    <w:p w14:paraId="1F41DEBC" w14:textId="77777777" w:rsidR="00666B08" w:rsidRDefault="00666B08" w:rsidP="00666B08">
      <w:pPr>
        <w:pStyle w:val="BodyText"/>
      </w:pPr>
      <w:r>
        <w:t xml:space="preserve">Given this context, CDP providers have in many cases employed participants directly. They report being well placed to provide intensive support and mentoring in the workplace, often beyond the capacity of most employers. </w:t>
      </w:r>
      <w:r w:rsidRPr="00B268F0">
        <w:rPr>
          <w:rFonts w:ascii="Calibri" w:hAnsi="Calibri"/>
        </w:rPr>
        <w:t>Several providers noted that</w:t>
      </w:r>
      <w:r>
        <w:rPr>
          <w:rFonts w:ascii="Calibri" w:hAnsi="Calibri"/>
        </w:rPr>
        <w:t>,</w:t>
      </w:r>
      <w:r w:rsidRPr="00B268F0">
        <w:rPr>
          <w:rFonts w:ascii="Calibri" w:hAnsi="Calibri"/>
        </w:rPr>
        <w:t xml:space="preserve"> </w:t>
      </w:r>
      <w:r>
        <w:rPr>
          <w:rFonts w:ascii="Calibri" w:hAnsi="Calibri"/>
        </w:rPr>
        <w:t xml:space="preserve">despite an </w:t>
      </w:r>
      <w:r w:rsidRPr="00B268F0">
        <w:rPr>
          <w:rFonts w:ascii="Calibri" w:hAnsi="Calibri"/>
        </w:rPr>
        <w:t xml:space="preserve">intention to place participants with local employers, </w:t>
      </w:r>
      <w:r>
        <w:rPr>
          <w:rFonts w:ascii="Calibri" w:hAnsi="Calibri"/>
        </w:rPr>
        <w:t xml:space="preserve">a </w:t>
      </w:r>
      <w:r w:rsidRPr="00B268F0">
        <w:rPr>
          <w:rFonts w:ascii="Calibri" w:hAnsi="Calibri"/>
        </w:rPr>
        <w:t>lack of work readiness prompted a shift to direct</w:t>
      </w:r>
      <w:r>
        <w:rPr>
          <w:rFonts w:ascii="Calibri" w:hAnsi="Calibri"/>
        </w:rPr>
        <w:t>ly employing participants</w:t>
      </w:r>
      <w:r w:rsidRPr="00B268F0">
        <w:rPr>
          <w:rFonts w:ascii="Calibri" w:hAnsi="Calibri"/>
        </w:rPr>
        <w:t xml:space="preserve">. </w:t>
      </w:r>
      <w:r>
        <w:t>By employing multiple people to staff a variety of roles, providers are also able to better manage complex dynamics such as individual preparedness for work, the effects of mental health and trauma, cultural responsibilities and broader community functioning</w:t>
      </w:r>
      <w:r w:rsidRPr="0C8C79B3">
        <w:t xml:space="preserve">. </w:t>
      </w:r>
      <w:r>
        <w:t>Keogh Bay did encourage providers, though, to ensure participants have good career pathways and aren’t held back in repetitive or unskilled work.</w:t>
      </w:r>
    </w:p>
    <w:p w14:paraId="3D0A9655" w14:textId="77777777" w:rsidR="00666B08" w:rsidRPr="00FA2A21" w:rsidRDefault="00666B08" w:rsidP="00666B08">
      <w:pPr>
        <w:pStyle w:val="PanelBody"/>
        <w:rPr>
          <w:i/>
          <w:iCs/>
        </w:rPr>
      </w:pPr>
      <w:r>
        <w:rPr>
          <w:i/>
          <w:iCs/>
        </w:rPr>
        <w:t>‘</w:t>
      </w:r>
      <w:r w:rsidRPr="00B268F0">
        <w:rPr>
          <w:i/>
          <w:iCs/>
        </w:rPr>
        <w:t>The challenges I had to face in finding work is confidence in myself. Having to go out and find employment in a small town was hard. There isn't many jobs you can apply for without the workplaces already having enough staff or not having the specific qualifications for that job… Ever since gaining my employment, I have never looked back and enjoy working every day.</w:t>
      </w:r>
      <w:r>
        <w:rPr>
          <w:i/>
          <w:iCs/>
        </w:rPr>
        <w:t>’</w:t>
      </w:r>
    </w:p>
    <w:p w14:paraId="5A361205" w14:textId="77777777" w:rsidR="00666B08" w:rsidRPr="006637E4" w:rsidRDefault="00666B08" w:rsidP="00666B08">
      <w:pPr>
        <w:pStyle w:val="PanelBody"/>
        <w:jc w:val="right"/>
        <w:rPr>
          <w:b/>
        </w:rPr>
      </w:pPr>
      <w:r w:rsidRPr="006637E4">
        <w:rPr>
          <w:b/>
        </w:rPr>
        <w:t>– CDP Participant, Central West Region QLD</w:t>
      </w:r>
    </w:p>
    <w:p w14:paraId="5EC82F7B" w14:textId="77777777" w:rsidR="00F43301" w:rsidRDefault="00F43301" w:rsidP="00F43301">
      <w:pPr>
        <w:pStyle w:val="Heading4"/>
      </w:pPr>
      <w:r>
        <w:t xml:space="preserve">Re-engage job seekers </w:t>
      </w:r>
      <w:r w:rsidRPr="00833E3C">
        <w:t>with</w:t>
      </w:r>
      <w:r>
        <w:t xml:space="preserve"> the program</w:t>
      </w:r>
    </w:p>
    <w:p w14:paraId="1F4A1B2D" w14:textId="6B7D335C" w:rsidR="00A311EA" w:rsidRPr="00B268F0" w:rsidRDefault="00F43301">
      <w:pPr>
        <w:pStyle w:val="BodyText"/>
        <w:rPr>
          <w:i/>
          <w:iCs/>
        </w:rPr>
      </w:pPr>
      <w:r w:rsidRPr="00B268F0">
        <w:rPr>
          <w:i/>
          <w:iCs/>
        </w:rPr>
        <w:t xml:space="preserve">Key learning: </w:t>
      </w:r>
      <w:r w:rsidR="00666B08">
        <w:rPr>
          <w:i/>
          <w:iCs/>
        </w:rPr>
        <w:t>Although not as effective as award wages, f</w:t>
      </w:r>
      <w:r w:rsidR="00B43A60" w:rsidRPr="00B268F0">
        <w:rPr>
          <w:i/>
          <w:iCs/>
        </w:rPr>
        <w:t>inancial incentive</w:t>
      </w:r>
      <w:r w:rsidR="00913197" w:rsidRPr="00B268F0">
        <w:rPr>
          <w:i/>
          <w:iCs/>
        </w:rPr>
        <w:t>s</w:t>
      </w:r>
      <w:r w:rsidR="00B43A60" w:rsidRPr="00B268F0">
        <w:rPr>
          <w:i/>
          <w:iCs/>
        </w:rPr>
        <w:t xml:space="preserve"> helped foster consistent </w:t>
      </w:r>
      <w:r w:rsidR="00913197" w:rsidRPr="00B268F0">
        <w:rPr>
          <w:i/>
          <w:iCs/>
        </w:rPr>
        <w:t xml:space="preserve">participation </w:t>
      </w:r>
      <w:r w:rsidR="00B43A60" w:rsidRPr="00B268F0">
        <w:rPr>
          <w:i/>
          <w:iCs/>
        </w:rPr>
        <w:t>from participants</w:t>
      </w:r>
      <w:r w:rsidR="00152B50">
        <w:rPr>
          <w:i/>
          <w:iCs/>
        </w:rPr>
        <w:t xml:space="preserve">; however, </w:t>
      </w:r>
      <w:r w:rsidR="00F84CEA" w:rsidRPr="00B268F0">
        <w:rPr>
          <w:i/>
          <w:iCs/>
        </w:rPr>
        <w:t>chronically disengaged</w:t>
      </w:r>
      <w:r w:rsidR="00913197" w:rsidRPr="00B268F0">
        <w:rPr>
          <w:i/>
          <w:iCs/>
        </w:rPr>
        <w:t xml:space="preserve"> </w:t>
      </w:r>
      <w:r w:rsidR="00A311EA" w:rsidRPr="00B268F0">
        <w:rPr>
          <w:i/>
          <w:iCs/>
        </w:rPr>
        <w:t xml:space="preserve">participants are </w:t>
      </w:r>
      <w:r w:rsidR="00666B08">
        <w:rPr>
          <w:i/>
          <w:iCs/>
        </w:rPr>
        <w:t xml:space="preserve">often </w:t>
      </w:r>
      <w:r w:rsidR="00A311EA" w:rsidRPr="00B268F0">
        <w:rPr>
          <w:i/>
          <w:iCs/>
        </w:rPr>
        <w:t xml:space="preserve">more </w:t>
      </w:r>
      <w:r w:rsidR="00913197" w:rsidRPr="00B268F0">
        <w:rPr>
          <w:i/>
          <w:iCs/>
        </w:rPr>
        <w:t>motivated by community service</w:t>
      </w:r>
    </w:p>
    <w:p w14:paraId="022AA75C" w14:textId="0F8AE047" w:rsidR="0071740C" w:rsidRDefault="00303D3D" w:rsidP="002120FA">
      <w:pPr>
        <w:pStyle w:val="BodyText"/>
      </w:pPr>
      <w:r>
        <w:t xml:space="preserve">Thirty-five </w:t>
      </w:r>
      <w:r w:rsidR="00B37B35">
        <w:t>project</w:t>
      </w:r>
      <w:r w:rsidR="00A21C67">
        <w:t xml:space="preserve">s </w:t>
      </w:r>
      <w:r w:rsidR="00294FBA">
        <w:t>(60 per cent)</w:t>
      </w:r>
      <w:r w:rsidR="00636723">
        <w:t xml:space="preserve"> aimed to re-engage participants on their caseload through incentives. These projects </w:t>
      </w:r>
      <w:r>
        <w:t xml:space="preserve">offered food, voucher or cash incentives to attend work experience, activities or training. </w:t>
      </w:r>
      <w:r w:rsidR="0072409A">
        <w:t>N</w:t>
      </w:r>
      <w:r>
        <w:t xml:space="preserve">early 900 participants received an average of around </w:t>
      </w:r>
      <w:r w:rsidRPr="00CE0A85">
        <w:t>$520</w:t>
      </w:r>
      <w:r w:rsidR="001A7A44">
        <w:t xml:space="preserve"> in incentives</w:t>
      </w:r>
      <w:r w:rsidR="006A4359">
        <w:t xml:space="preserve"> during the reporting period</w:t>
      </w:r>
      <w:r>
        <w:t>, down from nearly $800 in Phase 1</w:t>
      </w:r>
      <w:r w:rsidR="00D67483">
        <w:t>.</w:t>
      </w:r>
      <w:r w:rsidR="00294FBA">
        <w:t xml:space="preserve"> </w:t>
      </w:r>
      <w:r w:rsidR="006A4359">
        <w:t>Keogh Bay found this was a popular method for re-engagement in the absence of mutual obligations</w:t>
      </w:r>
      <w:r w:rsidR="002B5FE5">
        <w:t xml:space="preserve">, although </w:t>
      </w:r>
      <w:r w:rsidR="008417CF">
        <w:t>28 per cent</w:t>
      </w:r>
      <w:r w:rsidR="002B5FE5">
        <w:t xml:space="preserve"> of these projects were rated by providers as ‘not successful’ or </w:t>
      </w:r>
      <w:r w:rsidR="009D1587">
        <w:t>having</w:t>
      </w:r>
      <w:r w:rsidR="008417CF">
        <w:t xml:space="preserve"> only</w:t>
      </w:r>
      <w:r w:rsidR="009D1587">
        <w:t xml:space="preserve"> ‘limited success’. </w:t>
      </w:r>
    </w:p>
    <w:p w14:paraId="68E46E1B" w14:textId="67AB43EB" w:rsidR="00A13342" w:rsidRDefault="008417CF" w:rsidP="00F84CEA">
      <w:pPr>
        <w:pStyle w:val="BodyText"/>
      </w:pPr>
      <w:r>
        <w:t xml:space="preserve">Many providers reported that small incentives do help to get </w:t>
      </w:r>
      <w:r w:rsidR="003F2154">
        <w:t xml:space="preserve">participants ‘in the door’, and keep </w:t>
      </w:r>
      <w:r>
        <w:t xml:space="preserve">those </w:t>
      </w:r>
      <w:r w:rsidR="002A2976">
        <w:t xml:space="preserve">participants </w:t>
      </w:r>
      <w:r w:rsidR="00455A6C">
        <w:t xml:space="preserve">who had </w:t>
      </w:r>
      <w:r w:rsidR="00887146">
        <w:t xml:space="preserve">initially </w:t>
      </w:r>
      <w:r w:rsidR="00455A6C">
        <w:t>expressed</w:t>
      </w:r>
      <w:r w:rsidR="00C253DF">
        <w:t xml:space="preserve"> interest in a project</w:t>
      </w:r>
      <w:r w:rsidR="003F2154">
        <w:t xml:space="preserve"> engaged</w:t>
      </w:r>
      <w:r w:rsidR="00D67483">
        <w:t xml:space="preserve">. </w:t>
      </w:r>
      <w:r>
        <w:t xml:space="preserve">The incentives </w:t>
      </w:r>
      <w:r w:rsidR="00225FA9">
        <w:t xml:space="preserve">fostered better </w:t>
      </w:r>
      <w:r w:rsidR="003F2154">
        <w:t>relationships</w:t>
      </w:r>
      <w:r w:rsidR="00225FA9">
        <w:t xml:space="preserve"> with case managers, as well as </w:t>
      </w:r>
      <w:r w:rsidR="00A13342">
        <w:t>incr</w:t>
      </w:r>
      <w:r w:rsidR="006A4359">
        <w:t>ease</w:t>
      </w:r>
      <w:r w:rsidR="00225FA9">
        <w:t>d</w:t>
      </w:r>
      <w:r w:rsidR="00A13342">
        <w:t xml:space="preserve"> attendance at training and work experience opportunities</w:t>
      </w:r>
      <w:r w:rsidR="00F9354F" w:rsidRPr="00B268F0">
        <w:rPr>
          <w:rFonts w:ascii="Calibri" w:hAnsi="Calibri" w:cs="Calibri"/>
        </w:rPr>
        <w:t>.</w:t>
      </w:r>
      <w:r w:rsidR="00A13342">
        <w:t xml:space="preserve"> </w:t>
      </w:r>
      <w:r>
        <w:t>In addition, they offset the ‘stresses of starting a new job’ and help</w:t>
      </w:r>
      <w:r w:rsidR="00B37B35">
        <w:t>ed</w:t>
      </w:r>
      <w:r>
        <w:t xml:space="preserve"> alleviate cost-of-living impacts for participants and their families. </w:t>
      </w:r>
      <w:r w:rsidR="004D0DCD">
        <w:t>I</w:t>
      </w:r>
      <w:r w:rsidR="004D0DCD">
        <w:rPr>
          <w:rFonts w:ascii="Calibri" w:hAnsi="Calibri" w:cs="Calibri"/>
        </w:rPr>
        <w:t>ndividual non-financial incentives</w:t>
      </w:r>
      <w:r w:rsidR="00E80FDE">
        <w:rPr>
          <w:rFonts w:ascii="Calibri" w:hAnsi="Calibri" w:cs="Calibri"/>
        </w:rPr>
        <w:t xml:space="preserve"> –</w:t>
      </w:r>
      <w:r w:rsidR="004D0DCD" w:rsidRPr="00B268F0">
        <w:rPr>
          <w:rFonts w:ascii="Calibri" w:hAnsi="Calibri" w:cs="Calibri"/>
        </w:rPr>
        <w:t xml:space="preserve"> such as sport merchandise, home appliances, a</w:t>
      </w:r>
      <w:r w:rsidR="00E80FDE">
        <w:rPr>
          <w:rFonts w:ascii="Calibri" w:hAnsi="Calibri" w:cs="Calibri"/>
        </w:rPr>
        <w:t>nd food –</w:t>
      </w:r>
      <w:r w:rsidR="004D0DCD">
        <w:rPr>
          <w:rFonts w:ascii="Calibri" w:hAnsi="Calibri" w:cs="Calibri"/>
        </w:rPr>
        <w:t xml:space="preserve"> also helped </w:t>
      </w:r>
      <w:r w:rsidR="004D0DCD">
        <w:rPr>
          <w:rFonts w:ascii="Calibri" w:hAnsi="Calibri" w:cs="Calibri"/>
        </w:rPr>
        <w:lastRenderedPageBreak/>
        <w:t xml:space="preserve">to provide more holistic benefits (e.g. ‘encouraging healthy eating’). </w:t>
      </w:r>
      <w:r w:rsidR="00383326">
        <w:t>The most s</w:t>
      </w:r>
      <w:r w:rsidR="00F9354F">
        <w:t>uccessful approaches</w:t>
      </w:r>
      <w:r w:rsidR="007E4B64">
        <w:t xml:space="preserve"> consistently </w:t>
      </w:r>
      <w:r w:rsidR="00152B50">
        <w:t>employed incentives through a re</w:t>
      </w:r>
      <w:r w:rsidR="007E4B64">
        <w:t>ward-based system</w:t>
      </w:r>
      <w:r w:rsidR="00152B50">
        <w:t>, such as by</w:t>
      </w:r>
      <w:r w:rsidR="007E4B64">
        <w:t xml:space="preserve"> bookending incentives at the start and completion of training, work experience placements or pre-employment requirements. </w:t>
      </w:r>
    </w:p>
    <w:p w14:paraId="06E20048" w14:textId="4AE98ABB" w:rsidR="00F84CEA" w:rsidRDefault="00A13342" w:rsidP="00F84CEA">
      <w:pPr>
        <w:pStyle w:val="BodyText"/>
      </w:pPr>
      <w:r>
        <w:t xml:space="preserve">However, </w:t>
      </w:r>
      <w:r w:rsidR="004D0DCD">
        <w:t xml:space="preserve">individual </w:t>
      </w:r>
      <w:r>
        <w:t>incentives had</w:t>
      </w:r>
      <w:r w:rsidR="00142323">
        <w:t xml:space="preserve"> </w:t>
      </w:r>
      <w:r w:rsidR="00E80FDE">
        <w:t>more</w:t>
      </w:r>
      <w:r>
        <w:t xml:space="preserve"> limited success with </w:t>
      </w:r>
      <w:r w:rsidR="00142323">
        <w:t>the (substantial) cohort of disengaged participants</w:t>
      </w:r>
      <w:r>
        <w:t xml:space="preserve">. A common theme was that </w:t>
      </w:r>
      <w:r w:rsidR="00225FA9">
        <w:t>incentives</w:t>
      </w:r>
      <w:r>
        <w:t xml:space="preserve"> </w:t>
      </w:r>
      <w:r w:rsidR="007C36E1">
        <w:t>do</w:t>
      </w:r>
      <w:r w:rsidR="00636723">
        <w:t xml:space="preserve"> not</w:t>
      </w:r>
      <w:r w:rsidR="007C36E1">
        <w:t xml:space="preserve"> effectively</w:t>
      </w:r>
      <w:r w:rsidR="00636723">
        <w:t xml:space="preserve"> o</w:t>
      </w:r>
      <w:r w:rsidR="00CE0A85">
        <w:t>utweigh</w:t>
      </w:r>
      <w:r w:rsidR="00636723">
        <w:t xml:space="preserve"> </w:t>
      </w:r>
      <w:r w:rsidR="00225FA9">
        <w:t>the</w:t>
      </w:r>
      <w:r w:rsidR="00636723">
        <w:t xml:space="preserve"> considerable barriers </w:t>
      </w:r>
      <w:r w:rsidR="00B268F0">
        <w:t>that</w:t>
      </w:r>
      <w:r w:rsidR="007C36E1">
        <w:t xml:space="preserve"> </w:t>
      </w:r>
      <w:r w:rsidR="00383326">
        <w:t>inhibit</w:t>
      </w:r>
      <w:r w:rsidR="007C36E1">
        <w:t xml:space="preserve"> </w:t>
      </w:r>
      <w:r w:rsidR="00225FA9">
        <w:t xml:space="preserve">participants’ </w:t>
      </w:r>
      <w:r w:rsidR="007C36E1">
        <w:t>engagement</w:t>
      </w:r>
      <w:r>
        <w:t xml:space="preserve">. </w:t>
      </w:r>
      <w:r w:rsidR="008417CF">
        <w:t xml:space="preserve">Many participants remain concerned about the perceived impact that wages and financial incentives have on eligibility for other social </w:t>
      </w:r>
      <w:r w:rsidR="00152B50">
        <w:t>services benefits</w:t>
      </w:r>
      <w:r w:rsidR="008417CF">
        <w:t xml:space="preserve">, such as housing. </w:t>
      </w:r>
      <w:r w:rsidR="00225FA9">
        <w:t>M</w:t>
      </w:r>
      <w:r>
        <w:t xml:space="preserve">any </w:t>
      </w:r>
      <w:r w:rsidR="008417CF">
        <w:t>p</w:t>
      </w:r>
      <w:r w:rsidR="00225FA9">
        <w:t xml:space="preserve">roviders </w:t>
      </w:r>
      <w:r>
        <w:t xml:space="preserve">emphasised the need to work collaboratively with participants to determine a form of incentive that would be a valuable motivator. </w:t>
      </w:r>
      <w:r w:rsidR="007E4B64">
        <w:t xml:space="preserve">It was noted that the </w:t>
      </w:r>
      <w:r w:rsidR="00C970A4">
        <w:t>exclusive use of incentives</w:t>
      </w:r>
      <w:r w:rsidR="00200A19">
        <w:t>,</w:t>
      </w:r>
      <w:r w:rsidR="007E4B64">
        <w:t xml:space="preserve"> without being linked to a broader goal for participants</w:t>
      </w:r>
      <w:r w:rsidR="00200A19">
        <w:t xml:space="preserve">, was unsustainable and </w:t>
      </w:r>
      <w:r>
        <w:t>‘</w:t>
      </w:r>
      <w:r w:rsidR="00E5017E" w:rsidRPr="00B268F0">
        <w:rPr>
          <w:rFonts w:ascii="Calibri" w:hAnsi="Calibri" w:cs="Calibri"/>
        </w:rPr>
        <w:t>led to disengagement of job seekers after exhausting funding for incentives</w:t>
      </w:r>
      <w:r w:rsidRPr="00B268F0">
        <w:rPr>
          <w:rFonts w:ascii="Calibri" w:hAnsi="Calibri" w:cs="Calibri"/>
        </w:rPr>
        <w:t>’</w:t>
      </w:r>
      <w:r w:rsidR="00200A19">
        <w:t xml:space="preserve">. </w:t>
      </w:r>
    </w:p>
    <w:p w14:paraId="77DEDE0A" w14:textId="76403571" w:rsidR="00F9354F" w:rsidRPr="00B268F0" w:rsidRDefault="004D0DCD" w:rsidP="00465649">
      <w:pPr>
        <w:pStyle w:val="BodyText"/>
        <w:rPr>
          <w:rFonts w:ascii="Calibri" w:hAnsi="Calibri" w:cs="Calibri"/>
        </w:rPr>
      </w:pPr>
      <w:r>
        <w:rPr>
          <w:rFonts w:ascii="Calibri" w:hAnsi="Calibri" w:cs="Calibri"/>
        </w:rPr>
        <w:t xml:space="preserve">Instead, providers and Keogh Bay considered </w:t>
      </w:r>
      <w:r>
        <w:t xml:space="preserve">community service </w:t>
      </w:r>
      <w:r>
        <w:rPr>
          <w:rFonts w:ascii="Calibri" w:hAnsi="Calibri" w:cs="Calibri"/>
        </w:rPr>
        <w:t>a more effective mechanism to motivate</w:t>
      </w:r>
      <w:r w:rsidRPr="00B268F0">
        <w:rPr>
          <w:rFonts w:ascii="Calibri" w:hAnsi="Calibri" w:cs="Calibri"/>
        </w:rPr>
        <w:t xml:space="preserve"> the disengaged cohort of participants.</w:t>
      </w:r>
      <w:r>
        <w:rPr>
          <w:rFonts w:ascii="Calibri" w:hAnsi="Calibri" w:cs="Calibri"/>
        </w:rPr>
        <w:t xml:space="preserve"> They</w:t>
      </w:r>
      <w:r w:rsidRPr="00B268F0">
        <w:rPr>
          <w:rFonts w:ascii="Calibri" w:hAnsi="Calibri" w:cs="Calibri"/>
        </w:rPr>
        <w:t xml:space="preserve"> observed that participants’ sense of pride and self-confidence is </w:t>
      </w:r>
      <w:r>
        <w:rPr>
          <w:rFonts w:ascii="Calibri" w:hAnsi="Calibri" w:cs="Calibri"/>
        </w:rPr>
        <w:t xml:space="preserve">often </w:t>
      </w:r>
      <w:r w:rsidRPr="00B268F0">
        <w:rPr>
          <w:rFonts w:ascii="Calibri" w:hAnsi="Calibri" w:cs="Calibri"/>
        </w:rPr>
        <w:t>deeply connected with community service.</w:t>
      </w:r>
      <w:r>
        <w:rPr>
          <w:rFonts w:ascii="Calibri" w:hAnsi="Calibri" w:cs="Calibri"/>
        </w:rPr>
        <w:t xml:space="preserve"> Over half (33 projects) of projects incorporated community projects, with </w:t>
      </w:r>
      <w:r w:rsidR="00A21C67">
        <w:rPr>
          <w:rFonts w:ascii="Calibri" w:hAnsi="Calibri" w:cs="Calibri"/>
        </w:rPr>
        <w:t>most</w:t>
      </w:r>
      <w:r>
        <w:rPr>
          <w:rFonts w:ascii="Calibri" w:hAnsi="Calibri" w:cs="Calibri"/>
        </w:rPr>
        <w:t xml:space="preserve"> featuring c</w:t>
      </w:r>
      <w:r>
        <w:t xml:space="preserve">ommunity work crews. </w:t>
      </w:r>
      <w:r w:rsidR="00B147E2">
        <w:t>Providers report</w:t>
      </w:r>
      <w:r w:rsidR="00E80FDE">
        <w:t>ed</w:t>
      </w:r>
      <w:r w:rsidR="00B147E2">
        <w:t xml:space="preserve"> that these successfully combine</w:t>
      </w:r>
      <w:r w:rsidR="00E80FDE">
        <w:t>d</w:t>
      </w:r>
      <w:r w:rsidR="00B147E2">
        <w:t xml:space="preserve"> two important motivators of wages (with </w:t>
      </w:r>
      <w:r>
        <w:t>large flexibility in hours</w:t>
      </w:r>
      <w:r w:rsidR="00B147E2">
        <w:t xml:space="preserve">) </w:t>
      </w:r>
      <w:r w:rsidR="00E80FDE">
        <w:t>and</w:t>
      </w:r>
      <w:r w:rsidR="00B147E2">
        <w:t xml:space="preserve"> </w:t>
      </w:r>
      <w:r>
        <w:t>work</w:t>
      </w:r>
      <w:r w:rsidR="00B147E2">
        <w:t>ing</w:t>
      </w:r>
      <w:r>
        <w:t xml:space="preserve"> on projects proposed by local communities. </w:t>
      </w:r>
    </w:p>
    <w:p w14:paraId="4DBE4F9B" w14:textId="755231CD" w:rsidR="001E589F" w:rsidRPr="002401D6" w:rsidRDefault="00C9681C" w:rsidP="00F43301">
      <w:pPr>
        <w:pStyle w:val="BodyText"/>
        <w:rPr>
          <w:rFonts w:ascii="Calibri" w:hAnsi="Calibri" w:cs="Calibri"/>
        </w:rPr>
      </w:pPr>
      <w:r w:rsidRPr="00B268F0">
        <w:rPr>
          <w:rFonts w:ascii="Calibri" w:hAnsi="Calibri"/>
        </w:rPr>
        <w:t>S</w:t>
      </w:r>
      <w:r w:rsidR="00515F99" w:rsidRPr="00B268F0">
        <w:rPr>
          <w:rFonts w:ascii="Calibri" w:hAnsi="Calibri"/>
        </w:rPr>
        <w:t xml:space="preserve">ix providers </w:t>
      </w:r>
      <w:r w:rsidR="002401D6">
        <w:rPr>
          <w:rFonts w:ascii="Calibri" w:hAnsi="Calibri"/>
        </w:rPr>
        <w:t xml:space="preserve">explicitly </w:t>
      </w:r>
      <w:r w:rsidRPr="00B268F0">
        <w:rPr>
          <w:rFonts w:ascii="Calibri" w:hAnsi="Calibri"/>
        </w:rPr>
        <w:t xml:space="preserve">discussed </w:t>
      </w:r>
      <w:r w:rsidR="00515F99" w:rsidRPr="00B268F0">
        <w:rPr>
          <w:rFonts w:ascii="Calibri" w:hAnsi="Calibri"/>
        </w:rPr>
        <w:t>the transition away from activity-related mutual obligations</w:t>
      </w:r>
      <w:r w:rsidR="0071740C" w:rsidRPr="00B268F0">
        <w:rPr>
          <w:rFonts w:ascii="Calibri" w:hAnsi="Calibri"/>
        </w:rPr>
        <w:t xml:space="preserve">. Perspectives were mixed on how this transition has </w:t>
      </w:r>
      <w:r w:rsidR="00200929" w:rsidRPr="00B268F0">
        <w:rPr>
          <w:rFonts w:ascii="Calibri" w:hAnsi="Calibri"/>
        </w:rPr>
        <w:t>impacted participant engagement, with some providers reportin</w:t>
      </w:r>
      <w:r w:rsidR="002401D6">
        <w:rPr>
          <w:rFonts w:ascii="Calibri" w:hAnsi="Calibri"/>
        </w:rPr>
        <w:t>g that a non</w:t>
      </w:r>
      <w:r w:rsidR="002401D6">
        <w:rPr>
          <w:rFonts w:ascii="Calibri" w:hAnsi="Calibri"/>
        </w:rPr>
        <w:noBreakHyphen/>
      </w:r>
      <w:r w:rsidR="00200929" w:rsidRPr="00B268F0">
        <w:rPr>
          <w:rFonts w:ascii="Calibri" w:hAnsi="Calibri"/>
        </w:rPr>
        <w:t>punitive system builds trust with participants</w:t>
      </w:r>
      <w:r w:rsidRPr="00B268F0">
        <w:rPr>
          <w:rFonts w:ascii="Calibri" w:hAnsi="Calibri"/>
        </w:rPr>
        <w:t xml:space="preserve">. On the other hand, </w:t>
      </w:r>
      <w:r w:rsidR="00B268F0">
        <w:rPr>
          <w:rFonts w:ascii="Calibri" w:hAnsi="Calibri"/>
        </w:rPr>
        <w:t xml:space="preserve">Keogh Bay and provider feedback suggested there is a place for </w:t>
      </w:r>
      <w:r w:rsidR="00757927" w:rsidRPr="00B268F0">
        <w:rPr>
          <w:rFonts w:ascii="Calibri" w:hAnsi="Calibri"/>
        </w:rPr>
        <w:t xml:space="preserve">mutual obligations </w:t>
      </w:r>
      <w:r w:rsidR="00B268F0">
        <w:rPr>
          <w:rFonts w:ascii="Calibri" w:hAnsi="Calibri"/>
        </w:rPr>
        <w:t xml:space="preserve">to </w:t>
      </w:r>
      <w:r w:rsidR="00225FA9">
        <w:rPr>
          <w:rFonts w:ascii="Calibri" w:hAnsi="Calibri"/>
        </w:rPr>
        <w:t xml:space="preserve">engage participants in the program and encourage </w:t>
      </w:r>
      <w:r w:rsidR="0089406C" w:rsidRPr="00B268F0">
        <w:rPr>
          <w:rFonts w:ascii="Calibri" w:hAnsi="Calibri"/>
        </w:rPr>
        <w:t>positive behaviours</w:t>
      </w:r>
      <w:r w:rsidR="00B268F0">
        <w:rPr>
          <w:rFonts w:ascii="Calibri" w:hAnsi="Calibri"/>
        </w:rPr>
        <w:t xml:space="preserve">. For example, </w:t>
      </w:r>
      <w:r w:rsidR="002401D6">
        <w:rPr>
          <w:rFonts w:ascii="Calibri" w:hAnsi="Calibri"/>
        </w:rPr>
        <w:t xml:space="preserve">one provider suggested that </w:t>
      </w:r>
      <w:r w:rsidR="00B268F0">
        <w:rPr>
          <w:rFonts w:ascii="Calibri" w:hAnsi="Calibri"/>
        </w:rPr>
        <w:t xml:space="preserve">mutual obligations could help provide greater surety of attendance for registered training organisations </w:t>
      </w:r>
      <w:r w:rsidR="002401D6">
        <w:rPr>
          <w:rFonts w:ascii="Calibri" w:hAnsi="Calibri"/>
        </w:rPr>
        <w:t xml:space="preserve">when they travel remotely to </w:t>
      </w:r>
      <w:r w:rsidR="00B268F0">
        <w:rPr>
          <w:rFonts w:ascii="Calibri" w:hAnsi="Calibri"/>
        </w:rPr>
        <w:t>deliver face-to-face training.</w:t>
      </w:r>
    </w:p>
    <w:p w14:paraId="4F49AE20" w14:textId="13D7978E" w:rsidR="001B6BE0" w:rsidRPr="00B268F0" w:rsidRDefault="002401D6">
      <w:pPr>
        <w:pStyle w:val="PanelBody"/>
        <w:rPr>
          <w:i/>
          <w:iCs/>
        </w:rPr>
      </w:pPr>
      <w:r>
        <w:rPr>
          <w:i/>
          <w:iCs/>
        </w:rPr>
        <w:t>‘</w:t>
      </w:r>
      <w:r w:rsidR="00E520E1" w:rsidRPr="00B268F0">
        <w:rPr>
          <w:i/>
          <w:iCs/>
        </w:rPr>
        <w:t>I am so happy to have something good to do for my community. Its hard work but when it</w:t>
      </w:r>
      <w:r w:rsidR="003F2154">
        <w:rPr>
          <w:i/>
          <w:iCs/>
        </w:rPr>
        <w:t xml:space="preserve"> i</w:t>
      </w:r>
      <w:r w:rsidR="00E520E1" w:rsidRPr="00B268F0">
        <w:rPr>
          <w:i/>
          <w:iCs/>
        </w:rPr>
        <w:t>s finished</w:t>
      </w:r>
      <w:r w:rsidR="00271EE3" w:rsidRPr="00B268F0">
        <w:rPr>
          <w:i/>
          <w:iCs/>
        </w:rPr>
        <w:t>,</w:t>
      </w:r>
      <w:r w:rsidR="00E520E1" w:rsidRPr="00B268F0">
        <w:rPr>
          <w:i/>
          <w:iCs/>
        </w:rPr>
        <w:t xml:space="preserve"> I can see what a difference I have made in someone's life by just cleaning up their yard so they got somewhere nice to sit outside.</w:t>
      </w:r>
      <w:r>
        <w:rPr>
          <w:i/>
          <w:iCs/>
        </w:rPr>
        <w:t>’</w:t>
      </w:r>
    </w:p>
    <w:p w14:paraId="58A9EF78" w14:textId="4F8FCDF7" w:rsidR="001B6BE0" w:rsidRPr="006637E4" w:rsidRDefault="001B6BE0" w:rsidP="001B6BE0">
      <w:pPr>
        <w:pStyle w:val="PanelBody"/>
        <w:jc w:val="right"/>
        <w:rPr>
          <w:b/>
        </w:rPr>
      </w:pPr>
      <w:r w:rsidRPr="006637E4">
        <w:rPr>
          <w:b/>
        </w:rPr>
        <w:t xml:space="preserve">– CDP Participant, </w:t>
      </w:r>
      <w:r w:rsidR="00271EE3" w:rsidRPr="006637E4">
        <w:rPr>
          <w:b/>
        </w:rPr>
        <w:t>Kullari Region</w:t>
      </w:r>
      <w:r w:rsidR="00E520E1" w:rsidRPr="006637E4">
        <w:rPr>
          <w:b/>
        </w:rPr>
        <w:t xml:space="preserve"> WA</w:t>
      </w:r>
      <w:r w:rsidRPr="006637E4">
        <w:rPr>
          <w:b/>
        </w:rPr>
        <w:t xml:space="preserve"> </w:t>
      </w:r>
    </w:p>
    <w:p w14:paraId="3AA2D2B4" w14:textId="77777777" w:rsidR="0013529C" w:rsidRDefault="0013529C" w:rsidP="0013529C">
      <w:pPr>
        <w:pStyle w:val="Heading4"/>
      </w:pPr>
      <w:r>
        <w:t xml:space="preserve">Remove barriers to </w:t>
      </w:r>
      <w:r w:rsidRPr="00833E3C">
        <w:t>employment</w:t>
      </w:r>
      <w:r>
        <w:t xml:space="preserve"> and improve job outcomes</w:t>
      </w:r>
    </w:p>
    <w:p w14:paraId="3D4AB790" w14:textId="4E733F33" w:rsidR="00AD580F" w:rsidRPr="00833E3C" w:rsidRDefault="0013529C" w:rsidP="0013529C">
      <w:pPr>
        <w:pStyle w:val="BodyText"/>
        <w:rPr>
          <w:i/>
        </w:rPr>
      </w:pPr>
      <w:r w:rsidRPr="00B268F0">
        <w:rPr>
          <w:i/>
          <w:iCs/>
        </w:rPr>
        <w:t>Key learning:</w:t>
      </w:r>
      <w:r w:rsidR="006A32E2" w:rsidRPr="00B268F0">
        <w:rPr>
          <w:i/>
          <w:iCs/>
        </w:rPr>
        <w:t xml:space="preserve"> </w:t>
      </w:r>
      <w:r w:rsidR="00225FA9">
        <w:rPr>
          <w:i/>
          <w:iCs/>
        </w:rPr>
        <w:t>More</w:t>
      </w:r>
      <w:r w:rsidR="006A32E2" w:rsidRPr="00B268F0">
        <w:rPr>
          <w:i/>
          <w:iCs/>
        </w:rPr>
        <w:t xml:space="preserve"> </w:t>
      </w:r>
      <w:r w:rsidR="00225FA9">
        <w:rPr>
          <w:i/>
          <w:iCs/>
        </w:rPr>
        <w:t xml:space="preserve">flexible case management approaches, such as </w:t>
      </w:r>
      <w:r w:rsidR="006A32E2" w:rsidRPr="00B268F0">
        <w:rPr>
          <w:i/>
          <w:iCs/>
        </w:rPr>
        <w:t xml:space="preserve">frequent and informal engagement </w:t>
      </w:r>
      <w:r w:rsidR="00225FA9">
        <w:rPr>
          <w:i/>
          <w:iCs/>
        </w:rPr>
        <w:t xml:space="preserve">and mentoring, </w:t>
      </w:r>
      <w:r w:rsidR="00721442">
        <w:rPr>
          <w:i/>
          <w:iCs/>
        </w:rPr>
        <w:t>are</w:t>
      </w:r>
      <w:r w:rsidR="00225FA9">
        <w:rPr>
          <w:i/>
          <w:iCs/>
        </w:rPr>
        <w:t xml:space="preserve"> </w:t>
      </w:r>
      <w:r w:rsidR="00C309DD" w:rsidRPr="00B268F0">
        <w:rPr>
          <w:i/>
          <w:iCs/>
        </w:rPr>
        <w:t>particularly effective at increasing participant confidence and engagement</w:t>
      </w:r>
    </w:p>
    <w:p w14:paraId="5DA489B8" w14:textId="2115C4B9" w:rsidR="00B04F76" w:rsidRDefault="00431DA8" w:rsidP="0A894330">
      <w:pPr>
        <w:pStyle w:val="BodyText"/>
      </w:pPr>
      <w:r>
        <w:t xml:space="preserve">Forty-seven projects </w:t>
      </w:r>
      <w:r w:rsidR="00225FA9">
        <w:t>offered participants</w:t>
      </w:r>
      <w:r>
        <w:t xml:space="preserve"> some form of enhanced</w:t>
      </w:r>
      <w:r w:rsidR="00B73D11">
        <w:t xml:space="preserve"> case management to</w:t>
      </w:r>
      <w:r w:rsidR="00CE5597">
        <w:t xml:space="preserve"> </w:t>
      </w:r>
      <w:r w:rsidR="00F05D65">
        <w:t xml:space="preserve">remove barriers for </w:t>
      </w:r>
      <w:r w:rsidR="00CE5597">
        <w:t>CDP participants</w:t>
      </w:r>
      <w:r>
        <w:t xml:space="preserve">. </w:t>
      </w:r>
      <w:r w:rsidR="00CE5597">
        <w:t xml:space="preserve">Projects that used </w:t>
      </w:r>
      <w:r w:rsidR="00951012">
        <w:t xml:space="preserve">an </w:t>
      </w:r>
      <w:r w:rsidR="00CE5597">
        <w:t xml:space="preserve">enhanced case management </w:t>
      </w:r>
      <w:r w:rsidR="00951012">
        <w:t xml:space="preserve">approach </w:t>
      </w:r>
      <w:r w:rsidR="00225FA9">
        <w:t xml:space="preserve">were </w:t>
      </w:r>
      <w:r w:rsidR="002401D6">
        <w:t>rated the most successful</w:t>
      </w:r>
      <w:r w:rsidR="00CE5597">
        <w:t>, with</w:t>
      </w:r>
      <w:r w:rsidR="00F67ABF">
        <w:t xml:space="preserve"> </w:t>
      </w:r>
      <w:r w:rsidR="002B5FE5">
        <w:t>62</w:t>
      </w:r>
      <w:r w:rsidR="002401D6">
        <w:t> </w:t>
      </w:r>
      <w:r w:rsidR="00225FA9">
        <w:t>per cent (</w:t>
      </w:r>
      <w:r w:rsidR="002B5FE5">
        <w:t>29 projects</w:t>
      </w:r>
      <w:r w:rsidR="00225FA9">
        <w:t>) achieving most or exceeding the anticipated benefits</w:t>
      </w:r>
      <w:r w:rsidR="00F67ABF">
        <w:t>. Providers reported that</w:t>
      </w:r>
      <w:r w:rsidR="00481233">
        <w:t xml:space="preserve"> </w:t>
      </w:r>
      <w:r w:rsidR="00E80FDE">
        <w:t xml:space="preserve">around </w:t>
      </w:r>
      <w:r w:rsidR="00481233">
        <w:t>2</w:t>
      </w:r>
      <w:r w:rsidR="00F67ABF">
        <w:t>,</w:t>
      </w:r>
      <w:r w:rsidR="00E80FDE">
        <w:t>50</w:t>
      </w:r>
      <w:r w:rsidR="00225FA9">
        <w:t>0 </w:t>
      </w:r>
      <w:r w:rsidR="00481233">
        <w:t>participan</w:t>
      </w:r>
      <w:r w:rsidR="006B3AD7">
        <w:t xml:space="preserve">ts </w:t>
      </w:r>
      <w:r w:rsidR="00F67ABF">
        <w:t>received</w:t>
      </w:r>
      <w:r w:rsidR="00481233">
        <w:t xml:space="preserve"> some form of</w:t>
      </w:r>
      <w:r w:rsidR="00F67ABF">
        <w:t xml:space="preserve"> benefit resulting from a </w:t>
      </w:r>
      <w:r w:rsidR="00481233">
        <w:t>case</w:t>
      </w:r>
      <w:r w:rsidR="00225FA9">
        <w:t>-</w:t>
      </w:r>
      <w:r w:rsidR="00481233">
        <w:t>management</w:t>
      </w:r>
      <w:r w:rsidR="00225FA9">
        <w:t>-focu</w:t>
      </w:r>
      <w:r w:rsidR="00F67ABF">
        <w:t xml:space="preserve">sed approach. </w:t>
      </w:r>
    </w:p>
    <w:p w14:paraId="1B47C418" w14:textId="6FEE8DE2" w:rsidR="00AD580F" w:rsidRDefault="00225FA9">
      <w:pPr>
        <w:pStyle w:val="BodyText"/>
      </w:pPr>
      <w:r>
        <w:t>A</w:t>
      </w:r>
      <w:r w:rsidR="006B3AD7">
        <w:t xml:space="preserve"> common sentiment reported was </w:t>
      </w:r>
      <w:r>
        <w:t xml:space="preserve">that </w:t>
      </w:r>
      <w:r w:rsidR="003A7B68" w:rsidRPr="0C8C79B3">
        <w:t>‘</w:t>
      </w:r>
      <w:r w:rsidR="006B3AD7" w:rsidRPr="003468E3">
        <w:t xml:space="preserve">less time and focus on </w:t>
      </w:r>
      <w:r>
        <w:t xml:space="preserve">[Work for the </w:t>
      </w:r>
      <w:r w:rsidRPr="004E6B0C">
        <w:t xml:space="preserve">Dole] </w:t>
      </w:r>
      <w:r w:rsidR="006B3AD7" w:rsidRPr="004E6B0C">
        <w:t>processes and compliance</w:t>
      </w:r>
      <w:r w:rsidR="000A1D8A" w:rsidRPr="004E6B0C">
        <w:t xml:space="preserve"> allowed greater time for</w:t>
      </w:r>
      <w:r w:rsidR="00D60AE8" w:rsidRPr="004E6B0C">
        <w:t>…</w:t>
      </w:r>
      <w:r w:rsidR="000A1D8A" w:rsidRPr="004E6B0C">
        <w:t>staff</w:t>
      </w:r>
      <w:r w:rsidR="00D60AE8" w:rsidRPr="004E6B0C">
        <w:t xml:space="preserve"> to work on case management functions</w:t>
      </w:r>
      <w:r w:rsidR="0099649E" w:rsidRPr="004E6B0C">
        <w:t>’</w:t>
      </w:r>
      <w:r w:rsidR="00D60AE8" w:rsidRPr="004E6B0C">
        <w:t>.</w:t>
      </w:r>
      <w:r w:rsidR="00D518B2" w:rsidRPr="004E6B0C">
        <w:t xml:space="preserve"> </w:t>
      </w:r>
      <w:r w:rsidRPr="004E6B0C">
        <w:t>This allowed</w:t>
      </w:r>
      <w:r w:rsidR="00D518B2" w:rsidRPr="004E6B0C">
        <w:t xml:space="preserve"> a more frequent and flexible case management approach (</w:t>
      </w:r>
      <w:r w:rsidR="003F2154" w:rsidRPr="004E6B0C">
        <w:t>such as</w:t>
      </w:r>
      <w:r w:rsidR="00D518B2" w:rsidRPr="004E6B0C">
        <w:t xml:space="preserve"> meeting with participants daily for a ‘cuppa’ after their shift)</w:t>
      </w:r>
      <w:r w:rsidR="00F8643F" w:rsidRPr="004E6B0C">
        <w:t xml:space="preserve"> as well as the delivery of </w:t>
      </w:r>
      <w:r w:rsidR="004E6B0C" w:rsidRPr="004E6B0C">
        <w:t xml:space="preserve">more targeted </w:t>
      </w:r>
      <w:r w:rsidR="00F8643F" w:rsidRPr="004E6B0C">
        <w:t xml:space="preserve">training </w:t>
      </w:r>
      <w:r w:rsidR="004E6B0C" w:rsidRPr="004E6B0C">
        <w:t xml:space="preserve">from </w:t>
      </w:r>
      <w:r w:rsidR="00F8643F" w:rsidRPr="004E6B0C">
        <w:t xml:space="preserve">ongoing </w:t>
      </w:r>
      <w:r w:rsidR="004E6B0C" w:rsidRPr="004E6B0C">
        <w:t xml:space="preserve">consultations </w:t>
      </w:r>
      <w:r w:rsidR="00F8643F" w:rsidRPr="004E6B0C">
        <w:t>with employers in the region</w:t>
      </w:r>
      <w:r w:rsidR="00D518B2" w:rsidRPr="004E6B0C">
        <w:t>.</w:t>
      </w:r>
      <w:r w:rsidR="00AF1846" w:rsidRPr="004E6B0C">
        <w:t xml:space="preserve"> </w:t>
      </w:r>
      <w:r w:rsidR="00304A9F" w:rsidRPr="004E6B0C">
        <w:t>However, many</w:t>
      </w:r>
      <w:r w:rsidR="00304A9F">
        <w:t xml:space="preserve"> barriers, </w:t>
      </w:r>
      <w:r w:rsidR="003F2154">
        <w:t>for example</w:t>
      </w:r>
      <w:r w:rsidR="00DF2DDF">
        <w:t xml:space="preserve"> </w:t>
      </w:r>
      <w:r w:rsidR="003F2154">
        <w:t>literacy</w:t>
      </w:r>
      <w:r w:rsidR="00304A9F">
        <w:t xml:space="preserve"> and numeracy skills, remain difficult to overcome. </w:t>
      </w:r>
      <w:r w:rsidR="004A7214">
        <w:t xml:space="preserve">Keogh Bay </w:t>
      </w:r>
      <w:r w:rsidR="00DF2DDF">
        <w:t xml:space="preserve">noted </w:t>
      </w:r>
      <w:r w:rsidR="00304A9F">
        <w:t xml:space="preserve">that </w:t>
      </w:r>
      <w:r w:rsidR="00304A9F">
        <w:lastRenderedPageBreak/>
        <w:t xml:space="preserve">governments and employers need better </w:t>
      </w:r>
      <w:r w:rsidR="00A21C67">
        <w:t xml:space="preserve">risk-based, </w:t>
      </w:r>
      <w:r w:rsidR="00304A9F">
        <w:t>practical solutions</w:t>
      </w:r>
      <w:r w:rsidR="004A7214">
        <w:t xml:space="preserve"> </w:t>
      </w:r>
      <w:r w:rsidR="00304A9F">
        <w:t xml:space="preserve">for </w:t>
      </w:r>
      <w:r w:rsidR="00A21C67">
        <w:t>ensuring</w:t>
      </w:r>
      <w:r w:rsidR="00304A9F">
        <w:t xml:space="preserve"> participants, especially those with prior convictions, </w:t>
      </w:r>
      <w:r w:rsidR="00A21C67">
        <w:t xml:space="preserve">are not held back from employment through an inability to </w:t>
      </w:r>
      <w:r w:rsidR="00304A9F">
        <w:t>obtain</w:t>
      </w:r>
      <w:r w:rsidR="003A0E5A">
        <w:t xml:space="preserve"> </w:t>
      </w:r>
      <w:r w:rsidR="004A7214">
        <w:t xml:space="preserve">drivers </w:t>
      </w:r>
      <w:r w:rsidR="003A0E5A">
        <w:t xml:space="preserve">licences and </w:t>
      </w:r>
      <w:r w:rsidR="004A7214">
        <w:t xml:space="preserve">work clearances (e.g. </w:t>
      </w:r>
      <w:r w:rsidR="003A0E5A">
        <w:t>Working with Vulnerable People cards</w:t>
      </w:r>
      <w:r w:rsidR="00304A9F">
        <w:t>)</w:t>
      </w:r>
      <w:r w:rsidR="003A0E5A">
        <w:t>.</w:t>
      </w:r>
      <w:r w:rsidR="008E63F6">
        <w:t xml:space="preserve"> </w:t>
      </w:r>
    </w:p>
    <w:p w14:paraId="6DF95307" w14:textId="715598E7" w:rsidR="00692A73" w:rsidRPr="00F32DD4" w:rsidRDefault="00225FA9">
      <w:pPr>
        <w:pStyle w:val="BodyText"/>
        <w:rPr>
          <w:rFonts w:eastAsiaTheme="minorEastAsia"/>
          <w:szCs w:val="22"/>
        </w:rPr>
      </w:pPr>
      <w:r>
        <w:rPr>
          <w:rFonts w:eastAsiaTheme="minorEastAsia"/>
          <w:szCs w:val="22"/>
        </w:rPr>
        <w:t>T</w:t>
      </w:r>
      <w:r w:rsidR="006B3AD7" w:rsidRPr="004D1940">
        <w:rPr>
          <w:rFonts w:eastAsiaTheme="minorEastAsia"/>
          <w:szCs w:val="22"/>
        </w:rPr>
        <w:t>he most common</w:t>
      </w:r>
      <w:r w:rsidR="003F2154">
        <w:rPr>
          <w:rFonts w:eastAsiaTheme="minorEastAsia"/>
          <w:szCs w:val="22"/>
        </w:rPr>
        <w:t xml:space="preserve"> (20 projects) and successful</w:t>
      </w:r>
      <w:r w:rsidR="006B3AD7" w:rsidRPr="004D1940">
        <w:rPr>
          <w:rFonts w:eastAsiaTheme="minorEastAsia"/>
          <w:szCs w:val="22"/>
        </w:rPr>
        <w:t xml:space="preserve"> </w:t>
      </w:r>
      <w:r w:rsidR="008E63F6">
        <w:rPr>
          <w:rFonts w:eastAsiaTheme="minorEastAsia"/>
          <w:szCs w:val="22"/>
        </w:rPr>
        <w:t xml:space="preserve">enhanced case management </w:t>
      </w:r>
      <w:r w:rsidR="006B3AD7" w:rsidRPr="004D1940">
        <w:rPr>
          <w:rFonts w:eastAsiaTheme="minorEastAsia"/>
          <w:szCs w:val="22"/>
        </w:rPr>
        <w:t xml:space="preserve">approach was </w:t>
      </w:r>
      <w:r w:rsidR="00110976" w:rsidRPr="004D1940">
        <w:rPr>
          <w:rFonts w:eastAsiaTheme="minorEastAsia"/>
          <w:szCs w:val="22"/>
        </w:rPr>
        <w:t xml:space="preserve">to </w:t>
      </w:r>
      <w:r w:rsidR="003F2154">
        <w:rPr>
          <w:rFonts w:eastAsiaTheme="minorEastAsia"/>
          <w:szCs w:val="22"/>
        </w:rPr>
        <w:t>employ</w:t>
      </w:r>
      <w:r w:rsidR="006B3AD7" w:rsidRPr="004D1940">
        <w:rPr>
          <w:rFonts w:eastAsiaTheme="minorEastAsia"/>
          <w:szCs w:val="22"/>
        </w:rPr>
        <w:t xml:space="preserve"> mentors to provide additional support to participant</w:t>
      </w:r>
      <w:r w:rsidR="00110976" w:rsidRPr="004D1940">
        <w:rPr>
          <w:rFonts w:eastAsiaTheme="minorEastAsia"/>
          <w:szCs w:val="22"/>
        </w:rPr>
        <w:t>s.</w:t>
      </w:r>
      <w:r w:rsidR="009712BC" w:rsidRPr="004D1940">
        <w:rPr>
          <w:rFonts w:eastAsiaTheme="minorEastAsia"/>
          <w:szCs w:val="22"/>
        </w:rPr>
        <w:t xml:space="preserve"> </w:t>
      </w:r>
      <w:r w:rsidR="00884E8B">
        <w:rPr>
          <w:rFonts w:eastAsiaTheme="minorEastAsia"/>
          <w:szCs w:val="22"/>
        </w:rPr>
        <w:t xml:space="preserve">Employers often attributed performance issues and higher drop-out rates to poor post-placement support and lack of on-site mentoring, while one provider observed </w:t>
      </w:r>
      <w:r w:rsidR="00E80FDE">
        <w:rPr>
          <w:rFonts w:eastAsiaTheme="minorEastAsia"/>
          <w:szCs w:val="22"/>
        </w:rPr>
        <w:t xml:space="preserve">a </w:t>
      </w:r>
      <w:r w:rsidR="00884E8B" w:rsidRPr="00FA2A21">
        <w:rPr>
          <w:rFonts w:eastAsiaTheme="minorEastAsia"/>
        </w:rPr>
        <w:t>significant improvement in attendance</w:t>
      </w:r>
      <w:r w:rsidR="00884E8B">
        <w:rPr>
          <w:rFonts w:eastAsiaTheme="minorEastAsia"/>
        </w:rPr>
        <w:t xml:space="preserve"> after filling a vacant mentor position</w:t>
      </w:r>
      <w:r w:rsidR="00884E8B">
        <w:rPr>
          <w:rFonts w:eastAsiaTheme="minorEastAsia"/>
          <w:szCs w:val="22"/>
        </w:rPr>
        <w:t xml:space="preserve">. </w:t>
      </w:r>
      <w:r w:rsidR="009712BC" w:rsidRPr="004D1940">
        <w:rPr>
          <w:rFonts w:eastAsiaTheme="minorEastAsia"/>
          <w:szCs w:val="22"/>
        </w:rPr>
        <w:t xml:space="preserve">Mentoring roles </w:t>
      </w:r>
      <w:r w:rsidR="00E80FDE">
        <w:rPr>
          <w:rFonts w:eastAsiaTheme="minorEastAsia"/>
          <w:szCs w:val="22"/>
        </w:rPr>
        <w:t>in Phase 2</w:t>
      </w:r>
      <w:r w:rsidR="009712BC" w:rsidRPr="004D1940">
        <w:rPr>
          <w:rFonts w:eastAsiaTheme="minorEastAsia"/>
          <w:szCs w:val="22"/>
        </w:rPr>
        <w:t xml:space="preserve"> we</w:t>
      </w:r>
      <w:r w:rsidR="008417CF">
        <w:rPr>
          <w:rFonts w:eastAsiaTheme="minorEastAsia"/>
          <w:szCs w:val="22"/>
        </w:rPr>
        <w:t>re often filled by local people</w:t>
      </w:r>
      <w:r w:rsidR="00304A9F">
        <w:rPr>
          <w:rFonts w:eastAsiaTheme="minorEastAsia"/>
          <w:szCs w:val="22"/>
        </w:rPr>
        <w:t>,</w:t>
      </w:r>
      <w:r w:rsidR="008417CF">
        <w:rPr>
          <w:rFonts w:eastAsiaTheme="minorEastAsia"/>
          <w:szCs w:val="22"/>
        </w:rPr>
        <w:t xml:space="preserve"> who could offer</w:t>
      </w:r>
      <w:r w:rsidR="009712BC" w:rsidRPr="004D1940">
        <w:rPr>
          <w:rFonts w:eastAsiaTheme="minorEastAsia"/>
          <w:szCs w:val="22"/>
        </w:rPr>
        <w:t xml:space="preserve"> guidance </w:t>
      </w:r>
      <w:r w:rsidR="00304A9F">
        <w:rPr>
          <w:rFonts w:eastAsiaTheme="minorEastAsia"/>
          <w:szCs w:val="22"/>
        </w:rPr>
        <w:t xml:space="preserve">by </w:t>
      </w:r>
      <w:r w:rsidR="009712BC" w:rsidRPr="004D1940">
        <w:rPr>
          <w:rFonts w:eastAsiaTheme="minorEastAsia"/>
          <w:szCs w:val="22"/>
        </w:rPr>
        <w:t>sharing work experiences, providing encouragement and building confidence.</w:t>
      </w:r>
      <w:r w:rsidR="004D1940" w:rsidRPr="004D1940" w:rsidDel="004D1940">
        <w:rPr>
          <w:rFonts w:eastAsiaTheme="minorEastAsia"/>
          <w:szCs w:val="22"/>
        </w:rPr>
        <w:t xml:space="preserve"> </w:t>
      </w:r>
      <w:r w:rsidR="008417CF">
        <w:rPr>
          <w:rFonts w:eastAsiaTheme="minorEastAsia"/>
          <w:szCs w:val="22"/>
        </w:rPr>
        <w:t>M</w:t>
      </w:r>
      <w:r w:rsidR="00554A7E" w:rsidRPr="004D1940">
        <w:rPr>
          <w:rFonts w:eastAsiaTheme="minorEastAsia"/>
          <w:szCs w:val="22"/>
        </w:rPr>
        <w:t xml:space="preserve">entoring </w:t>
      </w:r>
      <w:r w:rsidR="00304A9F">
        <w:rPr>
          <w:rFonts w:eastAsiaTheme="minorEastAsia"/>
          <w:szCs w:val="22"/>
        </w:rPr>
        <w:t xml:space="preserve">was identified </w:t>
      </w:r>
      <w:r w:rsidR="00765BDD">
        <w:rPr>
          <w:rFonts w:eastAsiaTheme="minorEastAsia"/>
          <w:szCs w:val="22"/>
        </w:rPr>
        <w:t>a</w:t>
      </w:r>
      <w:r w:rsidR="00554A7E" w:rsidRPr="004D1940">
        <w:rPr>
          <w:rFonts w:eastAsiaTheme="minorEastAsia"/>
          <w:szCs w:val="22"/>
        </w:rPr>
        <w:t xml:space="preserve">s </w:t>
      </w:r>
      <w:r w:rsidR="008417CF">
        <w:rPr>
          <w:rFonts w:eastAsiaTheme="minorEastAsia"/>
          <w:szCs w:val="22"/>
        </w:rPr>
        <w:t xml:space="preserve">a particularly </w:t>
      </w:r>
      <w:r w:rsidR="00554A7E" w:rsidRPr="004D1940">
        <w:rPr>
          <w:rFonts w:eastAsiaTheme="minorEastAsia"/>
          <w:szCs w:val="22"/>
        </w:rPr>
        <w:t>effective mechanism to address motivati</w:t>
      </w:r>
      <w:r w:rsidR="003F2154">
        <w:rPr>
          <w:rFonts w:eastAsiaTheme="minorEastAsia"/>
          <w:szCs w:val="22"/>
        </w:rPr>
        <w:t>onal barriers for participants, such as low self-esteem,</w:t>
      </w:r>
      <w:r w:rsidR="00554A7E" w:rsidRPr="004D1940">
        <w:rPr>
          <w:rFonts w:eastAsiaTheme="minorEastAsia"/>
          <w:szCs w:val="22"/>
        </w:rPr>
        <w:t xml:space="preserve"> and model the soft-skill aspects of work readi</w:t>
      </w:r>
      <w:r w:rsidR="003F2154">
        <w:rPr>
          <w:rFonts w:eastAsiaTheme="minorEastAsia"/>
          <w:szCs w:val="22"/>
        </w:rPr>
        <w:t>ness, such as consistent attendance</w:t>
      </w:r>
      <w:r w:rsidR="00304A9F">
        <w:rPr>
          <w:rFonts w:eastAsiaTheme="minorEastAsia"/>
          <w:szCs w:val="22"/>
        </w:rPr>
        <w:t>.</w:t>
      </w:r>
      <w:r w:rsidR="00884E8B">
        <w:rPr>
          <w:rFonts w:eastAsiaTheme="minorEastAsia"/>
          <w:szCs w:val="22"/>
        </w:rPr>
        <w:t xml:space="preserve"> </w:t>
      </w:r>
    </w:p>
    <w:p w14:paraId="4E40DE5A" w14:textId="3C3F02B1" w:rsidR="0013529C" w:rsidRPr="00FA2A21" w:rsidRDefault="002401D6">
      <w:pPr>
        <w:pStyle w:val="PanelBody"/>
        <w:rPr>
          <w:i/>
          <w:iCs/>
        </w:rPr>
      </w:pPr>
      <w:r>
        <w:rPr>
          <w:i/>
          <w:iCs/>
        </w:rPr>
        <w:t>‘</w:t>
      </w:r>
      <w:r w:rsidR="00E520E1" w:rsidRPr="00B268F0">
        <w:rPr>
          <w:i/>
          <w:iCs/>
        </w:rPr>
        <w:t>The combination of support…changes a CDP participant’s value to themselves, community and commitment to work. They feel respected. The successful participants become the lighthouse for future young people to take charge of their futures through employment and training…CDP participa</w:t>
      </w:r>
      <w:r>
        <w:rPr>
          <w:i/>
          <w:iCs/>
        </w:rPr>
        <w:t>nts respond to these “Real Jobs”’</w:t>
      </w:r>
    </w:p>
    <w:p w14:paraId="299EF112" w14:textId="77849A71" w:rsidR="0013529C" w:rsidRPr="006637E4" w:rsidRDefault="0013529C" w:rsidP="0013529C">
      <w:pPr>
        <w:pStyle w:val="PanelBody"/>
        <w:jc w:val="right"/>
        <w:rPr>
          <w:b/>
        </w:rPr>
      </w:pPr>
      <w:r w:rsidRPr="006637E4">
        <w:rPr>
          <w:b/>
        </w:rPr>
        <w:t xml:space="preserve">– </w:t>
      </w:r>
      <w:r w:rsidR="00E520E1" w:rsidRPr="006637E4">
        <w:rPr>
          <w:b/>
        </w:rPr>
        <w:t>My CDP Ngukurr Numbulwar</w:t>
      </w:r>
      <w:r w:rsidRPr="006637E4">
        <w:rPr>
          <w:b/>
        </w:rPr>
        <w:t xml:space="preserve">, NT </w:t>
      </w:r>
    </w:p>
    <w:p w14:paraId="2AAB5338" w14:textId="77777777" w:rsidR="0013529C" w:rsidRDefault="0013529C" w:rsidP="0013529C">
      <w:pPr>
        <w:pStyle w:val="Heading4"/>
      </w:pPr>
      <w:r>
        <w:t xml:space="preserve">Grow local industry, </w:t>
      </w:r>
      <w:r w:rsidRPr="00833E3C">
        <w:t>enterprises</w:t>
      </w:r>
      <w:r>
        <w:t xml:space="preserve"> or self-employment</w:t>
      </w:r>
    </w:p>
    <w:p w14:paraId="09A45EAB" w14:textId="73D666DD" w:rsidR="002033CB" w:rsidRPr="00FA2A21" w:rsidRDefault="002033CB">
      <w:pPr>
        <w:pStyle w:val="BodyText"/>
        <w:rPr>
          <w:i/>
          <w:iCs/>
        </w:rPr>
      </w:pPr>
      <w:r w:rsidRPr="00B268F0">
        <w:rPr>
          <w:i/>
          <w:iCs/>
        </w:rPr>
        <w:t xml:space="preserve">Key learning: Evidence is growing that providers with strong business management capabilities and adequate time are able to establish </w:t>
      </w:r>
      <w:r w:rsidR="004A1563">
        <w:rPr>
          <w:i/>
          <w:iCs/>
        </w:rPr>
        <w:t xml:space="preserve">effective </w:t>
      </w:r>
      <w:r w:rsidRPr="00B268F0">
        <w:rPr>
          <w:i/>
          <w:iCs/>
        </w:rPr>
        <w:t>social enterprises</w:t>
      </w:r>
      <w:r w:rsidR="004A1563">
        <w:rPr>
          <w:i/>
          <w:iCs/>
        </w:rPr>
        <w:t>, but</w:t>
      </w:r>
      <w:r w:rsidR="00126A03">
        <w:rPr>
          <w:i/>
          <w:iCs/>
        </w:rPr>
        <w:t xml:space="preserve"> greater support for business planning is required</w:t>
      </w:r>
    </w:p>
    <w:p w14:paraId="01D07900" w14:textId="3A68A920" w:rsidR="002033CB" w:rsidRDefault="002033CB" w:rsidP="002033CB">
      <w:pPr>
        <w:pStyle w:val="BodyText"/>
      </w:pPr>
      <w:r>
        <w:t>Providers have</w:t>
      </w:r>
      <w:r w:rsidR="003A0E5A">
        <w:t xml:space="preserve"> taken early steps in creating 55</w:t>
      </w:r>
      <w:r>
        <w:t xml:space="preserve"> enterprises in Phase 2,</w:t>
      </w:r>
      <w:r w:rsidR="003F2154">
        <w:t xml:space="preserve"> across </w:t>
      </w:r>
      <w:r>
        <w:t xml:space="preserve">industries such as hospitality, maintenance and construction, art centres, and community farms. </w:t>
      </w:r>
      <w:r w:rsidR="00E80FDE">
        <w:t>Around</w:t>
      </w:r>
      <w:r>
        <w:t xml:space="preserve"> </w:t>
      </w:r>
      <w:r w:rsidR="00E80FDE">
        <w:t>250</w:t>
      </w:r>
      <w:r w:rsidR="003A0E5A">
        <w:t xml:space="preserve"> </w:t>
      </w:r>
      <w:r w:rsidRPr="00CB5F92">
        <w:t xml:space="preserve">participants </w:t>
      </w:r>
      <w:r>
        <w:t>received</w:t>
      </w:r>
      <w:r w:rsidRPr="00CB5F92">
        <w:t xml:space="preserve"> income from </w:t>
      </w:r>
      <w:r>
        <w:t xml:space="preserve">new and existing </w:t>
      </w:r>
      <w:r w:rsidRPr="00CB5F92">
        <w:t>social enterprise</w:t>
      </w:r>
      <w:r>
        <w:t xml:space="preserve">, with </w:t>
      </w:r>
      <w:r w:rsidR="00BD7112">
        <w:t>6</w:t>
      </w:r>
      <w:r w:rsidR="00EC4D87">
        <w:t>7</w:t>
      </w:r>
      <w:r w:rsidR="00BD7112">
        <w:t xml:space="preserve"> per cent </w:t>
      </w:r>
      <w:r>
        <w:t xml:space="preserve">of those employed by a single provider </w:t>
      </w:r>
      <w:r w:rsidR="00BD7112">
        <w:t xml:space="preserve">delivering CDP across </w:t>
      </w:r>
      <w:r>
        <w:t xml:space="preserve">four regions. Providers own </w:t>
      </w:r>
      <w:r w:rsidR="006637E4">
        <w:t>the vast majority (</w:t>
      </w:r>
      <w:r>
        <w:t>87 per cent</w:t>
      </w:r>
      <w:r w:rsidR="006637E4">
        <w:t>)</w:t>
      </w:r>
      <w:r>
        <w:t xml:space="preserve"> of enterprises, </w:t>
      </w:r>
      <w:r w:rsidR="006637E4">
        <w:t>although many (</w:t>
      </w:r>
      <w:r>
        <w:t>40</w:t>
      </w:r>
      <w:r w:rsidR="006637E4">
        <w:t xml:space="preserve"> </w:t>
      </w:r>
      <w:r>
        <w:t>per cent</w:t>
      </w:r>
      <w:r w:rsidR="006637E4">
        <w:t>)</w:t>
      </w:r>
      <w:r>
        <w:t xml:space="preserve"> </w:t>
      </w:r>
      <w:r w:rsidR="006637E4">
        <w:t>a</w:t>
      </w:r>
      <w:r w:rsidR="003F2154">
        <w:t>im</w:t>
      </w:r>
      <w:r w:rsidR="006637E4">
        <w:t xml:space="preserve"> </w:t>
      </w:r>
      <w:r>
        <w:t xml:space="preserve">to transition </w:t>
      </w:r>
      <w:r w:rsidR="006637E4">
        <w:t xml:space="preserve">them </w:t>
      </w:r>
      <w:r>
        <w:t xml:space="preserve">to community ownership when economically viable. Moreover, providers </w:t>
      </w:r>
      <w:r w:rsidR="003F2154">
        <w:t>expect most (</w:t>
      </w:r>
      <w:r>
        <w:t>69 per cent</w:t>
      </w:r>
      <w:r w:rsidR="003F2154">
        <w:t>)</w:t>
      </w:r>
      <w:r>
        <w:t xml:space="preserve"> established social enterprises could be sustainable beyond the trial.</w:t>
      </w:r>
    </w:p>
    <w:p w14:paraId="587D0DA0" w14:textId="512D79D2" w:rsidR="003F2154" w:rsidRDefault="006637E4" w:rsidP="00152B50">
      <w:pPr>
        <w:pStyle w:val="BodyText"/>
      </w:pPr>
      <w:r>
        <w:t xml:space="preserve">Projects seeking to establish new community-led enterprises, especially in the care sector, were the most likely to be rated ‘not successful’ or only having ‘limited success’. </w:t>
      </w:r>
      <w:r w:rsidR="004A1563">
        <w:t xml:space="preserve">Keogh Bay </w:t>
      </w:r>
      <w:r w:rsidR="003F2154">
        <w:t>raised</w:t>
      </w:r>
      <w:r w:rsidR="004A1563">
        <w:t xml:space="preserve"> again </w:t>
      </w:r>
      <w:r w:rsidR="004A7214">
        <w:t xml:space="preserve">that </w:t>
      </w:r>
      <w:r w:rsidR="00A30CF7">
        <w:t xml:space="preserve">a lack of </w:t>
      </w:r>
      <w:r w:rsidR="004A1563">
        <w:t>business planning</w:t>
      </w:r>
      <w:r w:rsidR="004A7214">
        <w:t xml:space="preserve"> </w:t>
      </w:r>
      <w:r w:rsidR="00A30CF7">
        <w:t>and insufficient time resulted in poorer economic development outcomes</w:t>
      </w:r>
      <w:r w:rsidR="002033CB">
        <w:t>.</w:t>
      </w:r>
      <w:r w:rsidR="004A7214">
        <w:t xml:space="preserve"> </w:t>
      </w:r>
      <w:r w:rsidR="003F2154">
        <w:t xml:space="preserve">They noted </w:t>
      </w:r>
      <w:r w:rsidR="004A7214">
        <w:t>instances of providers competing with existing services</w:t>
      </w:r>
      <w:r w:rsidR="00196C94">
        <w:t>,</w:t>
      </w:r>
      <w:r w:rsidR="004A7214">
        <w:t xml:space="preserve"> </w:t>
      </w:r>
      <w:r w:rsidR="003F2154">
        <w:t>and others</w:t>
      </w:r>
      <w:r w:rsidR="004A7214">
        <w:t xml:space="preserve"> unable to establish or lease suitable infrastructure</w:t>
      </w:r>
      <w:r w:rsidR="003F2154">
        <w:t>. B</w:t>
      </w:r>
      <w:r w:rsidR="00196C94">
        <w:t xml:space="preserve">oth </w:t>
      </w:r>
      <w:r w:rsidR="003F2154">
        <w:t xml:space="preserve">situations </w:t>
      </w:r>
      <w:r w:rsidR="004A7214">
        <w:t xml:space="preserve">could have been overcome with better </w:t>
      </w:r>
      <w:r w:rsidR="00A30CF7">
        <w:t>pre-</w:t>
      </w:r>
      <w:r w:rsidR="00196C94">
        <w:t xml:space="preserve">feasibility </w:t>
      </w:r>
      <w:r w:rsidR="004A7214">
        <w:t>planning.</w:t>
      </w:r>
      <w:r w:rsidR="002033CB">
        <w:t xml:space="preserve"> </w:t>
      </w:r>
      <w:r w:rsidR="00660F3D">
        <w:t xml:space="preserve">Some enterprises, though, are beginning </w:t>
      </w:r>
      <w:r w:rsidR="004A7214">
        <w:t xml:space="preserve">to show </w:t>
      </w:r>
      <w:r w:rsidR="00BD7112">
        <w:t>promise</w:t>
      </w:r>
      <w:r w:rsidR="004A7214">
        <w:t xml:space="preserve">, with the </w:t>
      </w:r>
      <w:r>
        <w:t>10</w:t>
      </w:r>
      <w:r w:rsidR="002033CB">
        <w:t xml:space="preserve"> e</w:t>
      </w:r>
      <w:r w:rsidR="002033CB" w:rsidRPr="00020E09">
        <w:t xml:space="preserve">nterprises that </w:t>
      </w:r>
      <w:r w:rsidR="002033CB">
        <w:t>successfully transitioned from Phase 1 of the Trials</w:t>
      </w:r>
      <w:r w:rsidR="004A7214">
        <w:t xml:space="preserve"> generally self-</w:t>
      </w:r>
      <w:r>
        <w:t>rated as more successful</w:t>
      </w:r>
      <w:r w:rsidR="002033CB">
        <w:t>.</w:t>
      </w:r>
      <w:r w:rsidR="004A7214">
        <w:t xml:space="preserve"> P</w:t>
      </w:r>
      <w:r w:rsidR="002033CB">
        <w:t xml:space="preserve">roviders </w:t>
      </w:r>
      <w:r w:rsidR="004A7214">
        <w:t xml:space="preserve">still </w:t>
      </w:r>
      <w:r w:rsidR="002033CB">
        <w:t>anticipate that all enterprises will meet the benefits envisaged by October 2024.</w:t>
      </w:r>
    </w:p>
    <w:p w14:paraId="5719A232" w14:textId="0AB83416" w:rsidR="003F2154" w:rsidRDefault="003F2154" w:rsidP="003F2154">
      <w:pPr>
        <w:pStyle w:val="PanelBody"/>
        <w:shd w:val="clear" w:color="auto" w:fill="D9D9D9" w:themeFill="background1" w:themeFillShade="D9"/>
        <w:ind w:left="142" w:right="139"/>
        <w:rPr>
          <w:i/>
        </w:rPr>
      </w:pPr>
      <w:r w:rsidRPr="003F2154">
        <w:rPr>
          <w:b/>
          <w:bCs/>
        </w:rPr>
        <w:t>Case</w:t>
      </w:r>
      <w:r>
        <w:rPr>
          <w:b/>
          <w:bCs/>
        </w:rPr>
        <w:t xml:space="preserve"> Study of Microenterprise in Kowanyama-Pormpuraaw Region QLD</w:t>
      </w:r>
      <w:r w:rsidRPr="004D0DCD">
        <w:rPr>
          <w:i/>
        </w:rPr>
        <w:t xml:space="preserve"> </w:t>
      </w:r>
    </w:p>
    <w:p w14:paraId="4AE22A4C" w14:textId="5AD0945E" w:rsidR="003F2154" w:rsidRPr="003F2154" w:rsidRDefault="003F2154" w:rsidP="003F2154">
      <w:pPr>
        <w:pStyle w:val="PanelBody"/>
        <w:shd w:val="clear" w:color="auto" w:fill="D9D9D9" w:themeFill="background1" w:themeFillShade="D9"/>
        <w:ind w:left="142" w:right="139"/>
      </w:pPr>
      <w:r w:rsidRPr="003F2154">
        <w:lastRenderedPageBreak/>
        <w:t>RISE Ventures, as lead of a local consortium</w:t>
      </w:r>
      <w:r w:rsidR="009021F0">
        <w:t xml:space="preserve"> delivering CDP in</w:t>
      </w:r>
      <w:r w:rsidR="00765BDD">
        <w:t xml:space="preserve"> the</w:t>
      </w:r>
      <w:r w:rsidR="009021F0">
        <w:t xml:space="preserve"> Kowanyama-Pormpuraaw Region</w:t>
      </w:r>
      <w:r w:rsidRPr="003F2154">
        <w:t xml:space="preserve">, has sought to develop a number of micro-enterprises </w:t>
      </w:r>
      <w:r w:rsidR="00402332">
        <w:t>in</w:t>
      </w:r>
      <w:r w:rsidR="009021F0">
        <w:t xml:space="preserve"> </w:t>
      </w:r>
      <w:r w:rsidR="00E80FDE">
        <w:t>Phase 2</w:t>
      </w:r>
      <w:r w:rsidRPr="003F2154">
        <w:t>. To enable the communities’ ambition of greater local business ownership, RISE have set up a bakery, yard maintenance service (targeting NDIS participants and local workers), a retail hub and an air</w:t>
      </w:r>
      <w:r w:rsidRPr="003F2154">
        <w:noBreakHyphen/>
        <w:t>conditioning cleaning business. In the first six months of Phase 2, 21 participants received income from the</w:t>
      </w:r>
      <w:r>
        <w:t>se</w:t>
      </w:r>
      <w:r w:rsidRPr="003F2154">
        <w:t xml:space="preserve"> businesses, with RISE hoping to rotate participants through the enterprises to cover vacancies as they arise. Keogh Bay report much optimism locally that RISE are on the right track, but note that investment in further business planning will help ensure the enterprises </w:t>
      </w:r>
      <w:r>
        <w:t>are</w:t>
      </w:r>
      <w:r w:rsidRPr="003F2154">
        <w:t xml:space="preserve"> sustainable.</w:t>
      </w:r>
    </w:p>
    <w:p w14:paraId="6B1E278E" w14:textId="3F9F4C8D" w:rsidR="00A42C53" w:rsidRDefault="00332769" w:rsidP="004D6C56">
      <w:pPr>
        <w:pStyle w:val="Heading3"/>
      </w:pPr>
      <w:r w:rsidRPr="00833E3C">
        <w:t>Other</w:t>
      </w:r>
      <w:r>
        <w:t xml:space="preserve"> learnings</w:t>
      </w:r>
    </w:p>
    <w:p w14:paraId="08F24330" w14:textId="33CA6259" w:rsidR="00050D34" w:rsidRPr="00FA2A21" w:rsidRDefault="00050D34">
      <w:pPr>
        <w:pStyle w:val="BodyText"/>
        <w:rPr>
          <w:i/>
          <w:iCs/>
        </w:rPr>
      </w:pPr>
      <w:r w:rsidRPr="00B268F0">
        <w:rPr>
          <w:i/>
          <w:iCs/>
        </w:rPr>
        <w:t xml:space="preserve">Key learning: </w:t>
      </w:r>
      <w:r w:rsidR="004A1563">
        <w:rPr>
          <w:i/>
          <w:iCs/>
        </w:rPr>
        <w:t xml:space="preserve">Providers continue to struggle to consistently engage young </w:t>
      </w:r>
      <w:r w:rsidR="00FC251D">
        <w:rPr>
          <w:i/>
          <w:iCs/>
        </w:rPr>
        <w:t>participant</w:t>
      </w:r>
      <w:r w:rsidR="004A1563">
        <w:rPr>
          <w:i/>
          <w:iCs/>
        </w:rPr>
        <w:t>s</w:t>
      </w:r>
      <w:r w:rsidR="00FC251D">
        <w:rPr>
          <w:i/>
          <w:iCs/>
        </w:rPr>
        <w:t>,</w:t>
      </w:r>
      <w:r w:rsidR="004A1563">
        <w:rPr>
          <w:i/>
          <w:iCs/>
        </w:rPr>
        <w:t xml:space="preserve"> although</w:t>
      </w:r>
      <w:r w:rsidR="00FC251D">
        <w:rPr>
          <w:i/>
          <w:iCs/>
        </w:rPr>
        <w:t xml:space="preserve"> leveraging peer influence through group-based activities has seen some success</w:t>
      </w:r>
    </w:p>
    <w:p w14:paraId="581858FF" w14:textId="404A2E3B" w:rsidR="0027263C" w:rsidRDefault="00EC4D87" w:rsidP="006265B0">
      <w:pPr>
        <w:pStyle w:val="BodyText"/>
      </w:pPr>
      <w:r>
        <w:t xml:space="preserve">As noted above, </w:t>
      </w:r>
      <w:r w:rsidR="00575D41">
        <w:t xml:space="preserve">most </w:t>
      </w:r>
      <w:r>
        <w:t xml:space="preserve">providers </w:t>
      </w:r>
      <w:r w:rsidR="00575D41">
        <w:t>contend</w:t>
      </w:r>
      <w:r>
        <w:t xml:space="preserve"> t</w:t>
      </w:r>
      <w:r w:rsidR="0027263C">
        <w:t xml:space="preserve">he CDP Trials have </w:t>
      </w:r>
      <w:r w:rsidR="00575D41">
        <w:t>significantly</w:t>
      </w:r>
      <w:r w:rsidR="0027263C">
        <w:t xml:space="preserve"> imp</w:t>
      </w:r>
      <w:r>
        <w:t>rove</w:t>
      </w:r>
      <w:r w:rsidR="00575D41">
        <w:t>d</w:t>
      </w:r>
      <w:r>
        <w:t xml:space="preserve"> CDP participant engagement</w:t>
      </w:r>
      <w:r w:rsidR="00E80FDE">
        <w:t>,</w:t>
      </w:r>
      <w:r>
        <w:t xml:space="preserve"> compared with </w:t>
      </w:r>
      <w:r w:rsidR="00152B50">
        <w:t>the period after</w:t>
      </w:r>
      <w:r>
        <w:t xml:space="preserve"> </w:t>
      </w:r>
      <w:r w:rsidR="0027263C">
        <w:t>mutual obligation requirements were removed for activity attendance</w:t>
      </w:r>
      <w:r w:rsidR="00152B50">
        <w:t xml:space="preserve"> (from May 2021)</w:t>
      </w:r>
      <w:r w:rsidR="0027263C">
        <w:t>. However, Keogh Bay are concerned that only a relatively small proportion of the caseload (15 per cent) have participated in</w:t>
      </w:r>
      <w:r w:rsidR="003F2154">
        <w:t xml:space="preserve"> the</w:t>
      </w:r>
      <w:r w:rsidR="0027263C">
        <w:t xml:space="preserve"> trials</w:t>
      </w:r>
      <w:r w:rsidR="006A4359" w:rsidRPr="0027263C">
        <w:t>.</w:t>
      </w:r>
      <w:r w:rsidR="006A4359" w:rsidRPr="0027263C">
        <w:rPr>
          <w:rStyle w:val="FootnoteReference"/>
        </w:rPr>
        <w:t xml:space="preserve"> </w:t>
      </w:r>
      <w:r w:rsidR="006A4359" w:rsidRPr="0027263C">
        <w:rPr>
          <w:rStyle w:val="FootnoteReference"/>
        </w:rPr>
        <w:footnoteReference w:id="3"/>
      </w:r>
      <w:r w:rsidR="0027263C">
        <w:t xml:space="preserve"> </w:t>
      </w:r>
      <w:r w:rsidR="00A4313C">
        <w:t>Indeed, they report</w:t>
      </w:r>
      <w:r w:rsidR="00E80FDE">
        <w:t>ed</w:t>
      </w:r>
      <w:r w:rsidR="00A4313C">
        <w:t xml:space="preserve"> that some participants stop taking part due to shame or feelings of guilt from those not able to participate. </w:t>
      </w:r>
      <w:r w:rsidR="00196C94">
        <w:t xml:space="preserve">They </w:t>
      </w:r>
      <w:r w:rsidR="00A4313C">
        <w:t>also suggest</w:t>
      </w:r>
      <w:r w:rsidR="00E80FDE">
        <w:t>ed</w:t>
      </w:r>
      <w:r w:rsidR="00A4313C">
        <w:t xml:space="preserve"> that projects </w:t>
      </w:r>
      <w:r w:rsidR="00196C94">
        <w:t xml:space="preserve">may prove difficult to scale up for the entire caseload. </w:t>
      </w:r>
      <w:r w:rsidR="00A4313C">
        <w:t>They propose</w:t>
      </w:r>
      <w:r w:rsidR="00E80FDE">
        <w:t>d</w:t>
      </w:r>
      <w:r w:rsidR="00A4313C">
        <w:t xml:space="preserve"> </w:t>
      </w:r>
      <w:r w:rsidR="0027263C">
        <w:t xml:space="preserve">local </w:t>
      </w:r>
      <w:r w:rsidR="008E5CED">
        <w:t>workforce development plans</w:t>
      </w:r>
      <w:r w:rsidR="0027263C">
        <w:t xml:space="preserve"> </w:t>
      </w:r>
      <w:r w:rsidR="00BD7112">
        <w:t xml:space="preserve">to help target approaches to </w:t>
      </w:r>
      <w:r w:rsidR="0027263C">
        <w:t xml:space="preserve">upskill </w:t>
      </w:r>
      <w:r w:rsidR="00E80FDE">
        <w:t>a</w:t>
      </w:r>
      <w:r w:rsidR="0027263C">
        <w:t xml:space="preserve"> </w:t>
      </w:r>
      <w:r w:rsidR="00E80FDE">
        <w:t xml:space="preserve">larger </w:t>
      </w:r>
      <w:r w:rsidR="0027263C">
        <w:t>number of job seekers and mobilise them quickly to capitalise on local projects when they arise.</w:t>
      </w:r>
    </w:p>
    <w:p w14:paraId="35660B71" w14:textId="70939591" w:rsidR="00660F3D" w:rsidRDefault="00660F3D" w:rsidP="006265B0">
      <w:pPr>
        <w:pStyle w:val="BodyText"/>
      </w:pPr>
      <w:r>
        <w:t xml:space="preserve">Targeting youth was a key focus of 19 projects, and these projects benefitted around </w:t>
      </w:r>
      <w:r w:rsidR="004A1563">
        <w:t xml:space="preserve">1,300 </w:t>
      </w:r>
      <w:r>
        <w:t>youth participants</w:t>
      </w:r>
      <w:r w:rsidR="004A1563">
        <w:t>.</w:t>
      </w:r>
      <w:r w:rsidR="004A1563" w:rsidRPr="3750E162">
        <w:t xml:space="preserve"> </w:t>
      </w:r>
      <w:r w:rsidRPr="0C8C79B3">
        <w:t>The most common</w:t>
      </w:r>
      <w:r w:rsidRPr="3750E162">
        <w:t xml:space="preserve"> methods used by these projects</w:t>
      </w:r>
      <w:r w:rsidRPr="0C8C79B3">
        <w:t xml:space="preserve"> sought to provide training</w:t>
      </w:r>
      <w:r>
        <w:t xml:space="preserve">, </w:t>
      </w:r>
      <w:r w:rsidRPr="6B8DB6E4">
        <w:t>basic pre-employment</w:t>
      </w:r>
      <w:r>
        <w:t xml:space="preserve"> support, short-term employment positions and dedicated youth</w:t>
      </w:r>
      <w:r w:rsidR="00196C94">
        <w:t>-focus</w:t>
      </w:r>
      <w:r>
        <w:t xml:space="preserve">ed case managers. </w:t>
      </w:r>
      <w:r w:rsidR="00196C94">
        <w:t xml:space="preserve">Keogh Bay </w:t>
      </w:r>
      <w:r w:rsidR="003F2154">
        <w:t>suggested</w:t>
      </w:r>
      <w:r w:rsidR="00196C94">
        <w:t xml:space="preserve"> </w:t>
      </w:r>
      <w:r w:rsidR="003F2154">
        <w:t xml:space="preserve">adopting </w:t>
      </w:r>
      <w:r w:rsidR="00196C94">
        <w:t>small group</w:t>
      </w:r>
      <w:r w:rsidR="00196C94">
        <w:noBreakHyphen/>
        <w:t xml:space="preserve">based activities that interest youth – such as yarning spaces, youth hubs, camps or sports-based programs – as </w:t>
      </w:r>
      <w:r w:rsidR="003F2154">
        <w:t xml:space="preserve">managing both positive and negative </w:t>
      </w:r>
      <w:r w:rsidR="00196C94">
        <w:t xml:space="preserve">peer influence is critical to </w:t>
      </w:r>
      <w:r w:rsidR="003F2154">
        <w:t>an initiative’s</w:t>
      </w:r>
      <w:r w:rsidR="00196C94">
        <w:t xml:space="preserve"> success.</w:t>
      </w:r>
      <w:r w:rsidR="003022E8">
        <w:t xml:space="preserve"> </w:t>
      </w:r>
      <w:r w:rsidR="00172F9A">
        <w:t xml:space="preserve">Likewise, </w:t>
      </w:r>
      <w:r w:rsidR="003022E8">
        <w:t>regions with a strong work ethos amongst adults encourages yout</w:t>
      </w:r>
      <w:r w:rsidR="00152B50">
        <w:t>h to also be a part of the work</w:t>
      </w:r>
      <w:r w:rsidR="003022E8">
        <w:t>force.</w:t>
      </w:r>
    </w:p>
    <w:p w14:paraId="663D566B" w14:textId="4D12B894" w:rsidR="00055DEA" w:rsidRDefault="00172F9A" w:rsidP="006265B0">
      <w:pPr>
        <w:pStyle w:val="BodyText"/>
      </w:pPr>
      <w:r>
        <w:t>Despite these efforts</w:t>
      </w:r>
      <w:r w:rsidR="00660F3D">
        <w:t xml:space="preserve">, </w:t>
      </w:r>
      <w:r w:rsidR="003022E8">
        <w:t>youth</w:t>
      </w:r>
      <w:r w:rsidR="00660F3D">
        <w:t xml:space="preserve"> projects </w:t>
      </w:r>
      <w:r>
        <w:t xml:space="preserve">were generally </w:t>
      </w:r>
      <w:r w:rsidR="00EE7EFF">
        <w:t>less successful</w:t>
      </w:r>
      <w:r w:rsidR="004A1563">
        <w:t>,</w:t>
      </w:r>
      <w:r w:rsidR="0035304B">
        <w:t xml:space="preserve"> with </w:t>
      </w:r>
      <w:r w:rsidR="22B6F8F1">
        <w:t xml:space="preserve">only </w:t>
      </w:r>
      <w:r w:rsidR="004A1563">
        <w:t xml:space="preserve">a third (37 per cent) </w:t>
      </w:r>
      <w:r w:rsidR="0035304B">
        <w:t>of projects meeting or exceeding their anticipated benefits</w:t>
      </w:r>
      <w:r w:rsidR="00EE7EFF" w:rsidRPr="3750E162">
        <w:t>.</w:t>
      </w:r>
      <w:r w:rsidR="00FC251D">
        <w:t xml:space="preserve"> </w:t>
      </w:r>
      <w:r w:rsidR="004E1401">
        <w:t>Multiple providers discussed the challenge</w:t>
      </w:r>
      <w:r w:rsidR="00660F3D">
        <w:t>s</w:t>
      </w:r>
      <w:r w:rsidR="004E1401">
        <w:t xml:space="preserve"> of keeping youth e</w:t>
      </w:r>
      <w:r w:rsidR="00660F3D">
        <w:t>ngaged</w:t>
      </w:r>
      <w:r w:rsidR="004E1401">
        <w:t xml:space="preserve">. Many reported that youth would </w:t>
      </w:r>
      <w:r w:rsidR="00660F3D">
        <w:t xml:space="preserve">regularly </w:t>
      </w:r>
      <w:r w:rsidR="004E1401">
        <w:t>leave positions</w:t>
      </w:r>
      <w:r w:rsidR="003022E8">
        <w:t xml:space="preserve"> – </w:t>
      </w:r>
      <w:r w:rsidR="00660F3D">
        <w:t xml:space="preserve">often due to </w:t>
      </w:r>
      <w:r w:rsidR="003022E8">
        <w:t>drug</w:t>
      </w:r>
      <w:r w:rsidR="00660F3D">
        <w:t xml:space="preserve"> and alcohol use</w:t>
      </w:r>
      <w:r w:rsidR="003022E8">
        <w:t xml:space="preserve"> – </w:t>
      </w:r>
      <w:r w:rsidR="00660F3D">
        <w:t>despite having access to youth mentors and intensive support</w:t>
      </w:r>
      <w:r w:rsidR="00055DEA">
        <w:t>.</w:t>
      </w:r>
      <w:r w:rsidR="004E1401">
        <w:t xml:space="preserve"> </w:t>
      </w:r>
      <w:r>
        <w:t>P</w:t>
      </w:r>
      <w:r w:rsidR="00055DEA">
        <w:t xml:space="preserve">roviders </w:t>
      </w:r>
      <w:r>
        <w:t xml:space="preserve">also </w:t>
      </w:r>
      <w:r w:rsidR="00196C94">
        <w:t>h</w:t>
      </w:r>
      <w:r w:rsidR="003022E8">
        <w:t>ad</w:t>
      </w:r>
      <w:r w:rsidR="00196C94">
        <w:t xml:space="preserve"> </w:t>
      </w:r>
      <w:r w:rsidR="00660F3D">
        <w:t>difficulties in recruiting</w:t>
      </w:r>
      <w:r w:rsidR="004A1563">
        <w:t xml:space="preserve"> </w:t>
      </w:r>
      <w:r w:rsidR="00055DEA">
        <w:t>youth mentor</w:t>
      </w:r>
      <w:r w:rsidR="00660F3D">
        <w:t>s,</w:t>
      </w:r>
      <w:r w:rsidR="00055DEA">
        <w:t xml:space="preserve"> especially </w:t>
      </w:r>
      <w:r w:rsidR="00660F3D">
        <w:t xml:space="preserve">when </w:t>
      </w:r>
      <w:r w:rsidR="00055DEA">
        <w:t>trying to recruit from community</w:t>
      </w:r>
      <w:r w:rsidR="00660F3D">
        <w:t xml:space="preserve"> </w:t>
      </w:r>
      <w:r>
        <w:t xml:space="preserve">(such as </w:t>
      </w:r>
      <w:r w:rsidR="00660F3D">
        <w:t xml:space="preserve">if there were </w:t>
      </w:r>
      <w:r w:rsidR="00055DEA">
        <w:t xml:space="preserve">few older role models </w:t>
      </w:r>
      <w:r w:rsidR="00660F3D">
        <w:t>available</w:t>
      </w:r>
      <w:r w:rsidR="00196C94">
        <w:t>)</w:t>
      </w:r>
      <w:r w:rsidR="00055DEA">
        <w:t>.</w:t>
      </w:r>
      <w:r w:rsidR="004A1563">
        <w:t xml:space="preserve"> </w:t>
      </w:r>
    </w:p>
    <w:p w14:paraId="47071A62" w14:textId="7537DAFC" w:rsidR="00217D02" w:rsidRDefault="00217D02" w:rsidP="004D6C56">
      <w:pPr>
        <w:pStyle w:val="Heading2"/>
      </w:pPr>
      <w:r>
        <w:t>Next steps</w:t>
      </w:r>
    </w:p>
    <w:p w14:paraId="3E78AD3B" w14:textId="3D366D2D" w:rsidR="001B6BE0" w:rsidRDefault="00C66EB6" w:rsidP="0A894330">
      <w:pPr>
        <w:pStyle w:val="BodyText"/>
        <w:rPr>
          <w:w w:val="105"/>
        </w:rPr>
      </w:pPr>
      <w:r w:rsidRPr="00E117B8">
        <w:rPr>
          <w:w w:val="105"/>
        </w:rPr>
        <w:t xml:space="preserve">The </w:t>
      </w:r>
      <w:r w:rsidRPr="00DD64F5">
        <w:t>Government</w:t>
      </w:r>
      <w:r w:rsidRPr="00E117B8">
        <w:rPr>
          <w:w w:val="105"/>
        </w:rPr>
        <w:t xml:space="preserve"> is </w:t>
      </w:r>
      <w:r w:rsidR="00E36F5D">
        <w:rPr>
          <w:w w:val="105"/>
        </w:rPr>
        <w:t>investing $707 million to deliver a new Remote Jobs and Economic Development (RJED) Program in the second half of 2024.</w:t>
      </w:r>
      <w:r w:rsidR="001B6BE0">
        <w:rPr>
          <w:w w:val="105"/>
        </w:rPr>
        <w:t xml:space="preserve"> The</w:t>
      </w:r>
      <w:r w:rsidR="00E36F5D">
        <w:rPr>
          <w:w w:val="105"/>
        </w:rPr>
        <w:t xml:space="preserve"> RJED </w:t>
      </w:r>
      <w:r w:rsidR="001B6BE0">
        <w:rPr>
          <w:w w:val="105"/>
        </w:rPr>
        <w:t xml:space="preserve">program </w:t>
      </w:r>
      <w:r w:rsidR="00E36F5D">
        <w:rPr>
          <w:w w:val="105"/>
        </w:rPr>
        <w:t>will provide people in remote communities with real jobs, pro</w:t>
      </w:r>
      <w:r w:rsidR="001B6BE0">
        <w:rPr>
          <w:w w:val="105"/>
        </w:rPr>
        <w:t xml:space="preserve">per wages and decent conditions. It is being developed in partnership with First Nations people, informed by </w:t>
      </w:r>
      <w:r w:rsidR="002F62F2">
        <w:rPr>
          <w:w w:val="105"/>
        </w:rPr>
        <w:t xml:space="preserve">consultation with communities and </w:t>
      </w:r>
      <w:r w:rsidR="001B6BE0">
        <w:rPr>
          <w:w w:val="105"/>
        </w:rPr>
        <w:t xml:space="preserve">learnings from the remote jobs trials. </w:t>
      </w:r>
      <w:r w:rsidR="00A4313C">
        <w:rPr>
          <w:w w:val="105"/>
        </w:rPr>
        <w:t>It</w:t>
      </w:r>
      <w:r w:rsidR="001B6BE0">
        <w:rPr>
          <w:w w:val="105"/>
        </w:rPr>
        <w:t xml:space="preserve"> will fund 3,000</w:t>
      </w:r>
      <w:r w:rsidR="00D23F2E">
        <w:rPr>
          <w:w w:val="105"/>
        </w:rPr>
        <w:t xml:space="preserve"> new</w:t>
      </w:r>
      <w:r w:rsidR="001B6BE0">
        <w:rPr>
          <w:w w:val="105"/>
        </w:rPr>
        <w:t> jobs over three years.</w:t>
      </w:r>
      <w:r w:rsidR="00575D41">
        <w:rPr>
          <w:w w:val="105"/>
        </w:rPr>
        <w:t xml:space="preserve"> </w:t>
      </w:r>
      <w:r w:rsidR="001B6BE0" w:rsidRPr="001B6BE0">
        <w:rPr>
          <w:w w:val="105"/>
        </w:rPr>
        <w:t xml:space="preserve">A Community Jobs and Business Fund will be an important element of </w:t>
      </w:r>
      <w:r w:rsidR="001B6BE0">
        <w:rPr>
          <w:w w:val="105"/>
        </w:rPr>
        <w:t xml:space="preserve">the </w:t>
      </w:r>
      <w:r w:rsidR="001B6BE0" w:rsidRPr="001B6BE0">
        <w:rPr>
          <w:w w:val="105"/>
        </w:rPr>
        <w:t xml:space="preserve">RJED </w:t>
      </w:r>
      <w:r w:rsidR="001B6BE0">
        <w:rPr>
          <w:w w:val="105"/>
        </w:rPr>
        <w:lastRenderedPageBreak/>
        <w:t xml:space="preserve">program </w:t>
      </w:r>
      <w:r w:rsidR="001B6BE0" w:rsidRPr="001B6BE0">
        <w:rPr>
          <w:w w:val="105"/>
        </w:rPr>
        <w:t xml:space="preserve">and responds to what communities have overwhelmingly asked for. As part of this fund, </w:t>
      </w:r>
      <w:r w:rsidR="002F62F2">
        <w:rPr>
          <w:w w:val="105"/>
        </w:rPr>
        <w:t>eligible organisations</w:t>
      </w:r>
      <w:r w:rsidR="001B6BE0" w:rsidRPr="001B6BE0">
        <w:rPr>
          <w:w w:val="105"/>
        </w:rPr>
        <w:t xml:space="preserve"> can apply for funding of </w:t>
      </w:r>
      <w:r w:rsidR="002F62F2">
        <w:rPr>
          <w:w w:val="105"/>
        </w:rPr>
        <w:t xml:space="preserve">minor </w:t>
      </w:r>
      <w:r w:rsidR="001B6BE0" w:rsidRPr="001B6BE0">
        <w:rPr>
          <w:w w:val="105"/>
        </w:rPr>
        <w:t>capital and equipment</w:t>
      </w:r>
      <w:r w:rsidR="008E5CED">
        <w:rPr>
          <w:w w:val="105"/>
        </w:rPr>
        <w:t xml:space="preserve"> for </w:t>
      </w:r>
      <w:r w:rsidR="008E5CED" w:rsidRPr="001B6BE0">
        <w:rPr>
          <w:w w:val="105"/>
        </w:rPr>
        <w:t>projects the community needs</w:t>
      </w:r>
      <w:r w:rsidR="001B6BE0" w:rsidRPr="001B6BE0">
        <w:rPr>
          <w:w w:val="105"/>
        </w:rPr>
        <w:t>.</w:t>
      </w:r>
    </w:p>
    <w:p w14:paraId="2DF28A64" w14:textId="7B603941" w:rsidR="003E766D" w:rsidRPr="003E766D" w:rsidRDefault="001B6BE0" w:rsidP="00833E3C">
      <w:pPr>
        <w:pStyle w:val="BodyText"/>
      </w:pPr>
      <w:r>
        <w:rPr>
          <w:w w:val="105"/>
        </w:rPr>
        <w:t>As not everyone will be ready to go into a job or may require other support services, a remote employment service will still be needed.</w:t>
      </w:r>
      <w:r w:rsidR="004A3658">
        <w:rPr>
          <w:w w:val="105"/>
        </w:rPr>
        <w:t xml:space="preserve"> M</w:t>
      </w:r>
      <w:r>
        <w:rPr>
          <w:w w:val="105"/>
        </w:rPr>
        <w:t xml:space="preserve">ost CDP provider agreements </w:t>
      </w:r>
      <w:r w:rsidR="004A3658">
        <w:rPr>
          <w:w w:val="105"/>
        </w:rPr>
        <w:t xml:space="preserve">have been extended </w:t>
      </w:r>
      <w:r>
        <w:rPr>
          <w:w w:val="105"/>
        </w:rPr>
        <w:t xml:space="preserve">until 30 June 2025. </w:t>
      </w:r>
      <w:r w:rsidR="00E36F5D">
        <w:rPr>
          <w:w w:val="105"/>
        </w:rPr>
        <w:t xml:space="preserve">CDP Trials Phase 2 </w:t>
      </w:r>
      <w:r>
        <w:rPr>
          <w:w w:val="105"/>
        </w:rPr>
        <w:t xml:space="preserve">will </w:t>
      </w:r>
      <w:r w:rsidR="004A3658">
        <w:rPr>
          <w:w w:val="105"/>
        </w:rPr>
        <w:t xml:space="preserve">conclude in </w:t>
      </w:r>
      <w:r w:rsidR="00E36F5D">
        <w:rPr>
          <w:w w:val="105"/>
        </w:rPr>
        <w:t>October 2024</w:t>
      </w:r>
      <w:r w:rsidR="004A3658">
        <w:rPr>
          <w:w w:val="105"/>
        </w:rPr>
        <w:t>, although projects with budget remaining may continue until April 2025</w:t>
      </w:r>
      <w:r w:rsidR="00E36F5D">
        <w:rPr>
          <w:w w:val="105"/>
        </w:rPr>
        <w:t>.</w:t>
      </w:r>
      <w:r w:rsidR="00C66EB6" w:rsidRPr="00A4313C">
        <w:rPr>
          <w:w w:val="105"/>
        </w:rPr>
        <w:t xml:space="preserve"> </w:t>
      </w:r>
      <w:r w:rsidRPr="00A4313C">
        <w:rPr>
          <w:w w:val="105"/>
        </w:rPr>
        <w:t>More information on the remote job trials is available on the NIAA website</w:t>
      </w:r>
      <w:r>
        <w:t>.</w:t>
      </w:r>
      <w:r w:rsidR="000106CE">
        <w:rPr>
          <w:rStyle w:val="FootnoteReference"/>
        </w:rPr>
        <w:footnoteReference w:id="4"/>
      </w:r>
    </w:p>
    <w:sectPr w:rsidR="003E766D" w:rsidRPr="003E766D" w:rsidSect="00B268F0">
      <w:headerReference w:type="even" r:id="rId7"/>
      <w:headerReference w:type="default" r:id="rId8"/>
      <w:footerReference w:type="even" r:id="rId9"/>
      <w:footerReference w:type="default" r:id="rId10"/>
      <w:headerReference w:type="first" r:id="rId11"/>
      <w:footerReference w:type="first" r:id="rId12"/>
      <w:pgSz w:w="11906" w:h="16838" w:code="9"/>
      <w:pgMar w:top="1702"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8B9E0" w14:textId="77777777" w:rsidR="0068434A" w:rsidRDefault="0068434A" w:rsidP="00B95533">
      <w:pPr>
        <w:spacing w:after="0" w:line="240" w:lineRule="auto"/>
      </w:pPr>
      <w:r>
        <w:separator/>
      </w:r>
    </w:p>
  </w:endnote>
  <w:endnote w:type="continuationSeparator" w:id="0">
    <w:p w14:paraId="5DCF262B" w14:textId="77777777" w:rsidR="0068434A" w:rsidRDefault="0068434A" w:rsidP="00B95533">
      <w:pPr>
        <w:spacing w:after="0" w:line="240" w:lineRule="auto"/>
      </w:pPr>
      <w:r>
        <w:continuationSeparator/>
      </w:r>
    </w:p>
  </w:endnote>
  <w:endnote w:type="continuationNotice" w:id="1">
    <w:p w14:paraId="43E09CE5" w14:textId="77777777" w:rsidR="0068434A" w:rsidRDefault="006843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5523D" w14:textId="1FA9C485" w:rsidR="00DC36B3" w:rsidRDefault="00265E99">
    <w:pPr>
      <w:pStyle w:val="Footer"/>
    </w:pPr>
    <w:r>
      <w:rPr>
        <w:noProof/>
      </w:rPr>
      <mc:AlternateContent>
        <mc:Choice Requires="wps">
          <w:drawing>
            <wp:anchor distT="0" distB="0" distL="0" distR="0" simplePos="0" relativeHeight="251663363" behindDoc="0" locked="0" layoutInCell="1" allowOverlap="1" wp14:anchorId="4EE4F1D1" wp14:editId="5EDA3669">
              <wp:simplePos x="635" y="635"/>
              <wp:positionH relativeFrom="page">
                <wp:align>center</wp:align>
              </wp:positionH>
              <wp:positionV relativeFrom="page">
                <wp:align>bottom</wp:align>
              </wp:positionV>
              <wp:extent cx="686435" cy="383540"/>
              <wp:effectExtent l="0" t="0" r="18415" b="0"/>
              <wp:wrapNone/>
              <wp:docPr id="12254843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337A2C67" w14:textId="71062A6E" w:rsidR="00265E99" w:rsidRPr="00265E99" w:rsidRDefault="00265E99" w:rsidP="00265E99">
                          <w:pPr>
                            <w:spacing w:after="0"/>
                            <w:rPr>
                              <w:rFonts w:ascii="Arial" w:eastAsia="Arial" w:hAnsi="Arial" w:cs="Arial"/>
                              <w:noProof/>
                              <w:color w:val="FF0000"/>
                              <w:sz w:val="24"/>
                              <w:szCs w:val="24"/>
                            </w:rPr>
                          </w:pPr>
                          <w:r w:rsidRPr="00265E99">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E4F1D1" id="_x0000_t202" coordsize="21600,21600" o:spt="202" path="m,l,21600r21600,l21600,xe">
              <v:stroke joinstyle="miter"/>
              <v:path gradientshapeok="t" o:connecttype="rect"/>
            </v:shapetype>
            <v:shape id="Text Box 5" o:spid="_x0000_s1028" type="#_x0000_t202" alt="OFFICIAL" style="position:absolute;margin-left:0;margin-top:0;width:54.05pt;height:30.2pt;z-index:2516633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" filled="f" stroked="f">
              <v:textbox style="mso-fit-shape-to-text:t" inset="0,0,0,15pt">
                <w:txbxContent>
                  <w:p w14:paraId="337A2C67" w14:textId="71062A6E" w:rsidR="00265E99" w:rsidRPr="00265E99" w:rsidRDefault="00265E99" w:rsidP="00265E99">
                    <w:pPr>
                      <w:spacing w:after="0"/>
                      <w:rPr>
                        <w:rFonts w:ascii="Arial" w:eastAsia="Arial" w:hAnsi="Arial" w:cs="Arial"/>
                        <w:noProof/>
                        <w:color w:val="FF0000"/>
                        <w:sz w:val="24"/>
                        <w:szCs w:val="24"/>
                      </w:rPr>
                    </w:pPr>
                    <w:r w:rsidRPr="00265E99">
                      <w:rPr>
                        <w:rFonts w:ascii="Arial" w:eastAsia="Arial" w:hAnsi="Arial" w:cs="Arial"/>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3322" w14:textId="1115CE83" w:rsidR="003F2154" w:rsidRPr="00B663B0" w:rsidRDefault="00265E99" w:rsidP="00F43301">
    <w:pPr>
      <w:pStyle w:val="ProtectiveMarking"/>
      <w:spacing w:after="240"/>
      <w:jc w:val="left"/>
    </w:pPr>
    <w:r>
      <w:rPr>
        <w:lang w:eastAsia="en-AU"/>
      </w:rPr>
      <mc:AlternateContent>
        <mc:Choice Requires="wps">
          <w:drawing>
            <wp:anchor distT="0" distB="0" distL="0" distR="0" simplePos="0" relativeHeight="251664387" behindDoc="0" locked="0" layoutInCell="1" allowOverlap="1" wp14:anchorId="0CA04226" wp14:editId="3020796A">
              <wp:simplePos x="542925" y="9810750"/>
              <wp:positionH relativeFrom="page">
                <wp:align>center</wp:align>
              </wp:positionH>
              <wp:positionV relativeFrom="page">
                <wp:align>bottom</wp:align>
              </wp:positionV>
              <wp:extent cx="686435" cy="383540"/>
              <wp:effectExtent l="0" t="0" r="18415" b="0"/>
              <wp:wrapNone/>
              <wp:docPr id="74254491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79C6D975" w14:textId="5C914C19" w:rsidR="00265E99" w:rsidRPr="00265E99" w:rsidRDefault="00265E99" w:rsidP="00265E99">
                          <w:pPr>
                            <w:spacing w:after="0"/>
                            <w:rPr>
                              <w:rFonts w:ascii="Arial" w:eastAsia="Arial" w:hAnsi="Arial" w:cs="Arial"/>
                              <w:noProof/>
                              <w:color w:val="FF0000"/>
                              <w:sz w:val="24"/>
                              <w:szCs w:val="24"/>
                            </w:rPr>
                          </w:pPr>
                          <w:r w:rsidRPr="00265E99">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A04226" id="_x0000_t202" coordsize="21600,21600" o:spt="202" path="m,l,21600r21600,l21600,xe">
              <v:stroke joinstyle="miter"/>
              <v:path gradientshapeok="t" o:connecttype="rect"/>
            </v:shapetype>
            <v:shape id="Text Box 6" o:spid="_x0000_s1029" type="#_x0000_t202" alt="OFFICIAL" style="position:absolute;margin-left:0;margin-top:0;width:54.05pt;height:30.2pt;z-index:2516643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2o/GQIAACo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" filled="f" stroked="f">
              <v:textbox style="mso-fit-shape-to-text:t" inset="0,0,0,15pt">
                <w:txbxContent>
                  <w:p w14:paraId="79C6D975" w14:textId="5C914C19" w:rsidR="00265E99" w:rsidRPr="00265E99" w:rsidRDefault="00265E99" w:rsidP="00265E99">
                    <w:pPr>
                      <w:spacing w:after="0"/>
                      <w:rPr>
                        <w:rFonts w:ascii="Arial" w:eastAsia="Arial" w:hAnsi="Arial" w:cs="Arial"/>
                        <w:noProof/>
                        <w:color w:val="FF0000"/>
                        <w:sz w:val="24"/>
                        <w:szCs w:val="24"/>
                      </w:rPr>
                    </w:pPr>
                    <w:r w:rsidRPr="00265E99">
                      <w:rPr>
                        <w:rFonts w:ascii="Arial" w:eastAsia="Arial" w:hAnsi="Arial" w:cs="Arial"/>
                        <w:noProof/>
                        <w:color w:val="FF0000"/>
                        <w:sz w:val="24"/>
                        <w:szCs w:val="24"/>
                      </w:rPr>
                      <w:t>OFFICIAL</w:t>
                    </w:r>
                  </w:p>
                </w:txbxContent>
              </v:textbox>
              <w10:wrap anchorx="page" anchory="page"/>
            </v:shape>
          </w:pict>
        </mc:Fallback>
      </mc:AlternateContent>
    </w:r>
    <w:r w:rsidR="003F2154">
      <w:rPr>
        <w:lang w:eastAsia="en-AU"/>
      </w:rPr>
      <w:drawing>
        <wp:anchor distT="0" distB="0" distL="114300" distR="114300" simplePos="0" relativeHeight="251658243" behindDoc="1" locked="1" layoutInCell="1" allowOverlap="1" wp14:anchorId="6A92CD9E" wp14:editId="1CE70808">
          <wp:simplePos x="0" y="0"/>
          <wp:positionH relativeFrom="page">
            <wp:posOffset>13335</wp:posOffset>
          </wp:positionH>
          <wp:positionV relativeFrom="page">
            <wp:posOffset>9962515</wp:posOffset>
          </wp:positionV>
          <wp:extent cx="7524000" cy="716400"/>
          <wp:effectExtent l="0" t="0" r="1270" b="7620"/>
          <wp:wrapNone/>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2-023_ORIGINAL_Word_Template_Foot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716400"/>
                  </a:xfrm>
                  <a:prstGeom prst="rect">
                    <a:avLst/>
                  </a:prstGeom>
                </pic:spPr>
              </pic:pic>
            </a:graphicData>
          </a:graphic>
          <wp14:sizeRelH relativeFrom="page">
            <wp14:pctWidth>0</wp14:pctWidth>
          </wp14:sizeRelH>
          <wp14:sizeRelV relativeFrom="page">
            <wp14:pctHeight>0</wp14:pctHeight>
          </wp14:sizeRelV>
        </wp:anchor>
      </w:drawing>
    </w:r>
  </w:p>
  <w:p w14:paraId="0BFD5800" w14:textId="634A477A" w:rsidR="003F2154" w:rsidRPr="0040648D" w:rsidRDefault="003F2154" w:rsidP="00206976">
    <w:pPr>
      <w:pStyle w:val="Footer"/>
      <w:pBdr>
        <w:top w:val="single" w:sz="24" w:space="7" w:color="auto"/>
      </w:pBdr>
      <w:tabs>
        <w:tab w:val="clear" w:pos="4513"/>
        <w:tab w:val="clear" w:pos="9026"/>
        <w:tab w:val="right" w:pos="13435"/>
      </w:tabs>
      <w:rPr>
        <w:color w:val="2A4055" w:themeColor="accent1"/>
      </w:rPr>
    </w:pPr>
    <w:r>
      <w:rPr>
        <w:color w:val="2A4055" w:themeColor="accent1"/>
      </w:rPr>
      <w:t xml:space="preserve">NIAA | </w:t>
    </w:r>
    <w:r w:rsidRPr="00B268F0">
      <w:fldChar w:fldCharType="begin"/>
    </w:r>
    <w:r w:rsidRPr="0040648D">
      <w:rPr>
        <w:color w:val="2A4055" w:themeColor="accent1"/>
      </w:rPr>
      <w:instrText xml:space="preserve"> STYLEREF  "Title"  \* MERGEFORMAT </w:instrText>
    </w:r>
    <w:r w:rsidRPr="00B268F0">
      <w:rPr>
        <w:color w:val="2A4055" w:themeColor="accent1"/>
      </w:rPr>
      <w:fldChar w:fldCharType="separate"/>
    </w:r>
    <w:r w:rsidR="00153D05">
      <w:rPr>
        <w:noProof/>
        <w:color w:val="2A4055" w:themeColor="accent1"/>
      </w:rPr>
      <w:t>Community Development Program: Phase 2 Trials Interim Report</w:t>
    </w:r>
    <w:r w:rsidRPr="00B268F0">
      <w:fldChar w:fldCharType="end"/>
    </w:r>
    <w:r>
      <w:rPr>
        <w:color w:val="2A4055" w:themeColor="accent1"/>
      </w:rPr>
      <w:tab/>
    </w:r>
    <w:r w:rsidRPr="00E92954">
      <w:rPr>
        <w:noProof/>
        <w:color w:val="2A4055" w:themeColor="accent1"/>
      </w:rPr>
      <w:fldChar w:fldCharType="begin"/>
    </w:r>
    <w:r w:rsidRPr="00E92954">
      <w:rPr>
        <w:color w:val="2A4055" w:themeColor="accent1"/>
      </w:rPr>
      <w:instrText xml:space="preserve"> PAGE   \* MERGEFORMAT </w:instrText>
    </w:r>
    <w:r w:rsidRPr="00E92954">
      <w:rPr>
        <w:color w:val="2A4055" w:themeColor="accent1"/>
      </w:rPr>
      <w:fldChar w:fldCharType="separate"/>
    </w:r>
    <w:r w:rsidR="00FA4389">
      <w:rPr>
        <w:noProof/>
        <w:color w:val="2A4055" w:themeColor="accent1"/>
      </w:rPr>
      <w:t>6</w:t>
    </w:r>
    <w:r w:rsidRPr="00E92954">
      <w:rPr>
        <w:noProof/>
        <w:color w:val="2A4055"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24650" w14:textId="47357ED1" w:rsidR="003F2154" w:rsidRPr="00B87E45" w:rsidRDefault="00265E99" w:rsidP="00730910">
    <w:pPr>
      <w:pStyle w:val="ProtectiveMarking"/>
      <w:spacing w:after="240"/>
    </w:pPr>
    <w:r>
      <mc:AlternateContent>
        <mc:Choice Requires="wps">
          <w:drawing>
            <wp:anchor distT="0" distB="0" distL="0" distR="0" simplePos="0" relativeHeight="251662339" behindDoc="0" locked="0" layoutInCell="1" allowOverlap="1" wp14:anchorId="6A4EE673" wp14:editId="650E4060">
              <wp:simplePos x="542925" y="9810750"/>
              <wp:positionH relativeFrom="page">
                <wp:align>center</wp:align>
              </wp:positionH>
              <wp:positionV relativeFrom="page">
                <wp:align>bottom</wp:align>
              </wp:positionV>
              <wp:extent cx="686435" cy="383540"/>
              <wp:effectExtent l="0" t="0" r="18415" b="0"/>
              <wp:wrapNone/>
              <wp:docPr id="6836990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1921C5F7" w14:textId="3FB442BD" w:rsidR="00265E99" w:rsidRPr="00265E99" w:rsidRDefault="00265E99" w:rsidP="00265E99">
                          <w:pPr>
                            <w:spacing w:after="0"/>
                            <w:rPr>
                              <w:rFonts w:ascii="Arial" w:eastAsia="Arial" w:hAnsi="Arial" w:cs="Arial"/>
                              <w:noProof/>
                              <w:color w:val="FF0000"/>
                              <w:sz w:val="24"/>
                              <w:szCs w:val="24"/>
                            </w:rPr>
                          </w:pPr>
                          <w:r w:rsidRPr="00265E99">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4EE673" id="_x0000_t202" coordsize="21600,21600" o:spt="202" path="m,l,21600r21600,l21600,xe">
              <v:stroke joinstyle="miter"/>
              <v:path gradientshapeok="t" o:connecttype="rect"/>
            </v:shapetype>
            <v:shape id="Text Box 4" o:spid="_x0000_s1031" type="#_x0000_t202" alt="OFFICIAL" style="position:absolute;left:0;text-align:left;margin-left:0;margin-top:0;width:54.05pt;height:30.2pt;z-index:2516623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WyGgIAACo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" filled="f" stroked="f">
              <v:textbox style="mso-fit-shape-to-text:t" inset="0,0,0,15pt">
                <w:txbxContent>
                  <w:p w14:paraId="1921C5F7" w14:textId="3FB442BD" w:rsidR="00265E99" w:rsidRPr="00265E99" w:rsidRDefault="00265E99" w:rsidP="00265E99">
                    <w:pPr>
                      <w:spacing w:after="0"/>
                      <w:rPr>
                        <w:rFonts w:ascii="Arial" w:eastAsia="Arial" w:hAnsi="Arial" w:cs="Arial"/>
                        <w:noProof/>
                        <w:color w:val="FF0000"/>
                        <w:sz w:val="24"/>
                        <w:szCs w:val="24"/>
                      </w:rPr>
                    </w:pPr>
                    <w:r w:rsidRPr="00265E99">
                      <w:rPr>
                        <w:rFonts w:ascii="Arial" w:eastAsia="Arial" w:hAnsi="Arial" w:cs="Arial"/>
                        <w:noProof/>
                        <w:color w:val="FF0000"/>
                        <w:sz w:val="24"/>
                        <w:szCs w:val="24"/>
                      </w:rPr>
                      <w:t>OFFICIAL</w:t>
                    </w:r>
                  </w:p>
                </w:txbxContent>
              </v:textbox>
              <w10:wrap anchorx="page" anchory="page"/>
            </v:shape>
          </w:pict>
        </mc:Fallback>
      </mc:AlternateContent>
    </w:r>
  </w:p>
  <w:sdt>
    <w:sdtPr>
      <w:alias w:val="Classification"/>
      <w:tag w:val="Classification"/>
      <w:id w:val="1779212053"/>
      <w:showingPlcHdr/>
      <w:dataBinding w:xpath="/root[1]/Classification[1]" w:storeItemID="{00000000-0000-0000-0000-000000000000}"/>
      <w:text/>
    </w:sdtPr>
    <w:sdtContent>
      <w:p w14:paraId="11E753F8" w14:textId="77777777" w:rsidR="003F2154" w:rsidRPr="00B87E45" w:rsidRDefault="003F2154" w:rsidP="00730910">
        <w:pPr>
          <w:pStyle w:val="ProtectiveMarking"/>
          <w:spacing w:after="240"/>
        </w:pPr>
        <w:r>
          <w:t xml:space="preserve">     </w:t>
        </w:r>
      </w:p>
    </w:sdtContent>
  </w:sdt>
  <w:p w14:paraId="23603BB0" w14:textId="328D7363" w:rsidR="003F2154" w:rsidRPr="0040648D" w:rsidRDefault="003F2154" w:rsidP="003A77F5">
    <w:pPr>
      <w:pStyle w:val="Footer"/>
      <w:pBdr>
        <w:top w:val="single" w:sz="24" w:space="7" w:color="2A4055" w:themeColor="accent1"/>
      </w:pBdr>
      <w:tabs>
        <w:tab w:val="clear" w:pos="4513"/>
        <w:tab w:val="clear" w:pos="9026"/>
        <w:tab w:val="left" w:pos="3089"/>
      </w:tabs>
      <w:rPr>
        <w:color w:val="2A4055" w:themeColor="accent1"/>
      </w:rPr>
    </w:pPr>
    <w:r>
      <w:rPr>
        <w:noProof/>
        <w:lang w:eastAsia="en-AU"/>
      </w:rPr>
      <w:drawing>
        <wp:anchor distT="0" distB="0" distL="114300" distR="114300" simplePos="0" relativeHeight="251658241" behindDoc="1" locked="0" layoutInCell="1" allowOverlap="1" wp14:anchorId="442779E1" wp14:editId="397B89E0">
          <wp:simplePos x="0" y="0"/>
          <wp:positionH relativeFrom="page">
            <wp:align>right</wp:align>
          </wp:positionH>
          <wp:positionV relativeFrom="paragraph">
            <wp:posOffset>-131264</wp:posOffset>
          </wp:positionV>
          <wp:extent cx="7524568" cy="715292"/>
          <wp:effectExtent l="0" t="0" r="635" b="8890"/>
          <wp:wrapNone/>
          <wp:docPr id="13" name="Picture 1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2-023_ORIGINAL_Word_Template_Foot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568" cy="715292"/>
                  </a:xfrm>
                  <a:prstGeom prst="rect">
                    <a:avLst/>
                  </a:prstGeom>
                </pic:spPr>
              </pic:pic>
            </a:graphicData>
          </a:graphic>
          <wp14:sizeRelH relativeFrom="page">
            <wp14:pctWidth>0</wp14:pctWidth>
          </wp14:sizeRelH>
          <wp14:sizeRelV relativeFrom="page">
            <wp14:pctHeight>0</wp14:pctHeight>
          </wp14:sizeRelV>
        </wp:anchor>
      </w:drawing>
    </w:r>
    <w:r>
      <w:rPr>
        <w:noProof/>
        <w:color w:val="2A4055" w:themeColor="accent1"/>
        <w:lang w:eastAsia="en-AU"/>
      </w:rPr>
      <w:drawing>
        <wp:anchor distT="0" distB="0" distL="114300" distR="114300" simplePos="0" relativeHeight="251658240" behindDoc="1" locked="0" layoutInCell="1" allowOverlap="1" wp14:anchorId="536527BF" wp14:editId="14101C14">
          <wp:simplePos x="0" y="0"/>
          <wp:positionH relativeFrom="page">
            <wp:posOffset>1</wp:posOffset>
          </wp:positionH>
          <wp:positionV relativeFrom="paragraph">
            <wp:posOffset>-134477</wp:posOffset>
          </wp:positionV>
          <wp:extent cx="10674000" cy="717542"/>
          <wp:effectExtent l="0" t="0" r="0" b="6985"/>
          <wp:wrapNone/>
          <wp:docPr id="265" name="Picture 2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a:extLst>
                      <a:ext uri="{C183D7F6-B498-43B3-948B-1728B52AA6E4}">
                        <adec:decorative xmlns:adec="http://schemas.microsoft.com/office/drawing/2017/decorative" val="1"/>
                      </a:ext>
                    </a:extLst>
                  </pic:cNvPr>
                  <pic:cNvPicPr/>
                </pic:nvPicPr>
                <pic:blipFill rotWithShape="1">
                  <a:blip r:embed="rId2" cstate="print">
                    <a:extLst>
                      <a:ext uri="{28A0092B-C50C-407E-A947-70E740481C1C}">
                        <a14:useLocalDpi xmlns:a14="http://schemas.microsoft.com/office/drawing/2010/main" val="0"/>
                      </a:ext>
                    </a:extLst>
                  </a:blip>
                  <a:srcRect l="-41411"/>
                  <a:stretch/>
                </pic:blipFill>
                <pic:spPr bwMode="auto">
                  <a:xfrm>
                    <a:off x="0" y="0"/>
                    <a:ext cx="10674120" cy="717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2BA15" w14:textId="77777777" w:rsidR="0068434A" w:rsidRPr="007A6FC6" w:rsidRDefault="0068434A" w:rsidP="00B95533">
      <w:pPr>
        <w:spacing w:after="0" w:line="240" w:lineRule="auto"/>
        <w:rPr>
          <w:color w:val="00948D" w:themeColor="accent2"/>
        </w:rPr>
      </w:pPr>
      <w:r w:rsidRPr="007A6FC6">
        <w:rPr>
          <w:color w:val="00948D" w:themeColor="accent2"/>
        </w:rPr>
        <w:separator/>
      </w:r>
    </w:p>
  </w:footnote>
  <w:footnote w:type="continuationSeparator" w:id="0">
    <w:p w14:paraId="41B75C18" w14:textId="77777777" w:rsidR="0068434A" w:rsidRPr="007A6FC6" w:rsidRDefault="0068434A" w:rsidP="00B95533">
      <w:pPr>
        <w:spacing w:after="0" w:line="240" w:lineRule="auto"/>
        <w:rPr>
          <w:color w:val="00948D" w:themeColor="accent2"/>
        </w:rPr>
      </w:pPr>
      <w:r w:rsidRPr="007A6FC6">
        <w:rPr>
          <w:color w:val="00948D" w:themeColor="accent2"/>
        </w:rPr>
        <w:continuationSeparator/>
      </w:r>
    </w:p>
  </w:footnote>
  <w:footnote w:type="continuationNotice" w:id="1">
    <w:p w14:paraId="7AFF5BBC" w14:textId="77777777" w:rsidR="0068434A" w:rsidRDefault="0068434A">
      <w:pPr>
        <w:spacing w:after="0" w:line="240" w:lineRule="auto"/>
      </w:pPr>
    </w:p>
  </w:footnote>
  <w:footnote w:id="2">
    <w:p w14:paraId="3D9700EF" w14:textId="77777777" w:rsidR="00F5510E" w:rsidRDefault="00F5510E" w:rsidP="00F5510E">
      <w:pPr>
        <w:pStyle w:val="FootnoteText"/>
      </w:pPr>
      <w:r>
        <w:rPr>
          <w:rStyle w:val="FootnoteReference"/>
        </w:rPr>
        <w:footnoteRef/>
      </w:r>
      <w:r>
        <w:t xml:space="preserve"> See </w:t>
      </w:r>
      <w:hyperlink r:id="rId1" w:history="1">
        <w:r>
          <w:rPr>
            <w:rStyle w:val="Hyperlink"/>
          </w:rPr>
          <w:t>https://www.niaa.gov.au/resource-centre/synthesis-early-learnings-trial-pathways-real-jobs</w:t>
        </w:r>
      </w:hyperlink>
    </w:p>
  </w:footnote>
  <w:footnote w:id="3">
    <w:p w14:paraId="666B4BD5" w14:textId="77777777" w:rsidR="003F2154" w:rsidRDefault="003F2154" w:rsidP="006A4359">
      <w:pPr>
        <w:pStyle w:val="FootnoteText"/>
      </w:pPr>
      <w:r>
        <w:rPr>
          <w:rStyle w:val="FootnoteReference"/>
        </w:rPr>
        <w:footnoteRef/>
      </w:r>
      <w:r>
        <w:t xml:space="preserve"> For comparison, prior to COVID around half of the CDP caseload attended at least one activity in any given month (51.7 per cent in 2018/19), with this cohort attending an average of around 44 hours in any given month.</w:t>
      </w:r>
    </w:p>
  </w:footnote>
  <w:footnote w:id="4">
    <w:p w14:paraId="6703001F" w14:textId="7013DD2D" w:rsidR="003F2154" w:rsidRDefault="003F2154">
      <w:pPr>
        <w:pStyle w:val="FootnoteText"/>
      </w:pPr>
      <w:r>
        <w:rPr>
          <w:rStyle w:val="FootnoteReference"/>
        </w:rPr>
        <w:footnoteRef/>
      </w:r>
      <w:r>
        <w:t xml:space="preserve"> See </w:t>
      </w:r>
      <w:hyperlink r:id="rId2" w:history="1">
        <w:r>
          <w:rPr>
            <w:rStyle w:val="Hyperlink"/>
          </w:rPr>
          <w:t>https://www.niaa.gov.au/our-work/employment-and-economic-development/job-trials-testing-new-approaches-remote-employment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7E24B" w14:textId="0DAF04B2" w:rsidR="00DC36B3" w:rsidRDefault="00265E99">
    <w:pPr>
      <w:pStyle w:val="Header"/>
    </w:pPr>
    <w:r>
      <w:rPr>
        <w:noProof/>
      </w:rPr>
      <mc:AlternateContent>
        <mc:Choice Requires="wps">
          <w:drawing>
            <wp:anchor distT="0" distB="0" distL="0" distR="0" simplePos="0" relativeHeight="251660291" behindDoc="0" locked="0" layoutInCell="1" allowOverlap="1" wp14:anchorId="0E53C8C1" wp14:editId="4C3B964E">
              <wp:simplePos x="635" y="635"/>
              <wp:positionH relativeFrom="page">
                <wp:align>center</wp:align>
              </wp:positionH>
              <wp:positionV relativeFrom="page">
                <wp:align>top</wp:align>
              </wp:positionV>
              <wp:extent cx="686435" cy="383540"/>
              <wp:effectExtent l="0" t="0" r="18415" b="16510"/>
              <wp:wrapNone/>
              <wp:docPr id="12047259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2FE8E17C" w14:textId="141F1C01" w:rsidR="00265E99" w:rsidRPr="00265E99" w:rsidRDefault="00265E99" w:rsidP="00265E99">
                          <w:pPr>
                            <w:spacing w:after="0"/>
                            <w:rPr>
                              <w:rFonts w:ascii="Arial" w:eastAsia="Arial" w:hAnsi="Arial" w:cs="Arial"/>
                              <w:noProof/>
                              <w:color w:val="FF0000"/>
                              <w:sz w:val="24"/>
                              <w:szCs w:val="24"/>
                            </w:rPr>
                          </w:pPr>
                          <w:r w:rsidRPr="00265E99">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53C8C1" id="_x0000_t202" coordsize="21600,21600" o:spt="202" path="m,l,21600r21600,l21600,xe">
              <v:stroke joinstyle="miter"/>
              <v:path gradientshapeok="t" o:connecttype="rect"/>
            </v:shapetype>
            <v:shape id="Text Box 2" o:spid="_x0000_s1026" type="#_x0000_t202" alt="OFFICIAL" style="position:absolute;margin-left:0;margin-top:0;width:54.05pt;height:30.2pt;z-index:25166029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" filled="f" stroked="f">
              <v:textbox style="mso-fit-shape-to-text:t" inset="0,15pt,0,0">
                <w:txbxContent>
                  <w:p w14:paraId="2FE8E17C" w14:textId="141F1C01" w:rsidR="00265E99" w:rsidRPr="00265E99" w:rsidRDefault="00265E99" w:rsidP="00265E99">
                    <w:pPr>
                      <w:spacing w:after="0"/>
                      <w:rPr>
                        <w:rFonts w:ascii="Arial" w:eastAsia="Arial" w:hAnsi="Arial" w:cs="Arial"/>
                        <w:noProof/>
                        <w:color w:val="FF0000"/>
                        <w:sz w:val="24"/>
                        <w:szCs w:val="24"/>
                      </w:rPr>
                    </w:pPr>
                    <w:r w:rsidRPr="00265E99">
                      <w:rPr>
                        <w:rFonts w:ascii="Arial" w:eastAsia="Arial" w:hAnsi="Arial" w:cs="Arial"/>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6C14" w14:textId="591A825D" w:rsidR="003F2154" w:rsidRDefault="00265E99" w:rsidP="005A629D">
    <w:pPr>
      <w:pStyle w:val="ProtectiveMarking"/>
    </w:pPr>
    <w:r>
      <mc:AlternateContent>
        <mc:Choice Requires="wps">
          <w:drawing>
            <wp:anchor distT="0" distB="0" distL="0" distR="0" simplePos="0" relativeHeight="251661315" behindDoc="0" locked="0" layoutInCell="1" allowOverlap="1" wp14:anchorId="690819F3" wp14:editId="40E4BCC2">
              <wp:simplePos x="542925" y="361950"/>
              <wp:positionH relativeFrom="page">
                <wp:align>center</wp:align>
              </wp:positionH>
              <wp:positionV relativeFrom="page">
                <wp:align>top</wp:align>
              </wp:positionV>
              <wp:extent cx="686435" cy="383540"/>
              <wp:effectExtent l="0" t="0" r="18415" b="16510"/>
              <wp:wrapNone/>
              <wp:docPr id="100169650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79DFAA39" w14:textId="14923828" w:rsidR="00265E99" w:rsidRPr="00265E99" w:rsidRDefault="00265E99" w:rsidP="00265E99">
                          <w:pPr>
                            <w:spacing w:after="0"/>
                            <w:rPr>
                              <w:rFonts w:ascii="Arial" w:eastAsia="Arial" w:hAnsi="Arial" w:cs="Arial"/>
                              <w:noProof/>
                              <w:color w:val="FF0000"/>
                              <w:sz w:val="24"/>
                              <w:szCs w:val="24"/>
                            </w:rPr>
                          </w:pPr>
                          <w:r w:rsidRPr="00265E99">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0819F3" id="_x0000_t202" coordsize="21600,21600" o:spt="202" path="m,l,21600r21600,l21600,xe">
              <v:stroke joinstyle="miter"/>
              <v:path gradientshapeok="t" o:connecttype="rect"/>
            </v:shapetype>
            <v:shape id="Text Box 3" o:spid="_x0000_s1027" type="#_x0000_t202" alt="OFFICIAL" style="position:absolute;left:0;text-align:left;margin-left:0;margin-top:0;width:54.05pt;height:30.2pt;z-index:25166131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" filled="f" stroked="f">
              <v:textbox style="mso-fit-shape-to-text:t" inset="0,15pt,0,0">
                <w:txbxContent>
                  <w:p w14:paraId="79DFAA39" w14:textId="14923828" w:rsidR="00265E99" w:rsidRPr="00265E99" w:rsidRDefault="00265E99" w:rsidP="00265E99">
                    <w:pPr>
                      <w:spacing w:after="0"/>
                      <w:rPr>
                        <w:rFonts w:ascii="Arial" w:eastAsia="Arial" w:hAnsi="Arial" w:cs="Arial"/>
                        <w:noProof/>
                        <w:color w:val="FF0000"/>
                        <w:sz w:val="24"/>
                        <w:szCs w:val="24"/>
                      </w:rPr>
                    </w:pPr>
                    <w:r w:rsidRPr="00265E99">
                      <w:rPr>
                        <w:rFonts w:ascii="Arial" w:eastAsia="Arial" w:hAnsi="Arial" w:cs="Arial"/>
                        <w:noProof/>
                        <w:color w:val="FF0000"/>
                        <w:sz w:val="24"/>
                        <w:szCs w:val="24"/>
                      </w:rPr>
                      <w:t>OFFICIAL</w:t>
                    </w:r>
                  </w:p>
                </w:txbxContent>
              </v:textbox>
              <w10:wrap anchorx="page" anchory="page"/>
            </v:shape>
          </w:pict>
        </mc:Fallback>
      </mc:AlternateContent>
    </w:r>
    <w:sdt>
      <w:sdtPr>
        <w:alias w:val="Classification"/>
        <w:tag w:val="Classification"/>
        <w:id w:val="405574941"/>
        <w:showingPlcHdr/>
        <w:dataBinding w:xpath="/root[1]/Classification[1]" w:storeItemID="{00000000-0000-0000-0000-000000000000}"/>
        <w:text/>
      </w:sdtPr>
      <w:sdtContent>
        <w:r w:rsidR="003F2154">
          <w:t xml:space="preserve">     </w:t>
        </w:r>
      </w:sdtContent>
    </w:sdt>
  </w:p>
  <w:p w14:paraId="227B2C56" w14:textId="77777777" w:rsidR="003F2154" w:rsidRDefault="003F2154">
    <w:pPr>
      <w:pStyle w:val="Header"/>
    </w:pPr>
  </w:p>
  <w:p w14:paraId="6A609663" w14:textId="77777777" w:rsidR="003F2154" w:rsidRDefault="003F2154">
    <w:pPr>
      <w:pStyle w:val="Header"/>
    </w:pPr>
  </w:p>
  <w:p w14:paraId="1676482E" w14:textId="77777777" w:rsidR="003F2154" w:rsidRDefault="003F21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7A3C8" w14:textId="61A03238" w:rsidR="003F2154" w:rsidRDefault="00265E99" w:rsidP="002B5D09">
    <w:pPr>
      <w:pStyle w:val="Header"/>
      <w:tabs>
        <w:tab w:val="clear" w:pos="4513"/>
        <w:tab w:val="clear" w:pos="9026"/>
        <w:tab w:val="left" w:pos="4100"/>
      </w:tabs>
    </w:pPr>
    <w:r>
      <w:rPr>
        <w:noProof/>
        <w:lang w:eastAsia="en-AU"/>
      </w:rPr>
      <mc:AlternateContent>
        <mc:Choice Requires="wps">
          <w:drawing>
            <wp:anchor distT="0" distB="0" distL="0" distR="0" simplePos="0" relativeHeight="251659267" behindDoc="0" locked="0" layoutInCell="1" allowOverlap="1" wp14:anchorId="59B37020" wp14:editId="313C7274">
              <wp:simplePos x="0" y="0"/>
              <wp:positionH relativeFrom="margin">
                <wp:align>center</wp:align>
              </wp:positionH>
              <wp:positionV relativeFrom="page">
                <wp:posOffset>1276350</wp:posOffset>
              </wp:positionV>
              <wp:extent cx="686435" cy="383540"/>
              <wp:effectExtent l="0" t="0" r="18415" b="16510"/>
              <wp:wrapNone/>
              <wp:docPr id="45577510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30693203" w14:textId="4EB0732F" w:rsidR="00265E99" w:rsidRPr="00265E99" w:rsidRDefault="00265E99" w:rsidP="00265E99">
                          <w:pPr>
                            <w:spacing w:after="0"/>
                            <w:rPr>
                              <w:rFonts w:ascii="Arial" w:eastAsia="Arial" w:hAnsi="Arial" w:cs="Arial"/>
                              <w:noProof/>
                              <w:color w:val="FF0000"/>
                              <w:sz w:val="24"/>
                              <w:szCs w:val="24"/>
                            </w:rPr>
                          </w:pPr>
                          <w:r w:rsidRPr="00265E99">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B37020" id="_x0000_t202" coordsize="21600,21600" o:spt="202" path="m,l,21600r21600,l21600,xe">
              <v:stroke joinstyle="miter"/>
              <v:path gradientshapeok="t" o:connecttype="rect"/>
            </v:shapetype>
            <v:shape id="Text Box 1" o:spid="_x0000_s1030" type="#_x0000_t202" alt="OFFICIAL" style="position:absolute;margin-left:0;margin-top:100.5pt;width:54.05pt;height:30.2pt;z-index:251659267;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" filled="f" stroked="f">
              <v:textbox style="mso-fit-shape-to-text:t" inset="0,15pt,0,0">
                <w:txbxContent>
                  <w:p w14:paraId="30693203" w14:textId="4EB0732F" w:rsidR="00265E99" w:rsidRPr="00265E99" w:rsidRDefault="00265E99" w:rsidP="00265E99">
                    <w:pPr>
                      <w:spacing w:after="0"/>
                      <w:rPr>
                        <w:rFonts w:ascii="Arial" w:eastAsia="Arial" w:hAnsi="Arial" w:cs="Arial"/>
                        <w:noProof/>
                        <w:color w:val="FF0000"/>
                        <w:sz w:val="24"/>
                        <w:szCs w:val="24"/>
                      </w:rPr>
                    </w:pPr>
                    <w:r w:rsidRPr="00265E99">
                      <w:rPr>
                        <w:rFonts w:ascii="Arial" w:eastAsia="Arial" w:hAnsi="Arial" w:cs="Arial"/>
                        <w:noProof/>
                        <w:color w:val="FF0000"/>
                        <w:sz w:val="24"/>
                        <w:szCs w:val="24"/>
                      </w:rPr>
                      <w:t>OFFICIAL</w:t>
                    </w:r>
                  </w:p>
                </w:txbxContent>
              </v:textbox>
              <w10:wrap anchorx="margin" anchory="page"/>
            </v:shape>
          </w:pict>
        </mc:Fallback>
      </mc:AlternateContent>
    </w:r>
    <w:r w:rsidR="003F2154">
      <w:rPr>
        <w:noProof/>
        <w:lang w:eastAsia="en-AU"/>
      </w:rPr>
      <w:drawing>
        <wp:anchor distT="0" distB="0" distL="114300" distR="114300" simplePos="0" relativeHeight="251658242" behindDoc="1" locked="0" layoutInCell="1" allowOverlap="1" wp14:anchorId="662BE861" wp14:editId="3D7ECA66">
          <wp:simplePos x="0" y="0"/>
          <wp:positionH relativeFrom="page">
            <wp:posOffset>-2540</wp:posOffset>
          </wp:positionH>
          <wp:positionV relativeFrom="paragraph">
            <wp:posOffset>-355410</wp:posOffset>
          </wp:positionV>
          <wp:extent cx="7555654" cy="1331347"/>
          <wp:effectExtent l="0" t="0" r="7620" b="2540"/>
          <wp:wrapNone/>
          <wp:docPr id="6" name="Picture 6" descr="Australian Government&#10;National indigenous Australians Agency&#10;Working with Aboriginal and Torres Strait Islander peo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23_ORIGINAL_Word_Template_Head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54" cy="13313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54A"/>
    <w:multiLevelType w:val="hybridMultilevel"/>
    <w:tmpl w:val="2126FACA"/>
    <w:lvl w:ilvl="0" w:tplc="20409BF8">
      <w:start w:val="1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0C69371C"/>
    <w:multiLevelType w:val="multilevel"/>
    <w:tmpl w:val="B2D40500"/>
    <w:lvl w:ilvl="0">
      <w:start w:val="1"/>
      <w:numFmt w:val="decimal"/>
      <w:pStyle w:val="List"/>
      <w:lvlText w:val="%1"/>
      <w:lvlJc w:val="left"/>
      <w:pPr>
        <w:ind w:left="403" w:hanging="288"/>
      </w:pPr>
      <w:rPr>
        <w:rFonts w:hint="default"/>
        <w:color w:val="2A4055" w:themeColor="accent1"/>
      </w:rPr>
    </w:lvl>
    <w:lvl w:ilvl="1">
      <w:start w:val="1"/>
      <w:numFmt w:val="lowerRoman"/>
      <w:lvlText w:val="%2"/>
      <w:lvlJc w:val="left"/>
      <w:pPr>
        <w:ind w:left="691" w:hanging="288"/>
      </w:pPr>
      <w:rPr>
        <w:rFonts w:hint="default"/>
        <w:color w:val="2A4055" w:themeColor="accent1"/>
      </w:rPr>
    </w:lvl>
    <w:lvl w:ilvl="2">
      <w:start w:val="1"/>
      <w:numFmt w:val="upperRoman"/>
      <w:lvlText w:val="%3"/>
      <w:lvlJc w:val="left"/>
      <w:pPr>
        <w:ind w:left="979" w:hanging="288"/>
      </w:pPr>
      <w:rPr>
        <w:rFonts w:hint="default"/>
        <w:color w:val="2A4055"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3"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6965F8"/>
    <w:multiLevelType w:val="hybridMultilevel"/>
    <w:tmpl w:val="3E4A0E1C"/>
    <w:lvl w:ilvl="0" w:tplc="814CC7D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520959"/>
    <w:multiLevelType w:val="multilevel"/>
    <w:tmpl w:val="1C9E25B2"/>
    <w:lvl w:ilvl="0">
      <w:start w:val="1"/>
      <w:numFmt w:val="decimal"/>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6" w15:restartNumberingAfterBreak="0">
    <w:nsid w:val="39BD5872"/>
    <w:multiLevelType w:val="hybridMultilevel"/>
    <w:tmpl w:val="B944D3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B8C3CC7"/>
    <w:multiLevelType w:val="hybridMultilevel"/>
    <w:tmpl w:val="B8148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20289B"/>
    <w:multiLevelType w:val="hybridMultilevel"/>
    <w:tmpl w:val="4E5A6638"/>
    <w:lvl w:ilvl="0" w:tplc="29608FB4">
      <w:start w:val="4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295A5E"/>
    <w:multiLevelType w:val="hybridMultilevel"/>
    <w:tmpl w:val="025CC4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1" w15:restartNumberingAfterBreak="0">
    <w:nsid w:val="560C4566"/>
    <w:multiLevelType w:val="hybridMultilevel"/>
    <w:tmpl w:val="A36E20DC"/>
    <w:lvl w:ilvl="0" w:tplc="0AA6E69C">
      <w:start w:val="4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8E3684"/>
    <w:multiLevelType w:val="hybridMultilevel"/>
    <w:tmpl w:val="3F5E85A4"/>
    <w:lvl w:ilvl="0" w:tplc="960E0836">
      <w:start w:val="2639"/>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F15E58"/>
    <w:multiLevelType w:val="hybridMultilevel"/>
    <w:tmpl w:val="169EFE34"/>
    <w:lvl w:ilvl="0" w:tplc="A0AA187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576922"/>
    <w:multiLevelType w:val="multilevel"/>
    <w:tmpl w:val="06CC3398"/>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5" w15:restartNumberingAfterBreak="0">
    <w:nsid w:val="608F21F8"/>
    <w:multiLevelType w:val="multilevel"/>
    <w:tmpl w:val="1A9C3E20"/>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6" w15:restartNumberingAfterBreak="0">
    <w:nsid w:val="63504756"/>
    <w:multiLevelType w:val="hybridMultilevel"/>
    <w:tmpl w:val="365E3B2A"/>
    <w:lvl w:ilvl="0" w:tplc="92C64172">
      <w:start w:val="1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B35BA4"/>
    <w:multiLevelType w:val="hybridMultilevel"/>
    <w:tmpl w:val="847E3660"/>
    <w:lvl w:ilvl="0" w:tplc="BF20DB1C">
      <w:start w:val="2639"/>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EF1E09"/>
    <w:multiLevelType w:val="multilevel"/>
    <w:tmpl w:val="3E9C3620"/>
    <w:lvl w:ilvl="0">
      <w:start w:val="1"/>
      <w:numFmt w:val="decimal"/>
      <w:pStyle w:val="NumberedListlevel1"/>
      <w:lvlText w:val="%1."/>
      <w:lvlJc w:val="left"/>
      <w:pPr>
        <w:ind w:left="567" w:hanging="283"/>
      </w:pPr>
      <w:rPr>
        <w:rFonts w:hint="default"/>
      </w:rPr>
    </w:lvl>
    <w:lvl w:ilvl="1">
      <w:start w:val="1"/>
      <w:numFmt w:val="lowerLetter"/>
      <w:pStyle w:val="NumberedListlevel2"/>
      <w:lvlText w:val="%2."/>
      <w:lvlJc w:val="left"/>
      <w:pPr>
        <w:ind w:left="1021" w:hanging="283"/>
      </w:pPr>
      <w:rPr>
        <w:rFonts w:hint="default"/>
      </w:rPr>
    </w:lvl>
    <w:lvl w:ilvl="2">
      <w:start w:val="1"/>
      <w:numFmt w:val="lowerRoman"/>
      <w:pStyle w:val="NumberedListleve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9"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6A6B07"/>
    <w:multiLevelType w:val="multilevel"/>
    <w:tmpl w:val="C3BECF7C"/>
    <w:lvl w:ilvl="0">
      <w:start w:val="1"/>
      <w:numFmt w:val="bullet"/>
      <w:pStyle w:val="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21" w15:restartNumberingAfterBreak="0">
    <w:nsid w:val="7467607E"/>
    <w:multiLevelType w:val="hybridMultilevel"/>
    <w:tmpl w:val="90D6E036"/>
    <w:lvl w:ilvl="0" w:tplc="7B249CC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5535954">
    <w:abstractNumId w:val="3"/>
  </w:num>
  <w:num w:numId="2" w16cid:durableId="437606528">
    <w:abstractNumId w:val="14"/>
  </w:num>
  <w:num w:numId="3" w16cid:durableId="350450423">
    <w:abstractNumId w:val="5"/>
  </w:num>
  <w:num w:numId="4" w16cid:durableId="1065954935">
    <w:abstractNumId w:val="19"/>
  </w:num>
  <w:num w:numId="5" w16cid:durableId="166865090">
    <w:abstractNumId w:val="15"/>
  </w:num>
  <w:num w:numId="6" w16cid:durableId="1351493899">
    <w:abstractNumId w:val="14"/>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16cid:durableId="2136486000">
    <w:abstractNumId w:val="5"/>
    <w:lvlOverride w:ilvl="0">
      <w:lvl w:ilvl="0">
        <w:start w:val="1"/>
        <w:numFmt w:val="decimal"/>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16cid:durableId="13378100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2148511">
    <w:abstractNumId w:val="5"/>
    <w:lvlOverride w:ilvl="0">
      <w:lvl w:ilvl="0">
        <w:start w:val="1"/>
        <w:numFmt w:val="decimal"/>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16cid:durableId="623583363">
    <w:abstractNumId w:val="5"/>
    <w:lvlOverride w:ilvl="0">
      <w:startOverride w:val="1"/>
      <w:lvl w:ilvl="0">
        <w:start w:val="1"/>
        <w:numFmt w:val="decimal"/>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16cid:durableId="376003696">
    <w:abstractNumId w:val="5"/>
    <w:lvlOverride w:ilvl="0">
      <w:startOverride w:val="1"/>
      <w:lvl w:ilvl="0">
        <w:start w:val="1"/>
        <w:numFmt w:val="decimal"/>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16cid:durableId="1419450626">
    <w:abstractNumId w:val="5"/>
    <w:lvlOverride w:ilvl="0">
      <w:startOverride w:val="1"/>
      <w:lvl w:ilvl="0">
        <w:start w:val="1"/>
        <w:numFmt w:val="decimal"/>
        <w:lvlText w:val="%1."/>
        <w:lvlJc w:val="left"/>
        <w:pPr>
          <w:ind w:left="397" w:hanging="397"/>
        </w:pPr>
        <w:rPr>
          <w:rFonts w:hint="default"/>
          <w:color w:val="D1D1D1"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16cid:durableId="1342051118">
    <w:abstractNumId w:val="15"/>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16cid:durableId="520320245">
    <w:abstractNumId w:val="15"/>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16cid:durableId="148834062">
    <w:abstractNumId w:val="5"/>
    <w:lvlOverride w:ilvl="0">
      <w:lvl w:ilvl="0">
        <w:start w:val="1"/>
        <w:numFmt w:val="decimal"/>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16cid:durableId="750084234">
    <w:abstractNumId w:val="5"/>
    <w:lvlOverride w:ilvl="0">
      <w:lvl w:ilvl="0">
        <w:start w:val="1"/>
        <w:numFmt w:val="decimal"/>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16cid:durableId="1287153284">
    <w:abstractNumId w:val="2"/>
  </w:num>
  <w:num w:numId="18" w16cid:durableId="707804947">
    <w:abstractNumId w:val="2"/>
    <w:lvlOverride w:ilvl="0">
      <w:lvl w:ilvl="0">
        <w:start w:val="1"/>
        <w:numFmt w:val="decimal"/>
        <w:pStyle w:val="List"/>
        <w:lvlText w:val="%1"/>
        <w:lvlJc w:val="left"/>
        <w:pPr>
          <w:ind w:left="432" w:hanging="317"/>
        </w:pPr>
        <w:rPr>
          <w:rFonts w:hint="default"/>
          <w:color w:val="2A4055" w:themeColor="accent1"/>
        </w:rPr>
      </w:lvl>
    </w:lvlOverride>
    <w:lvlOverride w:ilvl="1">
      <w:lvl w:ilvl="1">
        <w:start w:val="1"/>
        <w:numFmt w:val="lowerRoman"/>
        <w:lvlText w:val="%2"/>
        <w:lvlJc w:val="left"/>
        <w:pPr>
          <w:ind w:left="720" w:hanging="317"/>
        </w:pPr>
        <w:rPr>
          <w:rFonts w:hint="default"/>
          <w:color w:val="2A4055" w:themeColor="accent1"/>
        </w:rPr>
      </w:lvl>
    </w:lvlOverride>
    <w:lvlOverride w:ilvl="2">
      <w:lvl w:ilvl="2">
        <w:start w:val="1"/>
        <w:numFmt w:val="upperRoman"/>
        <w:lvlText w:val="%3"/>
        <w:lvlJc w:val="left"/>
        <w:pPr>
          <w:ind w:left="1008" w:hanging="317"/>
        </w:pPr>
        <w:rPr>
          <w:rFonts w:hint="default"/>
          <w:color w:val="2A4055"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16cid:durableId="1517572167">
    <w:abstractNumId w:val="10"/>
  </w:num>
  <w:num w:numId="20" w16cid:durableId="1659461554">
    <w:abstractNumId w:val="20"/>
  </w:num>
  <w:num w:numId="21" w16cid:durableId="1119684977">
    <w:abstractNumId w:val="1"/>
  </w:num>
  <w:num w:numId="22" w16cid:durableId="1763601930">
    <w:abstractNumId w:val="18"/>
  </w:num>
  <w:num w:numId="23" w16cid:durableId="688527679">
    <w:abstractNumId w:val="18"/>
    <w:lvlOverride w:ilvl="0">
      <w:lvl w:ilvl="0">
        <w:start w:val="1"/>
        <w:numFmt w:val="decimal"/>
        <w:pStyle w:val="NumberedListlevel1"/>
        <w:lvlText w:val="%1."/>
        <w:lvlJc w:val="left"/>
        <w:pPr>
          <w:ind w:left="567" w:hanging="283"/>
        </w:pPr>
        <w:rPr>
          <w:rFonts w:hint="default"/>
        </w:rPr>
      </w:lvl>
    </w:lvlOverride>
    <w:lvlOverride w:ilvl="1">
      <w:lvl w:ilvl="1">
        <w:start w:val="1"/>
        <w:numFmt w:val="lowerLetter"/>
        <w:pStyle w:val="NumberedListlevel2"/>
        <w:lvlText w:val="%2."/>
        <w:lvlJc w:val="left"/>
        <w:pPr>
          <w:ind w:left="1021" w:hanging="283"/>
        </w:pPr>
        <w:rPr>
          <w:rFonts w:hint="default"/>
        </w:rPr>
      </w:lvl>
    </w:lvlOverride>
    <w:lvlOverride w:ilvl="2">
      <w:lvl w:ilvl="2">
        <w:start w:val="1"/>
        <w:numFmt w:val="lowerRoman"/>
        <w:pStyle w:val="NumberedListleve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16cid:durableId="519055211">
    <w:abstractNumId w:val="5"/>
    <w:lvlOverride w:ilvl="0">
      <w:startOverride w:val="1"/>
      <w:lvl w:ilvl="0">
        <w:start w:val="1"/>
        <w:numFmt w:val="decimal"/>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16cid:durableId="1499923924">
    <w:abstractNumId w:val="5"/>
    <w:lvlOverride w:ilvl="0">
      <w:startOverride w:val="1"/>
      <w:lvl w:ilvl="0">
        <w:start w:val="1"/>
        <w:numFmt w:val="decimal"/>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16cid:durableId="574441893">
    <w:abstractNumId w:val="5"/>
    <w:lvlOverride w:ilvl="0">
      <w:startOverride w:val="1"/>
      <w:lvl w:ilvl="0">
        <w:start w:val="1"/>
        <w:numFmt w:val="decimal"/>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16cid:durableId="33432978">
    <w:abstractNumId w:val="21"/>
  </w:num>
  <w:num w:numId="28" w16cid:durableId="573706283">
    <w:abstractNumId w:val="8"/>
  </w:num>
  <w:num w:numId="29" w16cid:durableId="513961823">
    <w:abstractNumId w:val="11"/>
  </w:num>
  <w:num w:numId="30" w16cid:durableId="1495880049">
    <w:abstractNumId w:val="9"/>
  </w:num>
  <w:num w:numId="31" w16cid:durableId="934095343">
    <w:abstractNumId w:val="6"/>
  </w:num>
  <w:num w:numId="32" w16cid:durableId="717778475">
    <w:abstractNumId w:val="4"/>
  </w:num>
  <w:num w:numId="33" w16cid:durableId="1968004284">
    <w:abstractNumId w:val="7"/>
  </w:num>
  <w:num w:numId="34" w16cid:durableId="1732078895">
    <w:abstractNumId w:val="12"/>
  </w:num>
  <w:num w:numId="35" w16cid:durableId="2076539262">
    <w:abstractNumId w:val="17"/>
  </w:num>
  <w:num w:numId="36" w16cid:durableId="1713993489">
    <w:abstractNumId w:val="0"/>
  </w:num>
  <w:num w:numId="37" w16cid:durableId="235359432">
    <w:abstractNumId w:val="16"/>
  </w:num>
  <w:num w:numId="38" w16cid:durableId="7381320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76"/>
    <w:rsid w:val="00001293"/>
    <w:rsid w:val="00002F73"/>
    <w:rsid w:val="00003631"/>
    <w:rsid w:val="000040C0"/>
    <w:rsid w:val="00006207"/>
    <w:rsid w:val="00007CDA"/>
    <w:rsid w:val="00007EB1"/>
    <w:rsid w:val="000106CE"/>
    <w:rsid w:val="00010A9C"/>
    <w:rsid w:val="00010FC5"/>
    <w:rsid w:val="0001359E"/>
    <w:rsid w:val="00014206"/>
    <w:rsid w:val="000159C1"/>
    <w:rsid w:val="00020E09"/>
    <w:rsid w:val="00022C38"/>
    <w:rsid w:val="000230F3"/>
    <w:rsid w:val="000236E7"/>
    <w:rsid w:val="00023AC4"/>
    <w:rsid w:val="000304B2"/>
    <w:rsid w:val="000304BE"/>
    <w:rsid w:val="00031B5C"/>
    <w:rsid w:val="000336DC"/>
    <w:rsid w:val="00034193"/>
    <w:rsid w:val="00034FEC"/>
    <w:rsid w:val="0004082F"/>
    <w:rsid w:val="0004108F"/>
    <w:rsid w:val="00042E89"/>
    <w:rsid w:val="00044B3D"/>
    <w:rsid w:val="00044BF9"/>
    <w:rsid w:val="00046117"/>
    <w:rsid w:val="000503A6"/>
    <w:rsid w:val="00050D34"/>
    <w:rsid w:val="00053CD9"/>
    <w:rsid w:val="00055DDF"/>
    <w:rsid w:val="00055DEA"/>
    <w:rsid w:val="00057B46"/>
    <w:rsid w:val="00060427"/>
    <w:rsid w:val="00060FD0"/>
    <w:rsid w:val="00062FDC"/>
    <w:rsid w:val="00063034"/>
    <w:rsid w:val="00070535"/>
    <w:rsid w:val="000721A1"/>
    <w:rsid w:val="00073D09"/>
    <w:rsid w:val="00073D52"/>
    <w:rsid w:val="00076AD1"/>
    <w:rsid w:val="000772CA"/>
    <w:rsid w:val="000803CA"/>
    <w:rsid w:val="00080602"/>
    <w:rsid w:val="00080679"/>
    <w:rsid w:val="00081FD7"/>
    <w:rsid w:val="000820C8"/>
    <w:rsid w:val="000835A1"/>
    <w:rsid w:val="00083C67"/>
    <w:rsid w:val="00084482"/>
    <w:rsid w:val="00084F08"/>
    <w:rsid w:val="00085E29"/>
    <w:rsid w:val="00087228"/>
    <w:rsid w:val="00091654"/>
    <w:rsid w:val="00091BCD"/>
    <w:rsid w:val="0009265A"/>
    <w:rsid w:val="00092CC1"/>
    <w:rsid w:val="00093EEF"/>
    <w:rsid w:val="00094B02"/>
    <w:rsid w:val="00095562"/>
    <w:rsid w:val="0009590F"/>
    <w:rsid w:val="00095BED"/>
    <w:rsid w:val="00095BF3"/>
    <w:rsid w:val="000A041E"/>
    <w:rsid w:val="000A08CA"/>
    <w:rsid w:val="000A0E4C"/>
    <w:rsid w:val="000A1D8A"/>
    <w:rsid w:val="000A601B"/>
    <w:rsid w:val="000B07E4"/>
    <w:rsid w:val="000B1EA0"/>
    <w:rsid w:val="000C29C5"/>
    <w:rsid w:val="000C3AFE"/>
    <w:rsid w:val="000C48DA"/>
    <w:rsid w:val="000C543A"/>
    <w:rsid w:val="000D106A"/>
    <w:rsid w:val="000D113F"/>
    <w:rsid w:val="000D16A7"/>
    <w:rsid w:val="000D2ACF"/>
    <w:rsid w:val="000D2E56"/>
    <w:rsid w:val="000D54E3"/>
    <w:rsid w:val="000D69A6"/>
    <w:rsid w:val="000E351D"/>
    <w:rsid w:val="000E5DF3"/>
    <w:rsid w:val="000E60F7"/>
    <w:rsid w:val="000F1B86"/>
    <w:rsid w:val="000F23B0"/>
    <w:rsid w:val="000F2D70"/>
    <w:rsid w:val="000F43B2"/>
    <w:rsid w:val="000F4D62"/>
    <w:rsid w:val="000F5620"/>
    <w:rsid w:val="000F5917"/>
    <w:rsid w:val="001007B9"/>
    <w:rsid w:val="0010143D"/>
    <w:rsid w:val="00104A70"/>
    <w:rsid w:val="00105ECB"/>
    <w:rsid w:val="0010619B"/>
    <w:rsid w:val="00106B55"/>
    <w:rsid w:val="00110976"/>
    <w:rsid w:val="00111A7D"/>
    <w:rsid w:val="00113F65"/>
    <w:rsid w:val="001151F1"/>
    <w:rsid w:val="00121D5D"/>
    <w:rsid w:val="00124880"/>
    <w:rsid w:val="001249EF"/>
    <w:rsid w:val="00124FAE"/>
    <w:rsid w:val="00126A03"/>
    <w:rsid w:val="00131315"/>
    <w:rsid w:val="00131B7A"/>
    <w:rsid w:val="00132268"/>
    <w:rsid w:val="001336CF"/>
    <w:rsid w:val="0013445D"/>
    <w:rsid w:val="0013529C"/>
    <w:rsid w:val="00137246"/>
    <w:rsid w:val="00142323"/>
    <w:rsid w:val="00142879"/>
    <w:rsid w:val="00143288"/>
    <w:rsid w:val="00143728"/>
    <w:rsid w:val="00143C8A"/>
    <w:rsid w:val="00146E54"/>
    <w:rsid w:val="0015020D"/>
    <w:rsid w:val="00152B50"/>
    <w:rsid w:val="00153D05"/>
    <w:rsid w:val="001540E7"/>
    <w:rsid w:val="0015537B"/>
    <w:rsid w:val="00157ADB"/>
    <w:rsid w:val="00160BD6"/>
    <w:rsid w:val="00160E15"/>
    <w:rsid w:val="0016463D"/>
    <w:rsid w:val="0016781C"/>
    <w:rsid w:val="00170A47"/>
    <w:rsid w:val="001727AF"/>
    <w:rsid w:val="00172F9A"/>
    <w:rsid w:val="00173396"/>
    <w:rsid w:val="00174C5F"/>
    <w:rsid w:val="00175AE2"/>
    <w:rsid w:val="00176EA5"/>
    <w:rsid w:val="00177611"/>
    <w:rsid w:val="0017798C"/>
    <w:rsid w:val="001809C6"/>
    <w:rsid w:val="00180FD5"/>
    <w:rsid w:val="00181C56"/>
    <w:rsid w:val="00183FA2"/>
    <w:rsid w:val="001850CB"/>
    <w:rsid w:val="001912A0"/>
    <w:rsid w:val="00193036"/>
    <w:rsid w:val="00193D6D"/>
    <w:rsid w:val="001943D9"/>
    <w:rsid w:val="001953CF"/>
    <w:rsid w:val="00195BA8"/>
    <w:rsid w:val="00196C94"/>
    <w:rsid w:val="001A0521"/>
    <w:rsid w:val="001A1957"/>
    <w:rsid w:val="001A2291"/>
    <w:rsid w:val="001A2F86"/>
    <w:rsid w:val="001A6521"/>
    <w:rsid w:val="001A65B5"/>
    <w:rsid w:val="001A6A15"/>
    <w:rsid w:val="001A7A44"/>
    <w:rsid w:val="001B0144"/>
    <w:rsid w:val="001B10ED"/>
    <w:rsid w:val="001B1274"/>
    <w:rsid w:val="001B4527"/>
    <w:rsid w:val="001B4ABB"/>
    <w:rsid w:val="001B5E1D"/>
    <w:rsid w:val="001B66D8"/>
    <w:rsid w:val="001B6BE0"/>
    <w:rsid w:val="001B6E60"/>
    <w:rsid w:val="001C2F4B"/>
    <w:rsid w:val="001C2FC8"/>
    <w:rsid w:val="001C3D74"/>
    <w:rsid w:val="001C4D03"/>
    <w:rsid w:val="001C63DF"/>
    <w:rsid w:val="001C6C71"/>
    <w:rsid w:val="001C7353"/>
    <w:rsid w:val="001C7783"/>
    <w:rsid w:val="001D283B"/>
    <w:rsid w:val="001E0652"/>
    <w:rsid w:val="001E1AC0"/>
    <w:rsid w:val="001E20A9"/>
    <w:rsid w:val="001E36EC"/>
    <w:rsid w:val="001E4245"/>
    <w:rsid w:val="001E589F"/>
    <w:rsid w:val="001F0654"/>
    <w:rsid w:val="001F06C0"/>
    <w:rsid w:val="001F3722"/>
    <w:rsid w:val="001F420D"/>
    <w:rsid w:val="001F6D32"/>
    <w:rsid w:val="001F738E"/>
    <w:rsid w:val="001F7942"/>
    <w:rsid w:val="0020007C"/>
    <w:rsid w:val="00200198"/>
    <w:rsid w:val="00200929"/>
    <w:rsid w:val="00200A19"/>
    <w:rsid w:val="00200A3A"/>
    <w:rsid w:val="002033CB"/>
    <w:rsid w:val="00203AEC"/>
    <w:rsid w:val="0020407B"/>
    <w:rsid w:val="00206976"/>
    <w:rsid w:val="00207FAF"/>
    <w:rsid w:val="002120FA"/>
    <w:rsid w:val="0021247A"/>
    <w:rsid w:val="00215E1A"/>
    <w:rsid w:val="00217928"/>
    <w:rsid w:val="00217D02"/>
    <w:rsid w:val="00220D65"/>
    <w:rsid w:val="002211CE"/>
    <w:rsid w:val="00221768"/>
    <w:rsid w:val="0022271F"/>
    <w:rsid w:val="002229A5"/>
    <w:rsid w:val="0022342E"/>
    <w:rsid w:val="00224D99"/>
    <w:rsid w:val="00225009"/>
    <w:rsid w:val="00225FA9"/>
    <w:rsid w:val="0023127C"/>
    <w:rsid w:val="002312C0"/>
    <w:rsid w:val="002317BD"/>
    <w:rsid w:val="00231B22"/>
    <w:rsid w:val="002338E3"/>
    <w:rsid w:val="002340BB"/>
    <w:rsid w:val="00234705"/>
    <w:rsid w:val="002372EF"/>
    <w:rsid w:val="00237365"/>
    <w:rsid w:val="00237B21"/>
    <w:rsid w:val="002401D6"/>
    <w:rsid w:val="0024129E"/>
    <w:rsid w:val="00241604"/>
    <w:rsid w:val="00246B55"/>
    <w:rsid w:val="002472A7"/>
    <w:rsid w:val="00247A96"/>
    <w:rsid w:val="00250BE6"/>
    <w:rsid w:val="00251862"/>
    <w:rsid w:val="00252F38"/>
    <w:rsid w:val="00254D23"/>
    <w:rsid w:val="00255DF8"/>
    <w:rsid w:val="00260C56"/>
    <w:rsid w:val="002620EB"/>
    <w:rsid w:val="002628E9"/>
    <w:rsid w:val="00262BE2"/>
    <w:rsid w:val="00263972"/>
    <w:rsid w:val="00264A5E"/>
    <w:rsid w:val="0026580C"/>
    <w:rsid w:val="00265E99"/>
    <w:rsid w:val="0027120F"/>
    <w:rsid w:val="00271572"/>
    <w:rsid w:val="0027170F"/>
    <w:rsid w:val="00271EE3"/>
    <w:rsid w:val="0027263C"/>
    <w:rsid w:val="00272834"/>
    <w:rsid w:val="00272993"/>
    <w:rsid w:val="00272C34"/>
    <w:rsid w:val="002737E5"/>
    <w:rsid w:val="002742FC"/>
    <w:rsid w:val="002753FA"/>
    <w:rsid w:val="00277016"/>
    <w:rsid w:val="0027769C"/>
    <w:rsid w:val="00280CF0"/>
    <w:rsid w:val="00281E3E"/>
    <w:rsid w:val="00283905"/>
    <w:rsid w:val="00284131"/>
    <w:rsid w:val="00284710"/>
    <w:rsid w:val="00285610"/>
    <w:rsid w:val="00287FD5"/>
    <w:rsid w:val="002902FB"/>
    <w:rsid w:val="00293746"/>
    <w:rsid w:val="00294D1D"/>
    <w:rsid w:val="00294FBA"/>
    <w:rsid w:val="002952F9"/>
    <w:rsid w:val="002955DD"/>
    <w:rsid w:val="00296522"/>
    <w:rsid w:val="0029686A"/>
    <w:rsid w:val="00297BA2"/>
    <w:rsid w:val="002A0289"/>
    <w:rsid w:val="002A1390"/>
    <w:rsid w:val="002A2976"/>
    <w:rsid w:val="002A371E"/>
    <w:rsid w:val="002A6B58"/>
    <w:rsid w:val="002B1551"/>
    <w:rsid w:val="002B40C4"/>
    <w:rsid w:val="002B4907"/>
    <w:rsid w:val="002B4B0A"/>
    <w:rsid w:val="002B5D09"/>
    <w:rsid w:val="002B5FE5"/>
    <w:rsid w:val="002B69AD"/>
    <w:rsid w:val="002B6ADA"/>
    <w:rsid w:val="002C0866"/>
    <w:rsid w:val="002C0B0E"/>
    <w:rsid w:val="002C253B"/>
    <w:rsid w:val="002C359A"/>
    <w:rsid w:val="002C390D"/>
    <w:rsid w:val="002C5F5B"/>
    <w:rsid w:val="002C777D"/>
    <w:rsid w:val="002D40B1"/>
    <w:rsid w:val="002D45CD"/>
    <w:rsid w:val="002D6903"/>
    <w:rsid w:val="002D75F9"/>
    <w:rsid w:val="002E07AC"/>
    <w:rsid w:val="002E5982"/>
    <w:rsid w:val="002E5C02"/>
    <w:rsid w:val="002E6863"/>
    <w:rsid w:val="002E6AA1"/>
    <w:rsid w:val="002F0349"/>
    <w:rsid w:val="002F0D5C"/>
    <w:rsid w:val="002F47C8"/>
    <w:rsid w:val="002F57C6"/>
    <w:rsid w:val="002F62F2"/>
    <w:rsid w:val="0030103B"/>
    <w:rsid w:val="003022E8"/>
    <w:rsid w:val="00303644"/>
    <w:rsid w:val="00303D3D"/>
    <w:rsid w:val="00304A9F"/>
    <w:rsid w:val="00304C70"/>
    <w:rsid w:val="003055DD"/>
    <w:rsid w:val="00305692"/>
    <w:rsid w:val="00307370"/>
    <w:rsid w:val="00307A69"/>
    <w:rsid w:val="00312430"/>
    <w:rsid w:val="00312917"/>
    <w:rsid w:val="00312E4A"/>
    <w:rsid w:val="00314BEB"/>
    <w:rsid w:val="0031546F"/>
    <w:rsid w:val="00315C00"/>
    <w:rsid w:val="00316B0D"/>
    <w:rsid w:val="00317427"/>
    <w:rsid w:val="003175DC"/>
    <w:rsid w:val="00321635"/>
    <w:rsid w:val="00321BFA"/>
    <w:rsid w:val="003224FE"/>
    <w:rsid w:val="0032367E"/>
    <w:rsid w:val="00326780"/>
    <w:rsid w:val="003300DB"/>
    <w:rsid w:val="0033088D"/>
    <w:rsid w:val="00331AA2"/>
    <w:rsid w:val="00332769"/>
    <w:rsid w:val="003339D7"/>
    <w:rsid w:val="00333B48"/>
    <w:rsid w:val="00335425"/>
    <w:rsid w:val="00335F77"/>
    <w:rsid w:val="003371F0"/>
    <w:rsid w:val="00340FAA"/>
    <w:rsid w:val="00345B55"/>
    <w:rsid w:val="003468E3"/>
    <w:rsid w:val="003500C6"/>
    <w:rsid w:val="00352652"/>
    <w:rsid w:val="0035304B"/>
    <w:rsid w:val="00353B35"/>
    <w:rsid w:val="00356FC6"/>
    <w:rsid w:val="00357154"/>
    <w:rsid w:val="003600E2"/>
    <w:rsid w:val="00360622"/>
    <w:rsid w:val="003634B1"/>
    <w:rsid w:val="0036358A"/>
    <w:rsid w:val="00363AE5"/>
    <w:rsid w:val="0036400D"/>
    <w:rsid w:val="003652AC"/>
    <w:rsid w:val="00366113"/>
    <w:rsid w:val="00367008"/>
    <w:rsid w:val="00367512"/>
    <w:rsid w:val="0037495E"/>
    <w:rsid w:val="00374E3B"/>
    <w:rsid w:val="00376F05"/>
    <w:rsid w:val="00380705"/>
    <w:rsid w:val="00382B67"/>
    <w:rsid w:val="00383326"/>
    <w:rsid w:val="00383EB0"/>
    <w:rsid w:val="00384750"/>
    <w:rsid w:val="003848EF"/>
    <w:rsid w:val="00385B65"/>
    <w:rsid w:val="00386555"/>
    <w:rsid w:val="003903CE"/>
    <w:rsid w:val="00391929"/>
    <w:rsid w:val="00391CEF"/>
    <w:rsid w:val="00391D9D"/>
    <w:rsid w:val="00393139"/>
    <w:rsid w:val="00393B7B"/>
    <w:rsid w:val="003946D4"/>
    <w:rsid w:val="003A0DEC"/>
    <w:rsid w:val="003A0E5A"/>
    <w:rsid w:val="003A3E57"/>
    <w:rsid w:val="003A77F5"/>
    <w:rsid w:val="003A7B68"/>
    <w:rsid w:val="003B44CB"/>
    <w:rsid w:val="003B4B37"/>
    <w:rsid w:val="003C2422"/>
    <w:rsid w:val="003C30FD"/>
    <w:rsid w:val="003C5D41"/>
    <w:rsid w:val="003C6961"/>
    <w:rsid w:val="003C72F2"/>
    <w:rsid w:val="003D21A3"/>
    <w:rsid w:val="003D33F7"/>
    <w:rsid w:val="003E09F3"/>
    <w:rsid w:val="003E6B8B"/>
    <w:rsid w:val="003E766D"/>
    <w:rsid w:val="003F017E"/>
    <w:rsid w:val="003F17BC"/>
    <w:rsid w:val="003F1A1E"/>
    <w:rsid w:val="003F2154"/>
    <w:rsid w:val="003F5F4B"/>
    <w:rsid w:val="003F779B"/>
    <w:rsid w:val="003F77D5"/>
    <w:rsid w:val="003F7E70"/>
    <w:rsid w:val="0040007F"/>
    <w:rsid w:val="004013AB"/>
    <w:rsid w:val="00402332"/>
    <w:rsid w:val="00404C21"/>
    <w:rsid w:val="0040648D"/>
    <w:rsid w:val="00406711"/>
    <w:rsid w:val="00410743"/>
    <w:rsid w:val="00411367"/>
    <w:rsid w:val="00414CEB"/>
    <w:rsid w:val="00415259"/>
    <w:rsid w:val="004159CE"/>
    <w:rsid w:val="004163FA"/>
    <w:rsid w:val="00416436"/>
    <w:rsid w:val="00421B81"/>
    <w:rsid w:val="00423326"/>
    <w:rsid w:val="00423E92"/>
    <w:rsid w:val="004257F1"/>
    <w:rsid w:val="0042613A"/>
    <w:rsid w:val="004267C0"/>
    <w:rsid w:val="00427097"/>
    <w:rsid w:val="00431B00"/>
    <w:rsid w:val="00431DA8"/>
    <w:rsid w:val="00435BCE"/>
    <w:rsid w:val="004366AE"/>
    <w:rsid w:val="00437572"/>
    <w:rsid w:val="00437BC9"/>
    <w:rsid w:val="0044338F"/>
    <w:rsid w:val="0044371A"/>
    <w:rsid w:val="0044455E"/>
    <w:rsid w:val="004463DF"/>
    <w:rsid w:val="0044689B"/>
    <w:rsid w:val="00450E39"/>
    <w:rsid w:val="00451804"/>
    <w:rsid w:val="00452FE9"/>
    <w:rsid w:val="00454696"/>
    <w:rsid w:val="00455A6C"/>
    <w:rsid w:val="004565D1"/>
    <w:rsid w:val="00461132"/>
    <w:rsid w:val="004616FF"/>
    <w:rsid w:val="00461C65"/>
    <w:rsid w:val="004625CE"/>
    <w:rsid w:val="00462BF3"/>
    <w:rsid w:val="004640BB"/>
    <w:rsid w:val="0046464C"/>
    <w:rsid w:val="00465649"/>
    <w:rsid w:val="0047077A"/>
    <w:rsid w:val="00470843"/>
    <w:rsid w:val="0047106C"/>
    <w:rsid w:val="004759ED"/>
    <w:rsid w:val="00476B40"/>
    <w:rsid w:val="00481233"/>
    <w:rsid w:val="00486059"/>
    <w:rsid w:val="004864E1"/>
    <w:rsid w:val="00487138"/>
    <w:rsid w:val="00491FED"/>
    <w:rsid w:val="004945F7"/>
    <w:rsid w:val="004957BB"/>
    <w:rsid w:val="00497F14"/>
    <w:rsid w:val="004A1563"/>
    <w:rsid w:val="004A280B"/>
    <w:rsid w:val="004A3658"/>
    <w:rsid w:val="004A7214"/>
    <w:rsid w:val="004B053F"/>
    <w:rsid w:val="004B199A"/>
    <w:rsid w:val="004B2CB0"/>
    <w:rsid w:val="004B3A4D"/>
    <w:rsid w:val="004B4F92"/>
    <w:rsid w:val="004B7B8B"/>
    <w:rsid w:val="004C18F6"/>
    <w:rsid w:val="004C39B6"/>
    <w:rsid w:val="004C46AE"/>
    <w:rsid w:val="004C6518"/>
    <w:rsid w:val="004D0B40"/>
    <w:rsid w:val="004D0DCD"/>
    <w:rsid w:val="004D1065"/>
    <w:rsid w:val="004D10E8"/>
    <w:rsid w:val="004D1940"/>
    <w:rsid w:val="004D24EB"/>
    <w:rsid w:val="004D42EE"/>
    <w:rsid w:val="004D688C"/>
    <w:rsid w:val="004D6C56"/>
    <w:rsid w:val="004D7861"/>
    <w:rsid w:val="004E04A5"/>
    <w:rsid w:val="004E0D6D"/>
    <w:rsid w:val="004E1401"/>
    <w:rsid w:val="004E192B"/>
    <w:rsid w:val="004E3EB8"/>
    <w:rsid w:val="004E513C"/>
    <w:rsid w:val="004E55E2"/>
    <w:rsid w:val="004E58AE"/>
    <w:rsid w:val="004E64BF"/>
    <w:rsid w:val="004E6B0C"/>
    <w:rsid w:val="004F054E"/>
    <w:rsid w:val="004F085F"/>
    <w:rsid w:val="004F0BD7"/>
    <w:rsid w:val="004F13FB"/>
    <w:rsid w:val="004F20A9"/>
    <w:rsid w:val="004F3669"/>
    <w:rsid w:val="004F391F"/>
    <w:rsid w:val="004F4CD8"/>
    <w:rsid w:val="004F6366"/>
    <w:rsid w:val="004F679C"/>
    <w:rsid w:val="004F73E8"/>
    <w:rsid w:val="00503B0C"/>
    <w:rsid w:val="0050562E"/>
    <w:rsid w:val="0050679A"/>
    <w:rsid w:val="005106C5"/>
    <w:rsid w:val="00510F66"/>
    <w:rsid w:val="00511320"/>
    <w:rsid w:val="00512847"/>
    <w:rsid w:val="0051316F"/>
    <w:rsid w:val="00515F99"/>
    <w:rsid w:val="00516C03"/>
    <w:rsid w:val="005176F4"/>
    <w:rsid w:val="0052265A"/>
    <w:rsid w:val="00523958"/>
    <w:rsid w:val="00526E8B"/>
    <w:rsid w:val="00530F88"/>
    <w:rsid w:val="0053301E"/>
    <w:rsid w:val="005339B5"/>
    <w:rsid w:val="005350C9"/>
    <w:rsid w:val="005370B2"/>
    <w:rsid w:val="005400C8"/>
    <w:rsid w:val="00542D8F"/>
    <w:rsid w:val="00543E44"/>
    <w:rsid w:val="00543FDE"/>
    <w:rsid w:val="00545D8B"/>
    <w:rsid w:val="005464F1"/>
    <w:rsid w:val="00546513"/>
    <w:rsid w:val="00552AB8"/>
    <w:rsid w:val="00552F1C"/>
    <w:rsid w:val="00554A7E"/>
    <w:rsid w:val="00557089"/>
    <w:rsid w:val="00557BBD"/>
    <w:rsid w:val="00560747"/>
    <w:rsid w:val="00562166"/>
    <w:rsid w:val="005678E4"/>
    <w:rsid w:val="00567A1A"/>
    <w:rsid w:val="00571D64"/>
    <w:rsid w:val="0057315D"/>
    <w:rsid w:val="00574F28"/>
    <w:rsid w:val="00575D41"/>
    <w:rsid w:val="00576C8D"/>
    <w:rsid w:val="00581F66"/>
    <w:rsid w:val="0058282C"/>
    <w:rsid w:val="0058396F"/>
    <w:rsid w:val="0058793B"/>
    <w:rsid w:val="0059060B"/>
    <w:rsid w:val="005917FA"/>
    <w:rsid w:val="00596BC4"/>
    <w:rsid w:val="00596D03"/>
    <w:rsid w:val="005A0614"/>
    <w:rsid w:val="005A0DE7"/>
    <w:rsid w:val="005A355D"/>
    <w:rsid w:val="005A6271"/>
    <w:rsid w:val="005A629D"/>
    <w:rsid w:val="005B15B0"/>
    <w:rsid w:val="005B1A4F"/>
    <w:rsid w:val="005B210C"/>
    <w:rsid w:val="005B241C"/>
    <w:rsid w:val="005B27D0"/>
    <w:rsid w:val="005B2EB4"/>
    <w:rsid w:val="005B3DBA"/>
    <w:rsid w:val="005B3E1B"/>
    <w:rsid w:val="005B4715"/>
    <w:rsid w:val="005B4FED"/>
    <w:rsid w:val="005B5D75"/>
    <w:rsid w:val="005B6280"/>
    <w:rsid w:val="005C15C4"/>
    <w:rsid w:val="005C699C"/>
    <w:rsid w:val="005C7655"/>
    <w:rsid w:val="005C7C79"/>
    <w:rsid w:val="005D1BC5"/>
    <w:rsid w:val="005D213A"/>
    <w:rsid w:val="005D2323"/>
    <w:rsid w:val="005D2D7A"/>
    <w:rsid w:val="005D328C"/>
    <w:rsid w:val="005D3BF3"/>
    <w:rsid w:val="005D4CA4"/>
    <w:rsid w:val="005D5198"/>
    <w:rsid w:val="005D6EE9"/>
    <w:rsid w:val="005D7026"/>
    <w:rsid w:val="005E0501"/>
    <w:rsid w:val="005E2691"/>
    <w:rsid w:val="005E40D4"/>
    <w:rsid w:val="005E50E9"/>
    <w:rsid w:val="005F0CF3"/>
    <w:rsid w:val="005F1F03"/>
    <w:rsid w:val="005F367D"/>
    <w:rsid w:val="005F3D48"/>
    <w:rsid w:val="005F41C2"/>
    <w:rsid w:val="005F79CC"/>
    <w:rsid w:val="006002BF"/>
    <w:rsid w:val="00602577"/>
    <w:rsid w:val="00602941"/>
    <w:rsid w:val="00603EA6"/>
    <w:rsid w:val="00603FC1"/>
    <w:rsid w:val="00604B90"/>
    <w:rsid w:val="0060588B"/>
    <w:rsid w:val="006066AC"/>
    <w:rsid w:val="00607805"/>
    <w:rsid w:val="00610349"/>
    <w:rsid w:val="0061255F"/>
    <w:rsid w:val="0061381E"/>
    <w:rsid w:val="00613895"/>
    <w:rsid w:val="006159CC"/>
    <w:rsid w:val="006173D0"/>
    <w:rsid w:val="006200EE"/>
    <w:rsid w:val="006201D7"/>
    <w:rsid w:val="006208C6"/>
    <w:rsid w:val="006265B0"/>
    <w:rsid w:val="006267BF"/>
    <w:rsid w:val="00626CA4"/>
    <w:rsid w:val="0062796C"/>
    <w:rsid w:val="0063451F"/>
    <w:rsid w:val="00636723"/>
    <w:rsid w:val="00640287"/>
    <w:rsid w:val="00640643"/>
    <w:rsid w:val="00641410"/>
    <w:rsid w:val="006427AA"/>
    <w:rsid w:val="006429D7"/>
    <w:rsid w:val="006438FF"/>
    <w:rsid w:val="006454DC"/>
    <w:rsid w:val="00646B4E"/>
    <w:rsid w:val="006518C8"/>
    <w:rsid w:val="00651CFC"/>
    <w:rsid w:val="006548C4"/>
    <w:rsid w:val="006553AB"/>
    <w:rsid w:val="006564EA"/>
    <w:rsid w:val="00657D2D"/>
    <w:rsid w:val="006609E6"/>
    <w:rsid w:val="00660F3D"/>
    <w:rsid w:val="0066182B"/>
    <w:rsid w:val="00661E36"/>
    <w:rsid w:val="006637E4"/>
    <w:rsid w:val="00663EAD"/>
    <w:rsid w:val="00664251"/>
    <w:rsid w:val="00666B08"/>
    <w:rsid w:val="00666B12"/>
    <w:rsid w:val="006674FC"/>
    <w:rsid w:val="00670446"/>
    <w:rsid w:val="006719C9"/>
    <w:rsid w:val="00671B6A"/>
    <w:rsid w:val="006757AA"/>
    <w:rsid w:val="00675B34"/>
    <w:rsid w:val="00675EDF"/>
    <w:rsid w:val="00682080"/>
    <w:rsid w:val="0068434A"/>
    <w:rsid w:val="00684490"/>
    <w:rsid w:val="00684ABF"/>
    <w:rsid w:val="006853E5"/>
    <w:rsid w:val="0068575D"/>
    <w:rsid w:val="00685BF1"/>
    <w:rsid w:val="006860D4"/>
    <w:rsid w:val="00687433"/>
    <w:rsid w:val="0069055D"/>
    <w:rsid w:val="00692A73"/>
    <w:rsid w:val="00692AE7"/>
    <w:rsid w:val="00696E9D"/>
    <w:rsid w:val="00697A16"/>
    <w:rsid w:val="00697F67"/>
    <w:rsid w:val="006A04F7"/>
    <w:rsid w:val="006A08BC"/>
    <w:rsid w:val="006A131D"/>
    <w:rsid w:val="006A2795"/>
    <w:rsid w:val="006A32E2"/>
    <w:rsid w:val="006A3962"/>
    <w:rsid w:val="006A39D8"/>
    <w:rsid w:val="006A4359"/>
    <w:rsid w:val="006A72D0"/>
    <w:rsid w:val="006A7A02"/>
    <w:rsid w:val="006B0488"/>
    <w:rsid w:val="006B089B"/>
    <w:rsid w:val="006B3301"/>
    <w:rsid w:val="006B3AD7"/>
    <w:rsid w:val="006B4C4E"/>
    <w:rsid w:val="006B56FC"/>
    <w:rsid w:val="006B57E3"/>
    <w:rsid w:val="006B7A7A"/>
    <w:rsid w:val="006C0869"/>
    <w:rsid w:val="006C6457"/>
    <w:rsid w:val="006C7B63"/>
    <w:rsid w:val="006D16B9"/>
    <w:rsid w:val="006D4800"/>
    <w:rsid w:val="006D550A"/>
    <w:rsid w:val="006D5ED3"/>
    <w:rsid w:val="006E086B"/>
    <w:rsid w:val="006E0D17"/>
    <w:rsid w:val="006E1483"/>
    <w:rsid w:val="006E1DC0"/>
    <w:rsid w:val="006E2EA3"/>
    <w:rsid w:val="006E350F"/>
    <w:rsid w:val="006E505E"/>
    <w:rsid w:val="006E55ED"/>
    <w:rsid w:val="006E70FF"/>
    <w:rsid w:val="006F173B"/>
    <w:rsid w:val="006F3DA6"/>
    <w:rsid w:val="006F4305"/>
    <w:rsid w:val="00703072"/>
    <w:rsid w:val="00705C8C"/>
    <w:rsid w:val="00706928"/>
    <w:rsid w:val="00710DA0"/>
    <w:rsid w:val="00711110"/>
    <w:rsid w:val="00713681"/>
    <w:rsid w:val="00714E79"/>
    <w:rsid w:val="00715939"/>
    <w:rsid w:val="0071740C"/>
    <w:rsid w:val="00721442"/>
    <w:rsid w:val="007239F8"/>
    <w:rsid w:val="0072409A"/>
    <w:rsid w:val="00727A8E"/>
    <w:rsid w:val="00730910"/>
    <w:rsid w:val="007329A0"/>
    <w:rsid w:val="00733BDA"/>
    <w:rsid w:val="00737AB6"/>
    <w:rsid w:val="007400AA"/>
    <w:rsid w:val="00741A00"/>
    <w:rsid w:val="00741CBE"/>
    <w:rsid w:val="00744CB1"/>
    <w:rsid w:val="00747C81"/>
    <w:rsid w:val="007526F5"/>
    <w:rsid w:val="00753B4D"/>
    <w:rsid w:val="0075425D"/>
    <w:rsid w:val="00754943"/>
    <w:rsid w:val="00754949"/>
    <w:rsid w:val="007550E9"/>
    <w:rsid w:val="00755151"/>
    <w:rsid w:val="007577C7"/>
    <w:rsid w:val="00757927"/>
    <w:rsid w:val="00763F2F"/>
    <w:rsid w:val="00765BDD"/>
    <w:rsid w:val="007660B9"/>
    <w:rsid w:val="00772CF2"/>
    <w:rsid w:val="00780AC4"/>
    <w:rsid w:val="00781479"/>
    <w:rsid w:val="00781797"/>
    <w:rsid w:val="0078188D"/>
    <w:rsid w:val="007835CB"/>
    <w:rsid w:val="007836C4"/>
    <w:rsid w:val="00783F6B"/>
    <w:rsid w:val="007852DA"/>
    <w:rsid w:val="0078689C"/>
    <w:rsid w:val="00792DC0"/>
    <w:rsid w:val="007956C4"/>
    <w:rsid w:val="00796FBB"/>
    <w:rsid w:val="007A0593"/>
    <w:rsid w:val="007A1BFA"/>
    <w:rsid w:val="007A27C5"/>
    <w:rsid w:val="007A36CC"/>
    <w:rsid w:val="007A52E1"/>
    <w:rsid w:val="007A6297"/>
    <w:rsid w:val="007A6FC6"/>
    <w:rsid w:val="007A7524"/>
    <w:rsid w:val="007A7B2A"/>
    <w:rsid w:val="007B00C8"/>
    <w:rsid w:val="007B245F"/>
    <w:rsid w:val="007B2534"/>
    <w:rsid w:val="007B56BB"/>
    <w:rsid w:val="007B79C1"/>
    <w:rsid w:val="007C0260"/>
    <w:rsid w:val="007C08EE"/>
    <w:rsid w:val="007C36E1"/>
    <w:rsid w:val="007C3F60"/>
    <w:rsid w:val="007C544A"/>
    <w:rsid w:val="007D02ED"/>
    <w:rsid w:val="007D059D"/>
    <w:rsid w:val="007D1284"/>
    <w:rsid w:val="007D1CDD"/>
    <w:rsid w:val="007D3592"/>
    <w:rsid w:val="007D680C"/>
    <w:rsid w:val="007E0CE4"/>
    <w:rsid w:val="007E0E1A"/>
    <w:rsid w:val="007E1B61"/>
    <w:rsid w:val="007E24B7"/>
    <w:rsid w:val="007E4B64"/>
    <w:rsid w:val="007F07F9"/>
    <w:rsid w:val="007F362A"/>
    <w:rsid w:val="007F548F"/>
    <w:rsid w:val="007F7BA4"/>
    <w:rsid w:val="007F7FED"/>
    <w:rsid w:val="00800EEB"/>
    <w:rsid w:val="00803229"/>
    <w:rsid w:val="00803395"/>
    <w:rsid w:val="0080341F"/>
    <w:rsid w:val="0080402F"/>
    <w:rsid w:val="008051C4"/>
    <w:rsid w:val="00805B42"/>
    <w:rsid w:val="00806393"/>
    <w:rsid w:val="00806745"/>
    <w:rsid w:val="0080697E"/>
    <w:rsid w:val="00811164"/>
    <w:rsid w:val="0081512D"/>
    <w:rsid w:val="008154FA"/>
    <w:rsid w:val="00815EDB"/>
    <w:rsid w:val="00815FCB"/>
    <w:rsid w:val="00817B50"/>
    <w:rsid w:val="00820167"/>
    <w:rsid w:val="00820E0F"/>
    <w:rsid w:val="00825410"/>
    <w:rsid w:val="00825715"/>
    <w:rsid w:val="008275B9"/>
    <w:rsid w:val="00827DF2"/>
    <w:rsid w:val="0083261D"/>
    <w:rsid w:val="00832D89"/>
    <w:rsid w:val="00833482"/>
    <w:rsid w:val="00833E3C"/>
    <w:rsid w:val="0083503B"/>
    <w:rsid w:val="00836FCA"/>
    <w:rsid w:val="008407BA"/>
    <w:rsid w:val="00840865"/>
    <w:rsid w:val="008417CF"/>
    <w:rsid w:val="00841A32"/>
    <w:rsid w:val="00841D41"/>
    <w:rsid w:val="008425CB"/>
    <w:rsid w:val="00842D84"/>
    <w:rsid w:val="008436AB"/>
    <w:rsid w:val="008445E4"/>
    <w:rsid w:val="00844739"/>
    <w:rsid w:val="0084486B"/>
    <w:rsid w:val="008539A0"/>
    <w:rsid w:val="00853CDF"/>
    <w:rsid w:val="008544CC"/>
    <w:rsid w:val="008545DE"/>
    <w:rsid w:val="0086151D"/>
    <w:rsid w:val="0086672B"/>
    <w:rsid w:val="008668C0"/>
    <w:rsid w:val="008678C1"/>
    <w:rsid w:val="00867A23"/>
    <w:rsid w:val="00871244"/>
    <w:rsid w:val="00873DED"/>
    <w:rsid w:val="00874FF1"/>
    <w:rsid w:val="00875488"/>
    <w:rsid w:val="00875F6B"/>
    <w:rsid w:val="008762FA"/>
    <w:rsid w:val="00877425"/>
    <w:rsid w:val="008777F4"/>
    <w:rsid w:val="00880786"/>
    <w:rsid w:val="008810BB"/>
    <w:rsid w:val="0088193F"/>
    <w:rsid w:val="00882333"/>
    <w:rsid w:val="0088497B"/>
    <w:rsid w:val="00884E8B"/>
    <w:rsid w:val="00885733"/>
    <w:rsid w:val="00885E9B"/>
    <w:rsid w:val="00887146"/>
    <w:rsid w:val="008902C4"/>
    <w:rsid w:val="00891899"/>
    <w:rsid w:val="0089377E"/>
    <w:rsid w:val="00893C64"/>
    <w:rsid w:val="0089406C"/>
    <w:rsid w:val="008A0B58"/>
    <w:rsid w:val="008A2626"/>
    <w:rsid w:val="008A6759"/>
    <w:rsid w:val="008A67E3"/>
    <w:rsid w:val="008A6944"/>
    <w:rsid w:val="008B13B1"/>
    <w:rsid w:val="008B3CB6"/>
    <w:rsid w:val="008B493F"/>
    <w:rsid w:val="008B676E"/>
    <w:rsid w:val="008C1082"/>
    <w:rsid w:val="008C115E"/>
    <w:rsid w:val="008C3454"/>
    <w:rsid w:val="008C55CA"/>
    <w:rsid w:val="008C5D4E"/>
    <w:rsid w:val="008D0504"/>
    <w:rsid w:val="008D1096"/>
    <w:rsid w:val="008D1256"/>
    <w:rsid w:val="008D2413"/>
    <w:rsid w:val="008D275A"/>
    <w:rsid w:val="008D6D58"/>
    <w:rsid w:val="008E109E"/>
    <w:rsid w:val="008E1542"/>
    <w:rsid w:val="008E499D"/>
    <w:rsid w:val="008E4B9A"/>
    <w:rsid w:val="008E5CED"/>
    <w:rsid w:val="008E63F6"/>
    <w:rsid w:val="008E66E6"/>
    <w:rsid w:val="008E66EA"/>
    <w:rsid w:val="008F112A"/>
    <w:rsid w:val="008F160F"/>
    <w:rsid w:val="008F1F72"/>
    <w:rsid w:val="008F2F6E"/>
    <w:rsid w:val="008F3117"/>
    <w:rsid w:val="00900D4B"/>
    <w:rsid w:val="009014BC"/>
    <w:rsid w:val="00901CEB"/>
    <w:rsid w:val="009021F0"/>
    <w:rsid w:val="00902CAC"/>
    <w:rsid w:val="00902FCE"/>
    <w:rsid w:val="00903139"/>
    <w:rsid w:val="009036CA"/>
    <w:rsid w:val="00904C81"/>
    <w:rsid w:val="00905705"/>
    <w:rsid w:val="009057E7"/>
    <w:rsid w:val="00905B6F"/>
    <w:rsid w:val="00910799"/>
    <w:rsid w:val="00911520"/>
    <w:rsid w:val="00912A33"/>
    <w:rsid w:val="00913197"/>
    <w:rsid w:val="0091588E"/>
    <w:rsid w:val="0091674D"/>
    <w:rsid w:val="00916AB1"/>
    <w:rsid w:val="00916BED"/>
    <w:rsid w:val="00917AA3"/>
    <w:rsid w:val="00917F95"/>
    <w:rsid w:val="00923EDF"/>
    <w:rsid w:val="00931AED"/>
    <w:rsid w:val="00935AD4"/>
    <w:rsid w:val="009378F3"/>
    <w:rsid w:val="00937CE1"/>
    <w:rsid w:val="0094426C"/>
    <w:rsid w:val="0094513B"/>
    <w:rsid w:val="0094688C"/>
    <w:rsid w:val="00951012"/>
    <w:rsid w:val="00963FB3"/>
    <w:rsid w:val="00966BA4"/>
    <w:rsid w:val="009672EB"/>
    <w:rsid w:val="00970261"/>
    <w:rsid w:val="009712BC"/>
    <w:rsid w:val="00973090"/>
    <w:rsid w:val="00977F85"/>
    <w:rsid w:val="009801ED"/>
    <w:rsid w:val="00982097"/>
    <w:rsid w:val="009822BF"/>
    <w:rsid w:val="00982FE6"/>
    <w:rsid w:val="009858E9"/>
    <w:rsid w:val="00986CE3"/>
    <w:rsid w:val="00991BBB"/>
    <w:rsid w:val="0099436F"/>
    <w:rsid w:val="009956DE"/>
    <w:rsid w:val="009959E0"/>
    <w:rsid w:val="0099649E"/>
    <w:rsid w:val="00996BEA"/>
    <w:rsid w:val="00997FBC"/>
    <w:rsid w:val="009A0FB8"/>
    <w:rsid w:val="009A10A5"/>
    <w:rsid w:val="009A2F8C"/>
    <w:rsid w:val="009A33FB"/>
    <w:rsid w:val="009A5056"/>
    <w:rsid w:val="009A73A3"/>
    <w:rsid w:val="009B18C3"/>
    <w:rsid w:val="009B1A44"/>
    <w:rsid w:val="009B2989"/>
    <w:rsid w:val="009B300F"/>
    <w:rsid w:val="009B4379"/>
    <w:rsid w:val="009B4498"/>
    <w:rsid w:val="009B616C"/>
    <w:rsid w:val="009C0CB3"/>
    <w:rsid w:val="009C209C"/>
    <w:rsid w:val="009C2AA1"/>
    <w:rsid w:val="009C46E0"/>
    <w:rsid w:val="009C4D8A"/>
    <w:rsid w:val="009C580F"/>
    <w:rsid w:val="009C5A89"/>
    <w:rsid w:val="009C5CDD"/>
    <w:rsid w:val="009C5D58"/>
    <w:rsid w:val="009C6830"/>
    <w:rsid w:val="009D1587"/>
    <w:rsid w:val="009D161E"/>
    <w:rsid w:val="009D2C8E"/>
    <w:rsid w:val="009D447D"/>
    <w:rsid w:val="009E061B"/>
    <w:rsid w:val="009E1B26"/>
    <w:rsid w:val="009E1CBD"/>
    <w:rsid w:val="009E6485"/>
    <w:rsid w:val="009E6B7C"/>
    <w:rsid w:val="009E6D2E"/>
    <w:rsid w:val="009F751D"/>
    <w:rsid w:val="00A00EF2"/>
    <w:rsid w:val="00A0162D"/>
    <w:rsid w:val="00A018DD"/>
    <w:rsid w:val="00A0194F"/>
    <w:rsid w:val="00A01C6B"/>
    <w:rsid w:val="00A01D75"/>
    <w:rsid w:val="00A069F9"/>
    <w:rsid w:val="00A07F0E"/>
    <w:rsid w:val="00A1077D"/>
    <w:rsid w:val="00A10AC2"/>
    <w:rsid w:val="00A12FAA"/>
    <w:rsid w:val="00A1320E"/>
    <w:rsid w:val="00A13342"/>
    <w:rsid w:val="00A173EC"/>
    <w:rsid w:val="00A17F9A"/>
    <w:rsid w:val="00A21C67"/>
    <w:rsid w:val="00A224E2"/>
    <w:rsid w:val="00A234A9"/>
    <w:rsid w:val="00A234FE"/>
    <w:rsid w:val="00A247BA"/>
    <w:rsid w:val="00A24959"/>
    <w:rsid w:val="00A26D78"/>
    <w:rsid w:val="00A3076D"/>
    <w:rsid w:val="00A30CF7"/>
    <w:rsid w:val="00A311EA"/>
    <w:rsid w:val="00A316E1"/>
    <w:rsid w:val="00A346CA"/>
    <w:rsid w:val="00A40C5E"/>
    <w:rsid w:val="00A42C53"/>
    <w:rsid w:val="00A4313C"/>
    <w:rsid w:val="00A451DD"/>
    <w:rsid w:val="00A46479"/>
    <w:rsid w:val="00A477A0"/>
    <w:rsid w:val="00A47C07"/>
    <w:rsid w:val="00A50BDE"/>
    <w:rsid w:val="00A513AB"/>
    <w:rsid w:val="00A5209C"/>
    <w:rsid w:val="00A53BCC"/>
    <w:rsid w:val="00A5524F"/>
    <w:rsid w:val="00A61711"/>
    <w:rsid w:val="00A620B9"/>
    <w:rsid w:val="00A62C59"/>
    <w:rsid w:val="00A62F19"/>
    <w:rsid w:val="00A63A3E"/>
    <w:rsid w:val="00A65328"/>
    <w:rsid w:val="00A66C34"/>
    <w:rsid w:val="00A71CC4"/>
    <w:rsid w:val="00A72CC9"/>
    <w:rsid w:val="00A73CFD"/>
    <w:rsid w:val="00A77E87"/>
    <w:rsid w:val="00A80863"/>
    <w:rsid w:val="00A81596"/>
    <w:rsid w:val="00A81616"/>
    <w:rsid w:val="00A8365E"/>
    <w:rsid w:val="00A8616D"/>
    <w:rsid w:val="00A868D9"/>
    <w:rsid w:val="00A86D56"/>
    <w:rsid w:val="00A91040"/>
    <w:rsid w:val="00A9488D"/>
    <w:rsid w:val="00A94E35"/>
    <w:rsid w:val="00A95355"/>
    <w:rsid w:val="00AA1642"/>
    <w:rsid w:val="00AA35CC"/>
    <w:rsid w:val="00AA3E9E"/>
    <w:rsid w:val="00AA4D84"/>
    <w:rsid w:val="00AA6228"/>
    <w:rsid w:val="00AB0125"/>
    <w:rsid w:val="00AB350C"/>
    <w:rsid w:val="00AB3C78"/>
    <w:rsid w:val="00AC1AA3"/>
    <w:rsid w:val="00AC4EB2"/>
    <w:rsid w:val="00AC66A2"/>
    <w:rsid w:val="00AC7F21"/>
    <w:rsid w:val="00AD048B"/>
    <w:rsid w:val="00AD0F94"/>
    <w:rsid w:val="00AD4403"/>
    <w:rsid w:val="00AD580F"/>
    <w:rsid w:val="00AD6775"/>
    <w:rsid w:val="00AD6AD6"/>
    <w:rsid w:val="00AD6E5B"/>
    <w:rsid w:val="00AD7253"/>
    <w:rsid w:val="00AD788D"/>
    <w:rsid w:val="00AD7918"/>
    <w:rsid w:val="00AE0E38"/>
    <w:rsid w:val="00AE11C4"/>
    <w:rsid w:val="00AE1640"/>
    <w:rsid w:val="00AE297B"/>
    <w:rsid w:val="00AE424B"/>
    <w:rsid w:val="00AE467B"/>
    <w:rsid w:val="00AE58D5"/>
    <w:rsid w:val="00AE6686"/>
    <w:rsid w:val="00AF1846"/>
    <w:rsid w:val="00AF3E96"/>
    <w:rsid w:val="00AF4D99"/>
    <w:rsid w:val="00AF7794"/>
    <w:rsid w:val="00B0259B"/>
    <w:rsid w:val="00B04F76"/>
    <w:rsid w:val="00B06546"/>
    <w:rsid w:val="00B06B1A"/>
    <w:rsid w:val="00B1296E"/>
    <w:rsid w:val="00B13055"/>
    <w:rsid w:val="00B147E2"/>
    <w:rsid w:val="00B151CC"/>
    <w:rsid w:val="00B21F5C"/>
    <w:rsid w:val="00B23087"/>
    <w:rsid w:val="00B234C6"/>
    <w:rsid w:val="00B24D0A"/>
    <w:rsid w:val="00B26278"/>
    <w:rsid w:val="00B268F0"/>
    <w:rsid w:val="00B26DD4"/>
    <w:rsid w:val="00B306A2"/>
    <w:rsid w:val="00B3317D"/>
    <w:rsid w:val="00B35747"/>
    <w:rsid w:val="00B35BB6"/>
    <w:rsid w:val="00B36583"/>
    <w:rsid w:val="00B37705"/>
    <w:rsid w:val="00B37B35"/>
    <w:rsid w:val="00B409E8"/>
    <w:rsid w:val="00B40C5A"/>
    <w:rsid w:val="00B416EE"/>
    <w:rsid w:val="00B4266E"/>
    <w:rsid w:val="00B43A60"/>
    <w:rsid w:val="00B455C1"/>
    <w:rsid w:val="00B5006F"/>
    <w:rsid w:val="00B517C9"/>
    <w:rsid w:val="00B5242F"/>
    <w:rsid w:val="00B53058"/>
    <w:rsid w:val="00B5412A"/>
    <w:rsid w:val="00B566D4"/>
    <w:rsid w:val="00B56D1E"/>
    <w:rsid w:val="00B573AD"/>
    <w:rsid w:val="00B57658"/>
    <w:rsid w:val="00B638D4"/>
    <w:rsid w:val="00B63AFF"/>
    <w:rsid w:val="00B663B0"/>
    <w:rsid w:val="00B66618"/>
    <w:rsid w:val="00B67E2D"/>
    <w:rsid w:val="00B72C32"/>
    <w:rsid w:val="00B73D11"/>
    <w:rsid w:val="00B74AB9"/>
    <w:rsid w:val="00B83B2F"/>
    <w:rsid w:val="00B85860"/>
    <w:rsid w:val="00B86BF4"/>
    <w:rsid w:val="00B87483"/>
    <w:rsid w:val="00B87CD6"/>
    <w:rsid w:val="00B87E45"/>
    <w:rsid w:val="00B92682"/>
    <w:rsid w:val="00B929BF"/>
    <w:rsid w:val="00B951B9"/>
    <w:rsid w:val="00B95533"/>
    <w:rsid w:val="00B95D9E"/>
    <w:rsid w:val="00BA2517"/>
    <w:rsid w:val="00BA5B60"/>
    <w:rsid w:val="00BB0F68"/>
    <w:rsid w:val="00BB1FFF"/>
    <w:rsid w:val="00BB2567"/>
    <w:rsid w:val="00BB662C"/>
    <w:rsid w:val="00BB6EAD"/>
    <w:rsid w:val="00BC097E"/>
    <w:rsid w:val="00BC24CA"/>
    <w:rsid w:val="00BD113A"/>
    <w:rsid w:val="00BD2076"/>
    <w:rsid w:val="00BD2B9F"/>
    <w:rsid w:val="00BD2EA0"/>
    <w:rsid w:val="00BD35B3"/>
    <w:rsid w:val="00BD3A75"/>
    <w:rsid w:val="00BD3DA8"/>
    <w:rsid w:val="00BD45D5"/>
    <w:rsid w:val="00BD667C"/>
    <w:rsid w:val="00BD7112"/>
    <w:rsid w:val="00BE13D2"/>
    <w:rsid w:val="00BE2A1C"/>
    <w:rsid w:val="00BE446D"/>
    <w:rsid w:val="00BE64F3"/>
    <w:rsid w:val="00BF115D"/>
    <w:rsid w:val="00BF45E6"/>
    <w:rsid w:val="00BF47FF"/>
    <w:rsid w:val="00BF5183"/>
    <w:rsid w:val="00BF5380"/>
    <w:rsid w:val="00BF6534"/>
    <w:rsid w:val="00BF72E5"/>
    <w:rsid w:val="00C00697"/>
    <w:rsid w:val="00C0095A"/>
    <w:rsid w:val="00C02312"/>
    <w:rsid w:val="00C065CA"/>
    <w:rsid w:val="00C10C00"/>
    <w:rsid w:val="00C14288"/>
    <w:rsid w:val="00C16996"/>
    <w:rsid w:val="00C17CE9"/>
    <w:rsid w:val="00C17E5E"/>
    <w:rsid w:val="00C22A13"/>
    <w:rsid w:val="00C253DF"/>
    <w:rsid w:val="00C267AA"/>
    <w:rsid w:val="00C309DD"/>
    <w:rsid w:val="00C35AE5"/>
    <w:rsid w:val="00C35BAD"/>
    <w:rsid w:val="00C3728A"/>
    <w:rsid w:val="00C378FD"/>
    <w:rsid w:val="00C45B51"/>
    <w:rsid w:val="00C464A7"/>
    <w:rsid w:val="00C506AC"/>
    <w:rsid w:val="00C511C3"/>
    <w:rsid w:val="00C51C42"/>
    <w:rsid w:val="00C52329"/>
    <w:rsid w:val="00C5377F"/>
    <w:rsid w:val="00C5596B"/>
    <w:rsid w:val="00C569D1"/>
    <w:rsid w:val="00C57F4E"/>
    <w:rsid w:val="00C63201"/>
    <w:rsid w:val="00C64848"/>
    <w:rsid w:val="00C66A73"/>
    <w:rsid w:val="00C66EB6"/>
    <w:rsid w:val="00C673DC"/>
    <w:rsid w:val="00C67AA6"/>
    <w:rsid w:val="00C76497"/>
    <w:rsid w:val="00C779EF"/>
    <w:rsid w:val="00C80CAE"/>
    <w:rsid w:val="00C856C9"/>
    <w:rsid w:val="00C86AD9"/>
    <w:rsid w:val="00C86F22"/>
    <w:rsid w:val="00C87BF3"/>
    <w:rsid w:val="00C90B9D"/>
    <w:rsid w:val="00C91A83"/>
    <w:rsid w:val="00C9650F"/>
    <w:rsid w:val="00C9681C"/>
    <w:rsid w:val="00C970A4"/>
    <w:rsid w:val="00C9741E"/>
    <w:rsid w:val="00C9742D"/>
    <w:rsid w:val="00CA1089"/>
    <w:rsid w:val="00CA33C7"/>
    <w:rsid w:val="00CA39DA"/>
    <w:rsid w:val="00CA4435"/>
    <w:rsid w:val="00CA7A6C"/>
    <w:rsid w:val="00CB2C58"/>
    <w:rsid w:val="00CB38A3"/>
    <w:rsid w:val="00CB3B70"/>
    <w:rsid w:val="00CB5F92"/>
    <w:rsid w:val="00CC0D34"/>
    <w:rsid w:val="00CC1475"/>
    <w:rsid w:val="00CC1CCB"/>
    <w:rsid w:val="00CC6B7E"/>
    <w:rsid w:val="00CC77E2"/>
    <w:rsid w:val="00CD360D"/>
    <w:rsid w:val="00CD39F3"/>
    <w:rsid w:val="00CD730D"/>
    <w:rsid w:val="00CE0A85"/>
    <w:rsid w:val="00CE1635"/>
    <w:rsid w:val="00CE212C"/>
    <w:rsid w:val="00CE5597"/>
    <w:rsid w:val="00CE5E68"/>
    <w:rsid w:val="00CF073C"/>
    <w:rsid w:val="00CF0A98"/>
    <w:rsid w:val="00CF0D33"/>
    <w:rsid w:val="00CF0D5E"/>
    <w:rsid w:val="00CF68E9"/>
    <w:rsid w:val="00CF7819"/>
    <w:rsid w:val="00CF7A07"/>
    <w:rsid w:val="00D001D7"/>
    <w:rsid w:val="00D00AF5"/>
    <w:rsid w:val="00D01A30"/>
    <w:rsid w:val="00D0545C"/>
    <w:rsid w:val="00D06B62"/>
    <w:rsid w:val="00D07374"/>
    <w:rsid w:val="00D171A8"/>
    <w:rsid w:val="00D172DD"/>
    <w:rsid w:val="00D2011B"/>
    <w:rsid w:val="00D22A47"/>
    <w:rsid w:val="00D23F2E"/>
    <w:rsid w:val="00D265DE"/>
    <w:rsid w:val="00D2694F"/>
    <w:rsid w:val="00D303B7"/>
    <w:rsid w:val="00D37273"/>
    <w:rsid w:val="00D3774A"/>
    <w:rsid w:val="00D43EB5"/>
    <w:rsid w:val="00D4602A"/>
    <w:rsid w:val="00D4643A"/>
    <w:rsid w:val="00D468B3"/>
    <w:rsid w:val="00D46EB7"/>
    <w:rsid w:val="00D475BD"/>
    <w:rsid w:val="00D518B2"/>
    <w:rsid w:val="00D52159"/>
    <w:rsid w:val="00D5454E"/>
    <w:rsid w:val="00D54C52"/>
    <w:rsid w:val="00D54CE5"/>
    <w:rsid w:val="00D55E22"/>
    <w:rsid w:val="00D60AE8"/>
    <w:rsid w:val="00D611A9"/>
    <w:rsid w:val="00D620F7"/>
    <w:rsid w:val="00D621F3"/>
    <w:rsid w:val="00D64E6A"/>
    <w:rsid w:val="00D65FE5"/>
    <w:rsid w:val="00D67308"/>
    <w:rsid w:val="00D67483"/>
    <w:rsid w:val="00D70252"/>
    <w:rsid w:val="00D702EE"/>
    <w:rsid w:val="00D71A2C"/>
    <w:rsid w:val="00D822F9"/>
    <w:rsid w:val="00D862A7"/>
    <w:rsid w:val="00D9012E"/>
    <w:rsid w:val="00D904E3"/>
    <w:rsid w:val="00D906AF"/>
    <w:rsid w:val="00D90897"/>
    <w:rsid w:val="00D93BE5"/>
    <w:rsid w:val="00D94BA4"/>
    <w:rsid w:val="00D953B3"/>
    <w:rsid w:val="00D9583F"/>
    <w:rsid w:val="00D9697F"/>
    <w:rsid w:val="00DA18E0"/>
    <w:rsid w:val="00DA3036"/>
    <w:rsid w:val="00DA6144"/>
    <w:rsid w:val="00DB015B"/>
    <w:rsid w:val="00DB20CE"/>
    <w:rsid w:val="00DB24D3"/>
    <w:rsid w:val="00DB35E7"/>
    <w:rsid w:val="00DB5E67"/>
    <w:rsid w:val="00DB6A7F"/>
    <w:rsid w:val="00DB6D2A"/>
    <w:rsid w:val="00DB6F16"/>
    <w:rsid w:val="00DB7D77"/>
    <w:rsid w:val="00DC3380"/>
    <w:rsid w:val="00DC36B3"/>
    <w:rsid w:val="00DC77CB"/>
    <w:rsid w:val="00DD221F"/>
    <w:rsid w:val="00DD4D7D"/>
    <w:rsid w:val="00DD51CA"/>
    <w:rsid w:val="00DD619D"/>
    <w:rsid w:val="00DD6C35"/>
    <w:rsid w:val="00DE1483"/>
    <w:rsid w:val="00DE193D"/>
    <w:rsid w:val="00DE5FC4"/>
    <w:rsid w:val="00DE710F"/>
    <w:rsid w:val="00DE7C3B"/>
    <w:rsid w:val="00DE7EED"/>
    <w:rsid w:val="00DF0DCC"/>
    <w:rsid w:val="00DF2DDF"/>
    <w:rsid w:val="00DF5F3E"/>
    <w:rsid w:val="00E02E5D"/>
    <w:rsid w:val="00E04524"/>
    <w:rsid w:val="00E05BCD"/>
    <w:rsid w:val="00E05E36"/>
    <w:rsid w:val="00E14B90"/>
    <w:rsid w:val="00E2064C"/>
    <w:rsid w:val="00E23B18"/>
    <w:rsid w:val="00E240FE"/>
    <w:rsid w:val="00E24F41"/>
    <w:rsid w:val="00E3367A"/>
    <w:rsid w:val="00E33F69"/>
    <w:rsid w:val="00E3637F"/>
    <w:rsid w:val="00E36F5D"/>
    <w:rsid w:val="00E401B3"/>
    <w:rsid w:val="00E43D31"/>
    <w:rsid w:val="00E44F1C"/>
    <w:rsid w:val="00E464C2"/>
    <w:rsid w:val="00E46F31"/>
    <w:rsid w:val="00E47008"/>
    <w:rsid w:val="00E5017E"/>
    <w:rsid w:val="00E50185"/>
    <w:rsid w:val="00E520E1"/>
    <w:rsid w:val="00E52538"/>
    <w:rsid w:val="00E537FA"/>
    <w:rsid w:val="00E578B7"/>
    <w:rsid w:val="00E63231"/>
    <w:rsid w:val="00E6361B"/>
    <w:rsid w:val="00E6385D"/>
    <w:rsid w:val="00E65595"/>
    <w:rsid w:val="00E70C90"/>
    <w:rsid w:val="00E729FE"/>
    <w:rsid w:val="00E7329A"/>
    <w:rsid w:val="00E736A7"/>
    <w:rsid w:val="00E73F85"/>
    <w:rsid w:val="00E76451"/>
    <w:rsid w:val="00E77CFB"/>
    <w:rsid w:val="00E8016F"/>
    <w:rsid w:val="00E80E52"/>
    <w:rsid w:val="00E80FDE"/>
    <w:rsid w:val="00E816CE"/>
    <w:rsid w:val="00E82A9B"/>
    <w:rsid w:val="00E85568"/>
    <w:rsid w:val="00E87451"/>
    <w:rsid w:val="00E90908"/>
    <w:rsid w:val="00E90FB5"/>
    <w:rsid w:val="00E91EF5"/>
    <w:rsid w:val="00E92954"/>
    <w:rsid w:val="00E94869"/>
    <w:rsid w:val="00E95684"/>
    <w:rsid w:val="00E97776"/>
    <w:rsid w:val="00EA0688"/>
    <w:rsid w:val="00EA19B4"/>
    <w:rsid w:val="00EA5AC3"/>
    <w:rsid w:val="00EA6344"/>
    <w:rsid w:val="00EA712D"/>
    <w:rsid w:val="00EA7227"/>
    <w:rsid w:val="00EA7991"/>
    <w:rsid w:val="00EA7CC2"/>
    <w:rsid w:val="00EB25EA"/>
    <w:rsid w:val="00EB34D3"/>
    <w:rsid w:val="00EB5B8E"/>
    <w:rsid w:val="00EB6E58"/>
    <w:rsid w:val="00EB6E5D"/>
    <w:rsid w:val="00EB7C4B"/>
    <w:rsid w:val="00EC0059"/>
    <w:rsid w:val="00EC0820"/>
    <w:rsid w:val="00EC1453"/>
    <w:rsid w:val="00EC2552"/>
    <w:rsid w:val="00EC4D87"/>
    <w:rsid w:val="00EC6237"/>
    <w:rsid w:val="00EC68DB"/>
    <w:rsid w:val="00ED05F3"/>
    <w:rsid w:val="00ED0CB2"/>
    <w:rsid w:val="00ED334F"/>
    <w:rsid w:val="00ED4D08"/>
    <w:rsid w:val="00ED693D"/>
    <w:rsid w:val="00ED6CF4"/>
    <w:rsid w:val="00ED6F7D"/>
    <w:rsid w:val="00ED7E36"/>
    <w:rsid w:val="00EE00DE"/>
    <w:rsid w:val="00EE06A4"/>
    <w:rsid w:val="00EE08F2"/>
    <w:rsid w:val="00EE0CB9"/>
    <w:rsid w:val="00EE111C"/>
    <w:rsid w:val="00EE1DD7"/>
    <w:rsid w:val="00EE5BD5"/>
    <w:rsid w:val="00EE678A"/>
    <w:rsid w:val="00EE76B9"/>
    <w:rsid w:val="00EE7EFF"/>
    <w:rsid w:val="00EF125F"/>
    <w:rsid w:val="00EF165E"/>
    <w:rsid w:val="00EF2497"/>
    <w:rsid w:val="00EF38A6"/>
    <w:rsid w:val="00EF473E"/>
    <w:rsid w:val="00EF53E7"/>
    <w:rsid w:val="00F017E0"/>
    <w:rsid w:val="00F01B39"/>
    <w:rsid w:val="00F03B20"/>
    <w:rsid w:val="00F04722"/>
    <w:rsid w:val="00F05D65"/>
    <w:rsid w:val="00F065A0"/>
    <w:rsid w:val="00F1458C"/>
    <w:rsid w:val="00F149AA"/>
    <w:rsid w:val="00F16C90"/>
    <w:rsid w:val="00F17857"/>
    <w:rsid w:val="00F17DDE"/>
    <w:rsid w:val="00F20FEA"/>
    <w:rsid w:val="00F21C70"/>
    <w:rsid w:val="00F26B56"/>
    <w:rsid w:val="00F26D11"/>
    <w:rsid w:val="00F27976"/>
    <w:rsid w:val="00F27CBE"/>
    <w:rsid w:val="00F31F66"/>
    <w:rsid w:val="00F32DD4"/>
    <w:rsid w:val="00F34AEF"/>
    <w:rsid w:val="00F3602A"/>
    <w:rsid w:val="00F4121E"/>
    <w:rsid w:val="00F4212B"/>
    <w:rsid w:val="00F42386"/>
    <w:rsid w:val="00F43301"/>
    <w:rsid w:val="00F4416A"/>
    <w:rsid w:val="00F4644C"/>
    <w:rsid w:val="00F468E5"/>
    <w:rsid w:val="00F46D66"/>
    <w:rsid w:val="00F46F88"/>
    <w:rsid w:val="00F4704F"/>
    <w:rsid w:val="00F50C03"/>
    <w:rsid w:val="00F50EE3"/>
    <w:rsid w:val="00F514D4"/>
    <w:rsid w:val="00F51A8D"/>
    <w:rsid w:val="00F5510E"/>
    <w:rsid w:val="00F64432"/>
    <w:rsid w:val="00F651C4"/>
    <w:rsid w:val="00F655B1"/>
    <w:rsid w:val="00F674C2"/>
    <w:rsid w:val="00F67ABF"/>
    <w:rsid w:val="00F75B19"/>
    <w:rsid w:val="00F7682E"/>
    <w:rsid w:val="00F84CEA"/>
    <w:rsid w:val="00F85396"/>
    <w:rsid w:val="00F8643F"/>
    <w:rsid w:val="00F917B8"/>
    <w:rsid w:val="00F92C57"/>
    <w:rsid w:val="00F9344F"/>
    <w:rsid w:val="00F9354F"/>
    <w:rsid w:val="00F96813"/>
    <w:rsid w:val="00F97B14"/>
    <w:rsid w:val="00FA2A21"/>
    <w:rsid w:val="00FA4389"/>
    <w:rsid w:val="00FA50CD"/>
    <w:rsid w:val="00FA6131"/>
    <w:rsid w:val="00FA65AE"/>
    <w:rsid w:val="00FA6B33"/>
    <w:rsid w:val="00FB13AC"/>
    <w:rsid w:val="00FB1D0E"/>
    <w:rsid w:val="00FB20C4"/>
    <w:rsid w:val="00FB2918"/>
    <w:rsid w:val="00FB2B00"/>
    <w:rsid w:val="00FB2D8F"/>
    <w:rsid w:val="00FB3C96"/>
    <w:rsid w:val="00FB4BCE"/>
    <w:rsid w:val="00FB55EF"/>
    <w:rsid w:val="00FB5C50"/>
    <w:rsid w:val="00FB60EF"/>
    <w:rsid w:val="00FC251D"/>
    <w:rsid w:val="00FC255B"/>
    <w:rsid w:val="00FC3D4F"/>
    <w:rsid w:val="00FC49FB"/>
    <w:rsid w:val="00FC5756"/>
    <w:rsid w:val="00FC7CE5"/>
    <w:rsid w:val="00FD228D"/>
    <w:rsid w:val="00FD263F"/>
    <w:rsid w:val="00FD2A97"/>
    <w:rsid w:val="00FD2EE9"/>
    <w:rsid w:val="00FD2F40"/>
    <w:rsid w:val="00FD3445"/>
    <w:rsid w:val="00FD480E"/>
    <w:rsid w:val="00FD60DD"/>
    <w:rsid w:val="00FD659E"/>
    <w:rsid w:val="00FD7F78"/>
    <w:rsid w:val="00FE0BA3"/>
    <w:rsid w:val="00FE46B9"/>
    <w:rsid w:val="00FE6A0D"/>
    <w:rsid w:val="00FE7253"/>
    <w:rsid w:val="00FE7DB4"/>
    <w:rsid w:val="00FF1087"/>
    <w:rsid w:val="00FF26A9"/>
    <w:rsid w:val="00FF2D86"/>
    <w:rsid w:val="00FF3CAE"/>
    <w:rsid w:val="00FF5459"/>
    <w:rsid w:val="00FF6000"/>
    <w:rsid w:val="00FF6161"/>
    <w:rsid w:val="09A58D1F"/>
    <w:rsid w:val="0A894330"/>
    <w:rsid w:val="0C8C79B3"/>
    <w:rsid w:val="1CFC3E72"/>
    <w:rsid w:val="20E56DBF"/>
    <w:rsid w:val="22B6F8F1"/>
    <w:rsid w:val="241521F6"/>
    <w:rsid w:val="341B0708"/>
    <w:rsid w:val="364E734E"/>
    <w:rsid w:val="3750E162"/>
    <w:rsid w:val="403789FC"/>
    <w:rsid w:val="432E2546"/>
    <w:rsid w:val="5651869E"/>
    <w:rsid w:val="57565292"/>
    <w:rsid w:val="5AD48455"/>
    <w:rsid w:val="64965882"/>
    <w:rsid w:val="651A588E"/>
    <w:rsid w:val="67B85DB7"/>
    <w:rsid w:val="69EBC9FD"/>
    <w:rsid w:val="6B8DB6E4"/>
    <w:rsid w:val="6C994B0B"/>
    <w:rsid w:val="783EAF8A"/>
    <w:rsid w:val="7E2AC1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6F45D"/>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0D2E56"/>
    <w:pPr>
      <w:keepNext/>
      <w:keepLines/>
      <w:spacing w:before="360" w:after="0"/>
      <w:outlineLvl w:val="0"/>
    </w:pPr>
    <w:rPr>
      <w:rFonts w:asciiTheme="majorHAnsi" w:hAnsiTheme="majorHAnsi"/>
      <w:b/>
      <w:color w:val="2A4055" w:themeColor="accent1"/>
      <w:sz w:val="44"/>
      <w:szCs w:val="44"/>
    </w:rPr>
  </w:style>
  <w:style w:type="paragraph" w:styleId="Heading2">
    <w:name w:val="heading 2"/>
    <w:basedOn w:val="Normal"/>
    <w:next w:val="BodyText"/>
    <w:link w:val="Heading2Char"/>
    <w:uiPriority w:val="9"/>
    <w:unhideWhenUsed/>
    <w:qFormat/>
    <w:rsid w:val="0068575D"/>
    <w:pPr>
      <w:keepNext/>
      <w:keepLines/>
      <w:spacing w:before="360"/>
      <w:outlineLvl w:val="1"/>
    </w:pPr>
    <w:rPr>
      <w:rFonts w:asciiTheme="majorHAnsi" w:eastAsiaTheme="majorEastAsia" w:hAnsiTheme="majorHAnsi" w:cstheme="majorBidi"/>
      <w:color w:val="2A4055" w:themeColor="accent1"/>
      <w:sz w:val="36"/>
      <w:szCs w:val="36"/>
    </w:rPr>
  </w:style>
  <w:style w:type="paragraph" w:styleId="Heading3">
    <w:name w:val="heading 3"/>
    <w:basedOn w:val="Normal"/>
    <w:next w:val="BodyText"/>
    <w:link w:val="Heading3Char"/>
    <w:uiPriority w:val="9"/>
    <w:unhideWhenUsed/>
    <w:qFormat/>
    <w:rsid w:val="0068575D"/>
    <w:pPr>
      <w:keepNext/>
      <w:keepLines/>
      <w:spacing w:before="240" w:after="160" w:line="240" w:lineRule="auto"/>
      <w:outlineLvl w:val="2"/>
    </w:pPr>
    <w:rPr>
      <w:rFonts w:asciiTheme="majorHAnsi" w:eastAsiaTheme="majorEastAsia" w:hAnsiTheme="majorHAnsi" w:cstheme="majorBidi"/>
      <w:color w:val="2A4055" w:themeColor="accent1"/>
      <w:sz w:val="28"/>
      <w:szCs w:val="28"/>
    </w:rPr>
  </w:style>
  <w:style w:type="paragraph" w:styleId="Heading4">
    <w:name w:val="heading 4"/>
    <w:basedOn w:val="BodyText"/>
    <w:next w:val="BodyText"/>
    <w:link w:val="Heading4Char"/>
    <w:uiPriority w:val="9"/>
    <w:qFormat/>
    <w:rsid w:val="00825715"/>
    <w:pPr>
      <w:spacing w:before="240"/>
      <w:outlineLvl w:val="3"/>
    </w:pPr>
    <w:rPr>
      <w:rFonts w:asciiTheme="majorHAnsi" w:hAnsiTheme="majorHAnsi"/>
      <w:b/>
      <w:color w:val="2A405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D2E56"/>
    <w:rPr>
      <w:rFonts w:asciiTheme="majorHAnsi" w:hAnsiTheme="majorHAnsi"/>
      <w:b/>
      <w:color w:val="2A4055" w:themeColor="accent1"/>
      <w:sz w:val="44"/>
      <w:szCs w:val="44"/>
    </w:rPr>
  </w:style>
  <w:style w:type="table" w:customStyle="1" w:styleId="NIAATable-simple">
    <w:name w:val="NIAA Table - simple"/>
    <w:basedOn w:val="TableNormal"/>
    <w:uiPriority w:val="99"/>
    <w:rsid w:val="0057315D"/>
    <w:pPr>
      <w:spacing w:before="60" w:after="60"/>
    </w:p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pPr>
      <w:rPr>
        <w:rFonts w:ascii="Calibri" w:hAnsi="Calibri"/>
        <w:b/>
        <w:i w:val="0"/>
        <w:color w:val="FFFFFF" w:themeColor="background1"/>
        <w:sz w:val="20"/>
      </w:rPr>
      <w:tblPr/>
      <w:tcPr>
        <w:tcBorders>
          <w:top w:val="nil"/>
          <w:left w:val="nil"/>
          <w:bottom w:val="nil"/>
          <w:right w:val="nil"/>
          <w:insideH w:val="nil"/>
          <w:insideV w:val="nil"/>
          <w:tl2br w:val="nil"/>
          <w:tr2bl w:val="nil"/>
        </w:tcBorders>
        <w:shd w:val="clear" w:color="auto" w:fill="2A4055" w:themeFill="accent1"/>
      </w:tcPr>
    </w:tblStylePr>
    <w:tblStylePr w:type="band1Horz">
      <w:rPr>
        <w:rFonts w:asciiTheme="minorHAnsi" w:hAnsiTheme="minorHAnsi"/>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style>
  <w:style w:type="paragraph" w:styleId="ListParagraph">
    <w:name w:val="List Paragraph"/>
    <w:basedOn w:val="Normal"/>
    <w:uiPriority w:val="34"/>
    <w:qFormat/>
    <w:rsid w:val="00820E0F"/>
    <w:pPr>
      <w:ind w:left="720"/>
      <w:contextualSpacing/>
    </w:pPr>
  </w:style>
  <w:style w:type="paragraph" w:customStyle="1" w:styleId="Tablebullet">
    <w:name w:val="Table bullet"/>
    <w:basedOn w:val="ListParagraph"/>
    <w:uiPriority w:val="11"/>
    <w:qFormat/>
    <w:rsid w:val="00FF5459"/>
    <w:pPr>
      <w:numPr>
        <w:numId w:val="2"/>
      </w:numPr>
      <w:spacing w:before="60" w:after="60"/>
      <w:contextualSpacing w:val="0"/>
    </w:pPr>
    <w:rPr>
      <w:rFonts w:ascii="Calibri" w:hAnsi="Calibri"/>
    </w:rPr>
  </w:style>
  <w:style w:type="character" w:customStyle="1" w:styleId="Heading2Char">
    <w:name w:val="Heading 2 Char"/>
    <w:basedOn w:val="DefaultParagraphFont"/>
    <w:link w:val="Heading2"/>
    <w:uiPriority w:val="9"/>
    <w:rsid w:val="0068575D"/>
    <w:rPr>
      <w:rFonts w:asciiTheme="majorHAnsi" w:eastAsiaTheme="majorEastAsia" w:hAnsiTheme="majorHAnsi" w:cstheme="majorBidi"/>
      <w:color w:val="2A4055" w:themeColor="accent1"/>
      <w:sz w:val="36"/>
      <w:szCs w:val="36"/>
    </w:rPr>
  </w:style>
  <w:style w:type="paragraph" w:customStyle="1" w:styleId="NumberedListlevel1">
    <w:name w:val="Numbered List level 1"/>
    <w:basedOn w:val="ListParagraph"/>
    <w:uiPriority w:val="9"/>
    <w:qFormat/>
    <w:rsid w:val="008A67E3"/>
    <w:pPr>
      <w:numPr>
        <w:numId w:val="22"/>
      </w:numPr>
      <w:spacing w:before="120" w:after="0"/>
      <w:ind w:left="568" w:hanging="284"/>
    </w:pPr>
    <w:rPr>
      <w:sz w:val="22"/>
    </w:rPr>
  </w:style>
  <w:style w:type="paragraph" w:customStyle="1" w:styleId="BulletedListlvl1">
    <w:name w:val="Bulleted List lvl1"/>
    <w:uiPriority w:val="10"/>
    <w:qFormat/>
    <w:rsid w:val="008A67E3"/>
    <w:pPr>
      <w:numPr>
        <w:numId w:val="5"/>
      </w:numPr>
      <w:spacing w:before="120" w:after="0"/>
      <w:ind w:left="568" w:hanging="284"/>
      <w:contextualSpacing/>
    </w:pPr>
    <w:rPr>
      <w:sz w:val="22"/>
    </w:rPr>
  </w:style>
  <w:style w:type="paragraph" w:customStyle="1" w:styleId="NumberedListlevel2">
    <w:name w:val="Numbered List level 2"/>
    <w:basedOn w:val="NumberedListlevel1"/>
    <w:uiPriority w:val="9"/>
    <w:rsid w:val="00DB24D3"/>
    <w:pPr>
      <w:numPr>
        <w:ilvl w:val="1"/>
      </w:numPr>
      <w:spacing w:before="0"/>
      <w:ind w:hanging="284"/>
    </w:pPr>
  </w:style>
  <w:style w:type="paragraph" w:styleId="BodyText">
    <w:name w:val="Body Text"/>
    <w:basedOn w:val="Normal"/>
    <w:link w:val="BodyTextChar"/>
    <w:qFormat/>
    <w:rsid w:val="008A67E3"/>
    <w:pPr>
      <w:spacing w:before="120" w:line="288" w:lineRule="auto"/>
    </w:pPr>
    <w:rPr>
      <w:sz w:val="22"/>
    </w:rPr>
  </w:style>
  <w:style w:type="character" w:customStyle="1" w:styleId="BodyTextChar">
    <w:name w:val="Body Text Char"/>
    <w:basedOn w:val="DefaultParagraphFont"/>
    <w:link w:val="BodyText"/>
    <w:rsid w:val="008A67E3"/>
    <w:rPr>
      <w:sz w:val="22"/>
    </w:rPr>
  </w:style>
  <w:style w:type="paragraph" w:customStyle="1" w:styleId="BulletedListlvl2">
    <w:name w:val="Bulleted List lvl2"/>
    <w:basedOn w:val="BulletedListlvl1"/>
    <w:uiPriority w:val="10"/>
    <w:rsid w:val="00DB24D3"/>
    <w:pPr>
      <w:numPr>
        <w:ilvl w:val="1"/>
        <w:numId w:val="14"/>
      </w:numPr>
      <w:spacing w:before="0"/>
      <w:ind w:hanging="284"/>
    </w:pPr>
  </w:style>
  <w:style w:type="paragraph" w:customStyle="1" w:styleId="Tablebody">
    <w:name w:val="Table body"/>
    <w:basedOn w:val="Normal"/>
    <w:link w:val="TablebodyChar"/>
    <w:uiPriority w:val="11"/>
    <w:qFormat/>
    <w:rsid w:val="00FF5459"/>
    <w:pPr>
      <w:spacing w:before="60" w:after="60"/>
    </w:pPr>
  </w:style>
  <w:style w:type="character" w:customStyle="1" w:styleId="Heading3Char">
    <w:name w:val="Heading 3 Char"/>
    <w:basedOn w:val="DefaultParagraphFont"/>
    <w:link w:val="Heading3"/>
    <w:uiPriority w:val="9"/>
    <w:rsid w:val="0068575D"/>
    <w:rPr>
      <w:rFonts w:asciiTheme="majorHAnsi" w:eastAsiaTheme="majorEastAsia" w:hAnsiTheme="majorHAnsi" w:cstheme="majorBidi"/>
      <w:color w:val="2A4055" w:themeColor="accent1"/>
      <w:sz w:val="28"/>
      <w:szCs w:val="28"/>
    </w:rPr>
  </w:style>
  <w:style w:type="paragraph" w:customStyle="1" w:styleId="NumberedListlevel3">
    <w:name w:val="Numbered List level 3"/>
    <w:basedOn w:val="NumberedListlevel1"/>
    <w:uiPriority w:val="9"/>
    <w:rsid w:val="00DB24D3"/>
    <w:pPr>
      <w:numPr>
        <w:ilvl w:val="2"/>
      </w:numPr>
      <w:spacing w:before="0"/>
      <w:ind w:left="1702" w:hanging="284"/>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825715"/>
    <w:rPr>
      <w:rFonts w:asciiTheme="majorHAnsi" w:hAnsiTheme="majorHAnsi"/>
      <w:b/>
      <w:color w:val="2A4055" w:themeColor="accent1"/>
    </w:rPr>
  </w:style>
  <w:style w:type="paragraph" w:customStyle="1" w:styleId="Tableheading">
    <w:name w:val="Table heading"/>
    <w:basedOn w:val="BodyText"/>
    <w:uiPriority w:val="11"/>
    <w:qFormat/>
    <w:rsid w:val="001912A0"/>
    <w:pPr>
      <w:spacing w:beforeLines="40" w:before="96" w:afterLines="40" w:after="96" w:line="264" w:lineRule="auto"/>
    </w:pPr>
    <w:rPr>
      <w:rFonts w:ascii="Calibri" w:hAnsi="Calibri"/>
      <w:b/>
      <w:color w:val="FFFFFF" w:themeColor="background1"/>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bandedrows">
    <w:name w:val="NIAA Table - banded rows"/>
    <w:basedOn w:val="TableNormal"/>
    <w:uiPriority w:val="99"/>
    <w:rsid w:val="00D303B7"/>
    <w:pPr>
      <w:spacing w:before="60" w:after="60"/>
    </w:pPr>
    <w:rPr>
      <w:rFonts w:ascii="Calibri" w:hAnsi="Calibri"/>
    </w:r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DD761C"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A4055" w:themeColor="accent1"/>
    </w:rPr>
  </w:style>
  <w:style w:type="paragraph" w:customStyle="1" w:styleId="Tablenumbering">
    <w:name w:val="Table numbering"/>
    <w:uiPriority w:val="11"/>
    <w:qFormat/>
    <w:rsid w:val="00FF5459"/>
    <w:pPr>
      <w:spacing w:before="60" w:after="60"/>
      <w:ind w:left="284" w:hanging="284"/>
    </w:pPr>
    <w:rPr>
      <w:rFonts w:ascii="Calibri" w:hAnsi="Calibri"/>
    </w:rPr>
  </w:style>
  <w:style w:type="paragraph" w:styleId="Caption">
    <w:name w:val="caption"/>
    <w:basedOn w:val="Normal"/>
    <w:next w:val="Normal"/>
    <w:uiPriority w:val="35"/>
    <w:unhideWhenUsed/>
    <w:qFormat/>
    <w:rsid w:val="008A67E3"/>
    <w:pPr>
      <w:keepNext/>
      <w:shd w:val="clear" w:color="auto" w:fill="FFFFFF" w:themeFill="background1"/>
      <w:tabs>
        <w:tab w:val="left" w:pos="851"/>
        <w:tab w:val="left" w:pos="1017"/>
      </w:tabs>
      <w:spacing w:before="120" w:after="0"/>
      <w:ind w:left="851" w:hanging="851"/>
    </w:pPr>
    <w:rPr>
      <w:b/>
      <w:iCs/>
      <w:color w:val="1C2B39"/>
      <w:sz w:val="2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PanelHeading">
    <w:name w:val="Panel Heading"/>
    <w:basedOn w:val="Normal"/>
    <w:uiPriority w:val="11"/>
    <w:qFormat/>
    <w:rsid w:val="00825715"/>
    <w:pPr>
      <w:keepLines/>
      <w:pBdr>
        <w:top w:val="single" w:sz="8" w:space="8" w:color="DD7500"/>
        <w:bottom w:val="single" w:sz="8" w:space="8" w:color="DD7500"/>
      </w:pBdr>
      <w:shd w:val="clear" w:color="auto" w:fill="FFFFFF" w:themeFill="background1"/>
      <w:spacing w:before="60" w:after="60" w:line="240" w:lineRule="atLeast"/>
      <w:ind w:left="198" w:right="215"/>
    </w:pPr>
    <w:rPr>
      <w:rFonts w:asciiTheme="majorHAnsi" w:eastAsia="Times New Roman" w:hAnsiTheme="majorHAnsi" w:cs="Times New Roman"/>
      <w:b/>
      <w:color w:val="DD7500"/>
      <w:sz w:val="28"/>
      <w:szCs w:val="28"/>
      <w:lang w:val="en-US"/>
    </w:rPr>
  </w:style>
  <w:style w:type="paragraph" w:customStyle="1" w:styleId="PanelBody">
    <w:name w:val="Panel Body"/>
    <w:basedOn w:val="Normal"/>
    <w:uiPriority w:val="11"/>
    <w:qFormat/>
    <w:rsid w:val="008A67E3"/>
    <w:pPr>
      <w:keepLines/>
      <w:pBdr>
        <w:top w:val="single" w:sz="8" w:space="8" w:color="DD7500"/>
        <w:bottom w:val="single" w:sz="8" w:space="8" w:color="DD7500"/>
      </w:pBdr>
      <w:shd w:val="clear" w:color="auto" w:fill="FFFFFF" w:themeFill="background1"/>
      <w:spacing w:before="120"/>
      <w:ind w:left="198" w:right="215"/>
    </w:pPr>
    <w:rPr>
      <w:rFonts w:eastAsia="Times New Roman" w:cstheme="minorHAnsi"/>
      <w:sz w:val="22"/>
      <w:szCs w:val="22"/>
      <w:lang w:val="en-US"/>
    </w:rPr>
  </w:style>
  <w:style w:type="paragraph" w:customStyle="1" w:styleId="PanelBullet">
    <w:name w:val="Panel Bullet"/>
    <w:uiPriority w:val="11"/>
    <w:qFormat/>
    <w:rsid w:val="008A67E3"/>
    <w:pPr>
      <w:keepLines/>
      <w:numPr>
        <w:numId w:val="20"/>
      </w:numPr>
      <w:pBdr>
        <w:top w:val="single" w:sz="8" w:space="8" w:color="DD7500"/>
        <w:bottom w:val="single" w:sz="8" w:space="8" w:color="DD7500"/>
      </w:pBdr>
      <w:shd w:val="clear" w:color="auto" w:fill="FFFFFF" w:themeFill="background1"/>
      <w:spacing w:before="120"/>
      <w:ind w:right="215"/>
      <w:contextualSpacing/>
    </w:pPr>
    <w:rPr>
      <w:rFonts w:eastAsia="Times New Roman" w:cstheme="minorHAnsi"/>
      <w:sz w:val="22"/>
      <w:szCs w:val="22"/>
      <w:lang w:val="en-US"/>
    </w:rPr>
  </w:style>
  <w:style w:type="character" w:customStyle="1" w:styleId="QuoteChar">
    <w:name w:val="Quote Char"/>
    <w:basedOn w:val="DefaultParagraphFont"/>
    <w:link w:val="Quote"/>
    <w:uiPriority w:val="29"/>
    <w:rsid w:val="00A5524F"/>
    <w:rPr>
      <w:rFonts w:asciiTheme="majorHAnsi" w:hAnsiTheme="majorHAnsi"/>
      <w:color w:val="DD761C"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next w:val="Normal"/>
    <w:link w:val="TitleChar"/>
    <w:qFormat/>
    <w:rsid w:val="00833E3C"/>
    <w:rPr>
      <w:rFonts w:asciiTheme="majorHAnsi" w:hAnsiTheme="majorHAnsi"/>
      <w:b/>
      <w:color w:val="2A4055" w:themeColor="accent1"/>
      <w:sz w:val="56"/>
      <w:szCs w:val="56"/>
    </w:rPr>
  </w:style>
  <w:style w:type="character" w:customStyle="1" w:styleId="TitleChar">
    <w:name w:val="Title Char"/>
    <w:basedOn w:val="DefaultParagraphFont"/>
    <w:link w:val="Title"/>
    <w:rsid w:val="00833E3C"/>
    <w:rPr>
      <w:rFonts w:asciiTheme="majorHAnsi" w:hAnsiTheme="majorHAnsi"/>
      <w:b/>
      <w:color w:val="2A4055" w:themeColor="accent1"/>
      <w:sz w:val="56"/>
      <w:szCs w:val="56"/>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A4055"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A4055"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styleId="GridTable4">
    <w:name w:val="Grid Table 4"/>
    <w:basedOn w:val="TableNormal"/>
    <w:uiPriority w:val="49"/>
    <w:rsid w:val="007814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otal">
    <w:name w:val="Table Total"/>
    <w:basedOn w:val="Tablebody"/>
    <w:link w:val="TableTotalChar"/>
    <w:uiPriority w:val="11"/>
    <w:qFormat/>
    <w:rsid w:val="00A316E1"/>
    <w:rPr>
      <w:b/>
    </w:rPr>
  </w:style>
  <w:style w:type="character" w:customStyle="1" w:styleId="TablebodyChar">
    <w:name w:val="Table body Char"/>
    <w:basedOn w:val="DefaultParagraphFont"/>
    <w:link w:val="Tablebody"/>
    <w:uiPriority w:val="11"/>
    <w:rsid w:val="00A316E1"/>
  </w:style>
  <w:style w:type="character" w:customStyle="1" w:styleId="TableTotalChar">
    <w:name w:val="Table Total Char"/>
    <w:basedOn w:val="TablebodyChar"/>
    <w:link w:val="TableTotal"/>
    <w:uiPriority w:val="11"/>
    <w:rsid w:val="00A316E1"/>
    <w:rPr>
      <w:b/>
    </w:rPr>
  </w:style>
  <w:style w:type="paragraph" w:customStyle="1" w:styleId="Blockquote">
    <w:name w:val="Blockquote"/>
    <w:basedOn w:val="BodyText"/>
    <w:link w:val="BlockquoteChar"/>
    <w:uiPriority w:val="11"/>
    <w:qFormat/>
    <w:rsid w:val="007C544A"/>
    <w:pPr>
      <w:ind w:left="567"/>
    </w:pPr>
  </w:style>
  <w:style w:type="character" w:customStyle="1" w:styleId="BlockquoteChar">
    <w:name w:val="Blockquote Char"/>
    <w:basedOn w:val="BodyTextChar"/>
    <w:link w:val="Blockquote"/>
    <w:uiPriority w:val="11"/>
    <w:rsid w:val="007C544A"/>
    <w:rPr>
      <w:sz w:val="22"/>
    </w:rPr>
  </w:style>
  <w:style w:type="character" w:styleId="Hyperlink">
    <w:name w:val="Hyperlink"/>
    <w:basedOn w:val="DefaultParagraphFont"/>
    <w:uiPriority w:val="99"/>
    <w:unhideWhenUsed/>
    <w:rsid w:val="00AA1642"/>
    <w:rPr>
      <w:color w:val="0289C8" w:themeColor="hyperlink"/>
      <w:u w:val="single"/>
    </w:rPr>
  </w:style>
  <w:style w:type="character" w:styleId="CommentReference">
    <w:name w:val="annotation reference"/>
    <w:basedOn w:val="DefaultParagraphFont"/>
    <w:semiHidden/>
    <w:unhideWhenUsed/>
    <w:rsid w:val="00B40C5A"/>
    <w:rPr>
      <w:sz w:val="16"/>
      <w:szCs w:val="16"/>
    </w:rPr>
  </w:style>
  <w:style w:type="paragraph" w:styleId="CommentText">
    <w:name w:val="annotation text"/>
    <w:basedOn w:val="Normal"/>
    <w:link w:val="CommentTextChar"/>
    <w:unhideWhenUsed/>
    <w:rsid w:val="00B40C5A"/>
    <w:pPr>
      <w:spacing w:line="240" w:lineRule="auto"/>
    </w:pPr>
  </w:style>
  <w:style w:type="character" w:customStyle="1" w:styleId="CommentTextChar">
    <w:name w:val="Comment Text Char"/>
    <w:basedOn w:val="DefaultParagraphFont"/>
    <w:link w:val="CommentText"/>
    <w:rsid w:val="00B40C5A"/>
  </w:style>
  <w:style w:type="paragraph" w:styleId="CommentSubject">
    <w:name w:val="annotation subject"/>
    <w:basedOn w:val="CommentText"/>
    <w:next w:val="CommentText"/>
    <w:link w:val="CommentSubjectChar"/>
    <w:uiPriority w:val="99"/>
    <w:semiHidden/>
    <w:unhideWhenUsed/>
    <w:rsid w:val="00B40C5A"/>
    <w:rPr>
      <w:b/>
      <w:bCs/>
    </w:rPr>
  </w:style>
  <w:style w:type="character" w:customStyle="1" w:styleId="CommentSubjectChar">
    <w:name w:val="Comment Subject Char"/>
    <w:basedOn w:val="CommentTextChar"/>
    <w:link w:val="CommentSubject"/>
    <w:uiPriority w:val="99"/>
    <w:semiHidden/>
    <w:rsid w:val="00B40C5A"/>
    <w:rPr>
      <w:b/>
      <w:bCs/>
    </w:rPr>
  </w:style>
  <w:style w:type="character" w:styleId="FollowedHyperlink">
    <w:name w:val="FollowedHyperlink"/>
    <w:basedOn w:val="DefaultParagraphFont"/>
    <w:uiPriority w:val="99"/>
    <w:semiHidden/>
    <w:unhideWhenUsed/>
    <w:rsid w:val="006B57E3"/>
    <w:rPr>
      <w:color w:val="0289C8" w:themeColor="followedHyperlink"/>
      <w:u w:val="single"/>
    </w:rPr>
  </w:style>
  <w:style w:type="paragraph" w:styleId="NormalWeb">
    <w:name w:val="Normal (Web)"/>
    <w:basedOn w:val="Normal"/>
    <w:uiPriority w:val="99"/>
    <w:unhideWhenUsed/>
    <w:rsid w:val="004A280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905B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28746">
      <w:bodyDiv w:val="1"/>
      <w:marLeft w:val="0"/>
      <w:marRight w:val="0"/>
      <w:marTop w:val="0"/>
      <w:marBottom w:val="0"/>
      <w:divBdr>
        <w:top w:val="none" w:sz="0" w:space="0" w:color="auto"/>
        <w:left w:val="none" w:sz="0" w:space="0" w:color="auto"/>
        <w:bottom w:val="none" w:sz="0" w:space="0" w:color="auto"/>
        <w:right w:val="none" w:sz="0" w:space="0" w:color="auto"/>
      </w:divBdr>
    </w:div>
    <w:div w:id="115568094">
      <w:bodyDiv w:val="1"/>
      <w:marLeft w:val="0"/>
      <w:marRight w:val="0"/>
      <w:marTop w:val="0"/>
      <w:marBottom w:val="0"/>
      <w:divBdr>
        <w:top w:val="none" w:sz="0" w:space="0" w:color="auto"/>
        <w:left w:val="none" w:sz="0" w:space="0" w:color="auto"/>
        <w:bottom w:val="none" w:sz="0" w:space="0" w:color="auto"/>
        <w:right w:val="none" w:sz="0" w:space="0" w:color="auto"/>
      </w:divBdr>
    </w:div>
    <w:div w:id="226302375">
      <w:bodyDiv w:val="1"/>
      <w:marLeft w:val="0"/>
      <w:marRight w:val="0"/>
      <w:marTop w:val="0"/>
      <w:marBottom w:val="0"/>
      <w:divBdr>
        <w:top w:val="none" w:sz="0" w:space="0" w:color="auto"/>
        <w:left w:val="none" w:sz="0" w:space="0" w:color="auto"/>
        <w:bottom w:val="none" w:sz="0" w:space="0" w:color="auto"/>
        <w:right w:val="none" w:sz="0" w:space="0" w:color="auto"/>
      </w:divBdr>
    </w:div>
    <w:div w:id="332997628">
      <w:bodyDiv w:val="1"/>
      <w:marLeft w:val="0"/>
      <w:marRight w:val="0"/>
      <w:marTop w:val="0"/>
      <w:marBottom w:val="0"/>
      <w:divBdr>
        <w:top w:val="none" w:sz="0" w:space="0" w:color="auto"/>
        <w:left w:val="none" w:sz="0" w:space="0" w:color="auto"/>
        <w:bottom w:val="none" w:sz="0" w:space="0" w:color="auto"/>
        <w:right w:val="none" w:sz="0" w:space="0" w:color="auto"/>
      </w:divBdr>
    </w:div>
    <w:div w:id="369038896">
      <w:bodyDiv w:val="1"/>
      <w:marLeft w:val="0"/>
      <w:marRight w:val="0"/>
      <w:marTop w:val="0"/>
      <w:marBottom w:val="0"/>
      <w:divBdr>
        <w:top w:val="none" w:sz="0" w:space="0" w:color="auto"/>
        <w:left w:val="none" w:sz="0" w:space="0" w:color="auto"/>
        <w:bottom w:val="none" w:sz="0" w:space="0" w:color="auto"/>
        <w:right w:val="none" w:sz="0" w:space="0" w:color="auto"/>
      </w:divBdr>
    </w:div>
    <w:div w:id="820846265">
      <w:bodyDiv w:val="1"/>
      <w:marLeft w:val="0"/>
      <w:marRight w:val="0"/>
      <w:marTop w:val="0"/>
      <w:marBottom w:val="0"/>
      <w:divBdr>
        <w:top w:val="none" w:sz="0" w:space="0" w:color="auto"/>
        <w:left w:val="none" w:sz="0" w:space="0" w:color="auto"/>
        <w:bottom w:val="none" w:sz="0" w:space="0" w:color="auto"/>
        <w:right w:val="none" w:sz="0" w:space="0" w:color="auto"/>
      </w:divBdr>
    </w:div>
    <w:div w:id="861012990">
      <w:bodyDiv w:val="1"/>
      <w:marLeft w:val="0"/>
      <w:marRight w:val="0"/>
      <w:marTop w:val="0"/>
      <w:marBottom w:val="0"/>
      <w:divBdr>
        <w:top w:val="none" w:sz="0" w:space="0" w:color="auto"/>
        <w:left w:val="none" w:sz="0" w:space="0" w:color="auto"/>
        <w:bottom w:val="none" w:sz="0" w:space="0" w:color="auto"/>
        <w:right w:val="none" w:sz="0" w:space="0" w:color="auto"/>
      </w:divBdr>
    </w:div>
    <w:div w:id="877551726">
      <w:bodyDiv w:val="1"/>
      <w:marLeft w:val="0"/>
      <w:marRight w:val="0"/>
      <w:marTop w:val="0"/>
      <w:marBottom w:val="0"/>
      <w:divBdr>
        <w:top w:val="none" w:sz="0" w:space="0" w:color="auto"/>
        <w:left w:val="none" w:sz="0" w:space="0" w:color="auto"/>
        <w:bottom w:val="none" w:sz="0" w:space="0" w:color="auto"/>
        <w:right w:val="none" w:sz="0" w:space="0" w:color="auto"/>
      </w:divBdr>
    </w:div>
    <w:div w:id="891159341">
      <w:bodyDiv w:val="1"/>
      <w:marLeft w:val="0"/>
      <w:marRight w:val="0"/>
      <w:marTop w:val="0"/>
      <w:marBottom w:val="0"/>
      <w:divBdr>
        <w:top w:val="none" w:sz="0" w:space="0" w:color="auto"/>
        <w:left w:val="none" w:sz="0" w:space="0" w:color="auto"/>
        <w:bottom w:val="none" w:sz="0" w:space="0" w:color="auto"/>
        <w:right w:val="none" w:sz="0" w:space="0" w:color="auto"/>
      </w:divBdr>
    </w:div>
    <w:div w:id="954486645">
      <w:bodyDiv w:val="1"/>
      <w:marLeft w:val="0"/>
      <w:marRight w:val="0"/>
      <w:marTop w:val="0"/>
      <w:marBottom w:val="0"/>
      <w:divBdr>
        <w:top w:val="none" w:sz="0" w:space="0" w:color="auto"/>
        <w:left w:val="none" w:sz="0" w:space="0" w:color="auto"/>
        <w:bottom w:val="none" w:sz="0" w:space="0" w:color="auto"/>
        <w:right w:val="none" w:sz="0" w:space="0" w:color="auto"/>
      </w:divBdr>
    </w:div>
    <w:div w:id="958802094">
      <w:bodyDiv w:val="1"/>
      <w:marLeft w:val="0"/>
      <w:marRight w:val="0"/>
      <w:marTop w:val="0"/>
      <w:marBottom w:val="0"/>
      <w:divBdr>
        <w:top w:val="none" w:sz="0" w:space="0" w:color="auto"/>
        <w:left w:val="none" w:sz="0" w:space="0" w:color="auto"/>
        <w:bottom w:val="none" w:sz="0" w:space="0" w:color="auto"/>
        <w:right w:val="none" w:sz="0" w:space="0" w:color="auto"/>
      </w:divBdr>
    </w:div>
    <w:div w:id="992105937">
      <w:bodyDiv w:val="1"/>
      <w:marLeft w:val="0"/>
      <w:marRight w:val="0"/>
      <w:marTop w:val="0"/>
      <w:marBottom w:val="0"/>
      <w:divBdr>
        <w:top w:val="none" w:sz="0" w:space="0" w:color="auto"/>
        <w:left w:val="none" w:sz="0" w:space="0" w:color="auto"/>
        <w:bottom w:val="none" w:sz="0" w:space="0" w:color="auto"/>
        <w:right w:val="none" w:sz="0" w:space="0" w:color="auto"/>
      </w:divBdr>
    </w:div>
    <w:div w:id="1081217668">
      <w:bodyDiv w:val="1"/>
      <w:marLeft w:val="0"/>
      <w:marRight w:val="0"/>
      <w:marTop w:val="0"/>
      <w:marBottom w:val="0"/>
      <w:divBdr>
        <w:top w:val="none" w:sz="0" w:space="0" w:color="auto"/>
        <w:left w:val="none" w:sz="0" w:space="0" w:color="auto"/>
        <w:bottom w:val="none" w:sz="0" w:space="0" w:color="auto"/>
        <w:right w:val="none" w:sz="0" w:space="0" w:color="auto"/>
      </w:divBdr>
    </w:div>
    <w:div w:id="1476682910">
      <w:bodyDiv w:val="1"/>
      <w:marLeft w:val="0"/>
      <w:marRight w:val="0"/>
      <w:marTop w:val="0"/>
      <w:marBottom w:val="0"/>
      <w:divBdr>
        <w:top w:val="none" w:sz="0" w:space="0" w:color="auto"/>
        <w:left w:val="none" w:sz="0" w:space="0" w:color="auto"/>
        <w:bottom w:val="none" w:sz="0" w:space="0" w:color="auto"/>
        <w:right w:val="none" w:sz="0" w:space="0" w:color="auto"/>
      </w:divBdr>
    </w:div>
    <w:div w:id="1527672006">
      <w:bodyDiv w:val="1"/>
      <w:marLeft w:val="0"/>
      <w:marRight w:val="0"/>
      <w:marTop w:val="0"/>
      <w:marBottom w:val="0"/>
      <w:divBdr>
        <w:top w:val="none" w:sz="0" w:space="0" w:color="auto"/>
        <w:left w:val="none" w:sz="0" w:space="0" w:color="auto"/>
        <w:bottom w:val="none" w:sz="0" w:space="0" w:color="auto"/>
        <w:right w:val="none" w:sz="0" w:space="0" w:color="auto"/>
      </w:divBdr>
    </w:div>
    <w:div w:id="1628782662">
      <w:bodyDiv w:val="1"/>
      <w:marLeft w:val="0"/>
      <w:marRight w:val="0"/>
      <w:marTop w:val="0"/>
      <w:marBottom w:val="0"/>
      <w:divBdr>
        <w:top w:val="none" w:sz="0" w:space="0" w:color="auto"/>
        <w:left w:val="none" w:sz="0" w:space="0" w:color="auto"/>
        <w:bottom w:val="none" w:sz="0" w:space="0" w:color="auto"/>
        <w:right w:val="none" w:sz="0" w:space="0" w:color="auto"/>
      </w:divBdr>
    </w:div>
    <w:div w:id="1779253206">
      <w:bodyDiv w:val="1"/>
      <w:marLeft w:val="0"/>
      <w:marRight w:val="0"/>
      <w:marTop w:val="0"/>
      <w:marBottom w:val="0"/>
      <w:divBdr>
        <w:top w:val="none" w:sz="0" w:space="0" w:color="auto"/>
        <w:left w:val="none" w:sz="0" w:space="0" w:color="auto"/>
        <w:bottom w:val="none" w:sz="0" w:space="0" w:color="auto"/>
        <w:right w:val="none" w:sz="0" w:space="0" w:color="auto"/>
      </w:divBdr>
    </w:div>
    <w:div w:id="1842086130">
      <w:bodyDiv w:val="1"/>
      <w:marLeft w:val="0"/>
      <w:marRight w:val="0"/>
      <w:marTop w:val="0"/>
      <w:marBottom w:val="0"/>
      <w:divBdr>
        <w:top w:val="none" w:sz="0" w:space="0" w:color="auto"/>
        <w:left w:val="none" w:sz="0" w:space="0" w:color="auto"/>
        <w:bottom w:val="none" w:sz="0" w:space="0" w:color="auto"/>
        <w:right w:val="none" w:sz="0" w:space="0" w:color="auto"/>
      </w:divBdr>
    </w:div>
    <w:div w:id="1881279361">
      <w:bodyDiv w:val="1"/>
      <w:marLeft w:val="0"/>
      <w:marRight w:val="0"/>
      <w:marTop w:val="0"/>
      <w:marBottom w:val="0"/>
      <w:divBdr>
        <w:top w:val="none" w:sz="0" w:space="0" w:color="auto"/>
        <w:left w:val="none" w:sz="0" w:space="0" w:color="auto"/>
        <w:bottom w:val="none" w:sz="0" w:space="0" w:color="auto"/>
        <w:right w:val="none" w:sz="0" w:space="0" w:color="auto"/>
      </w:divBdr>
    </w:div>
    <w:div w:id="1985232139">
      <w:bodyDiv w:val="1"/>
      <w:marLeft w:val="0"/>
      <w:marRight w:val="0"/>
      <w:marTop w:val="0"/>
      <w:marBottom w:val="0"/>
      <w:divBdr>
        <w:top w:val="none" w:sz="0" w:space="0" w:color="auto"/>
        <w:left w:val="none" w:sz="0" w:space="0" w:color="auto"/>
        <w:bottom w:val="none" w:sz="0" w:space="0" w:color="auto"/>
        <w:right w:val="none" w:sz="0" w:space="0" w:color="auto"/>
      </w:divBdr>
    </w:div>
    <w:div w:id="213270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niaa.gov.au/our-work/employment-and-economic-development/job-trials-testing-new-approaches-remote-employment" TargetMode="External"/><Relationship Id="rId1" Type="http://schemas.openxmlformats.org/officeDocument/2006/relationships/hyperlink" Target="https://www.niaa.gov.au/resource-centre/synthesis-early-learnings-trial-pathways-real-job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A4055"/>
      </a:accent1>
      <a:accent2>
        <a:srgbClr val="00948D"/>
      </a:accent2>
      <a:accent3>
        <a:srgbClr val="DD761C"/>
      </a:accent3>
      <a:accent4>
        <a:srgbClr val="B8A284"/>
      </a:accent4>
      <a:accent5>
        <a:srgbClr val="1C2B39"/>
      </a:accent5>
      <a:accent6>
        <a:srgbClr val="D1D1D1"/>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b6f4da-6f5a-4ad4-ae79-c01bdd3395d0}" enabled="1" method="Privileged" siteId="{b3712af2-6728-4e11-bcea-c85236845f55}"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3097</Words>
  <Characters>17658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2024-09-12T04:46:00Z</dcterms:created>
  <dcterms:modified xsi:type="dcterms:W3CDTF">2024-09-12T04:47:00Z</dcterms:modified>
</cp:coreProperties>
</file>