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238E2" w14:textId="20F90D6C" w:rsidR="004163FA" w:rsidRDefault="00000000" w:rsidP="0061255F">
      <w:pPr>
        <w:pStyle w:val="ProtectiveMarking"/>
        <w:spacing w:before="600" w:after="240"/>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Content>
          <w:r w:rsidR="003C1628">
            <w:t xml:space="preserve">     </w:t>
          </w:r>
        </w:sdtContent>
      </w:sdt>
    </w:p>
    <w:p w14:paraId="7C7D0419" w14:textId="77777777" w:rsidR="000C5DC7" w:rsidRPr="00E31797" w:rsidRDefault="000C5DC7" w:rsidP="000C5DC7">
      <w:pPr>
        <w:pStyle w:val="Heading1"/>
      </w:pPr>
      <w:r>
        <w:t>Audit and Risk Committee Charter</w:t>
      </w:r>
    </w:p>
    <w:p w14:paraId="631336A7" w14:textId="77777777" w:rsidR="000C5DC7" w:rsidRPr="00E31797" w:rsidRDefault="000C5DC7" w:rsidP="000C5DC7">
      <w:pPr>
        <w:pStyle w:val="Heading3"/>
      </w:pPr>
      <w:r w:rsidRPr="00E31797">
        <w:t xml:space="preserve">1. </w:t>
      </w:r>
      <w:r w:rsidRPr="00E31797">
        <w:tab/>
      </w:r>
      <w:r w:rsidRPr="000C5DC7">
        <w:rPr>
          <w:rStyle w:val="Heading2Char"/>
        </w:rPr>
        <w:t>Introduction</w:t>
      </w:r>
    </w:p>
    <w:p w14:paraId="7324A35E" w14:textId="77777777" w:rsidR="000C5DC7" w:rsidRPr="00E31797" w:rsidRDefault="000C5DC7" w:rsidP="000C5DC7">
      <w:pPr>
        <w:pStyle w:val="BodyText"/>
        <w:numPr>
          <w:ilvl w:val="1"/>
          <w:numId w:val="27"/>
        </w:numPr>
        <w:spacing w:before="0" w:line="264" w:lineRule="auto"/>
      </w:pPr>
      <w:r w:rsidRPr="00E31797">
        <w:t>The Chief Executive Officer</w:t>
      </w:r>
      <w:r w:rsidR="00EA7C93">
        <w:t xml:space="preserve"> (CEO)</w:t>
      </w:r>
      <w:r w:rsidRPr="00E31797">
        <w:t xml:space="preserve"> of the National Indigenous Australians Agency (NIAA) has established the Audit and Risk Committee (the Committee) in accordance with section 45 of the </w:t>
      </w:r>
      <w:r w:rsidRPr="005E43A7">
        <w:rPr>
          <w:i/>
        </w:rPr>
        <w:t>Public Governance, Performance and Accountability Act 2013</w:t>
      </w:r>
      <w:r w:rsidRPr="00E31797">
        <w:t xml:space="preserve"> (PGPA Act) and PGPA Rule section 17 Audit Committees for Commonwealth Entities.</w:t>
      </w:r>
    </w:p>
    <w:p w14:paraId="5F9C5345" w14:textId="77777777" w:rsidR="000C5DC7" w:rsidRPr="00E31797" w:rsidRDefault="000C5DC7" w:rsidP="000C5DC7">
      <w:pPr>
        <w:pStyle w:val="BodyText"/>
        <w:numPr>
          <w:ilvl w:val="1"/>
          <w:numId w:val="27"/>
        </w:numPr>
        <w:spacing w:before="0" w:line="264" w:lineRule="auto"/>
      </w:pPr>
      <w:r w:rsidRPr="00E31797">
        <w:t>This charter sets out the Committee’s role, authority, responsibilities, composition and tenure, reporting, and administrative arrangements.</w:t>
      </w:r>
    </w:p>
    <w:p w14:paraId="0B335D4E" w14:textId="77777777" w:rsidR="000C5DC7" w:rsidRPr="00E31797" w:rsidRDefault="000C5DC7" w:rsidP="000C5DC7">
      <w:pPr>
        <w:pStyle w:val="Heading3"/>
      </w:pPr>
      <w:r w:rsidRPr="00E31797">
        <w:t>2.</w:t>
      </w:r>
      <w:r w:rsidRPr="00E31797">
        <w:tab/>
      </w:r>
      <w:r w:rsidRPr="000C5DC7">
        <w:rPr>
          <w:rStyle w:val="Heading2Char"/>
        </w:rPr>
        <w:t>Role</w:t>
      </w:r>
    </w:p>
    <w:p w14:paraId="4C8F27A4" w14:textId="33C52E31" w:rsidR="000C5DC7" w:rsidRDefault="000C5DC7" w:rsidP="000C5DC7">
      <w:pPr>
        <w:pStyle w:val="BodyText"/>
        <w:numPr>
          <w:ilvl w:val="0"/>
          <w:numId w:val="28"/>
        </w:numPr>
        <w:spacing w:before="0" w:line="264" w:lineRule="auto"/>
      </w:pPr>
      <w:r w:rsidRPr="00E31797">
        <w:t>The role of the Committee is to provide independent advice to the C</w:t>
      </w:r>
      <w:r w:rsidR="00EA7C93">
        <w:t>EO</w:t>
      </w:r>
      <w:r w:rsidRPr="00E31797">
        <w:t xml:space="preserve"> and NIAA Executive on the appropriateness of NIAA’s financial and performance reporting responsibilities, risk oversight and management, and system of internal control.</w:t>
      </w:r>
      <w:r>
        <w:t xml:space="preserve"> This includes:</w:t>
      </w:r>
    </w:p>
    <w:p w14:paraId="2AF0A229" w14:textId="77777777" w:rsidR="000C5DC7" w:rsidRDefault="000C5DC7" w:rsidP="000C5DC7">
      <w:pPr>
        <w:pStyle w:val="BodyText"/>
        <w:numPr>
          <w:ilvl w:val="0"/>
          <w:numId w:val="41"/>
        </w:numPr>
        <w:spacing w:before="0" w:line="264" w:lineRule="auto"/>
      </w:pPr>
      <w:r>
        <w:t xml:space="preserve">Financial reporting – including: </w:t>
      </w:r>
    </w:p>
    <w:p w14:paraId="6C89C1BA" w14:textId="791B6C2E" w:rsidR="000C5DC7" w:rsidRDefault="000C5DC7" w:rsidP="000C5DC7">
      <w:pPr>
        <w:pStyle w:val="BodyText"/>
        <w:numPr>
          <w:ilvl w:val="1"/>
          <w:numId w:val="41"/>
        </w:numPr>
        <w:spacing w:before="0" w:line="264" w:lineRule="auto"/>
      </w:pPr>
      <w:r>
        <w:t>Reviewing the annual audited financial statements of NIAA</w:t>
      </w:r>
      <w:r w:rsidR="006D0781">
        <w:t xml:space="preserve"> and ABA</w:t>
      </w:r>
      <w:r>
        <w:t>, related management representations and recommending whether the statements are suitable for signing by the C</w:t>
      </w:r>
      <w:r w:rsidR="00EA7C93">
        <w:t>EO</w:t>
      </w:r>
      <w:r>
        <w:t xml:space="preserve">; and </w:t>
      </w:r>
    </w:p>
    <w:p w14:paraId="7BD9FDAB" w14:textId="7AC5B6D7" w:rsidR="000C5DC7" w:rsidRDefault="000C5DC7" w:rsidP="000C5DC7">
      <w:pPr>
        <w:pStyle w:val="BodyText"/>
        <w:numPr>
          <w:ilvl w:val="1"/>
          <w:numId w:val="41"/>
        </w:numPr>
        <w:spacing w:before="0" w:line="264" w:lineRule="auto"/>
      </w:pPr>
      <w:r>
        <w:t xml:space="preserve">Reviewing the processes and systems for preparing financial information and NIAA’s </w:t>
      </w:r>
      <w:r w:rsidR="00B544CB">
        <w:t xml:space="preserve">(and ABA’s) </w:t>
      </w:r>
      <w:r>
        <w:t xml:space="preserve">financial </w:t>
      </w:r>
      <w:proofErr w:type="gramStart"/>
      <w:r>
        <w:t>reporting as a whole</w:t>
      </w:r>
      <w:proofErr w:type="gramEnd"/>
      <w:r>
        <w:t xml:space="preserve">. </w:t>
      </w:r>
    </w:p>
    <w:p w14:paraId="74E5881F" w14:textId="77777777" w:rsidR="000C5DC7" w:rsidRDefault="000C5DC7" w:rsidP="000C5DC7">
      <w:pPr>
        <w:pStyle w:val="BodyText"/>
        <w:numPr>
          <w:ilvl w:val="0"/>
          <w:numId w:val="41"/>
        </w:numPr>
        <w:spacing w:before="0" w:line="264" w:lineRule="auto"/>
      </w:pPr>
      <w:r>
        <w:t xml:space="preserve">Performance reporting – including reviewing performance information, systems and the framework for developing, measuring and reporting key performance indicators and NIAA’s annual performance statement and performance </w:t>
      </w:r>
      <w:proofErr w:type="gramStart"/>
      <w:r>
        <w:t>reporting as a whole</w:t>
      </w:r>
      <w:proofErr w:type="gramEnd"/>
      <w:r>
        <w:t xml:space="preserve">. </w:t>
      </w:r>
    </w:p>
    <w:p w14:paraId="24A408F8" w14:textId="2C122842" w:rsidR="000C5DC7" w:rsidRDefault="000C5DC7" w:rsidP="000C5DC7">
      <w:pPr>
        <w:pStyle w:val="BodyText"/>
        <w:numPr>
          <w:ilvl w:val="0"/>
          <w:numId w:val="41"/>
        </w:numPr>
        <w:spacing w:before="0" w:line="264" w:lineRule="auto"/>
      </w:pPr>
      <w:r>
        <w:t xml:space="preserve">System of risk oversight and management – including NIAA’s enterprise risk management framework and consistency with the Commonwealth Risk Management </w:t>
      </w:r>
      <w:r w:rsidR="00EA7C93">
        <w:t>P</w:t>
      </w:r>
      <w:r>
        <w:t>olicy, as well as associated processes for effective identification and management of its risks (including risk of fraud</w:t>
      </w:r>
      <w:r w:rsidR="00933941">
        <w:t xml:space="preserve">, </w:t>
      </w:r>
      <w:r w:rsidR="00933941" w:rsidRPr="00EB63A8">
        <w:t xml:space="preserve">consistent with the Commonwealth Fraud </w:t>
      </w:r>
      <w:r w:rsidR="00933941">
        <w:t xml:space="preserve">and Corruption </w:t>
      </w:r>
      <w:r w:rsidR="00933941" w:rsidRPr="00EB63A8">
        <w:t>Control Framework</w:t>
      </w:r>
      <w:r w:rsidR="00933941">
        <w:t>,</w:t>
      </w:r>
      <w:r>
        <w:t xml:space="preserve"> and risks associated with individual projects, program implementation, and activities). </w:t>
      </w:r>
    </w:p>
    <w:p w14:paraId="43F8E7BD" w14:textId="77777777" w:rsidR="000C5DC7" w:rsidRDefault="000C5DC7" w:rsidP="000C5DC7">
      <w:pPr>
        <w:pStyle w:val="BodyText"/>
        <w:numPr>
          <w:ilvl w:val="0"/>
          <w:numId w:val="41"/>
        </w:numPr>
        <w:spacing w:before="0" w:line="264" w:lineRule="auto"/>
      </w:pPr>
      <w:r>
        <w:t xml:space="preserve">System of internal control – including consideration of NIAA’s control framework, such as: </w:t>
      </w:r>
    </w:p>
    <w:p w14:paraId="3EDF08BD" w14:textId="77777777" w:rsidR="000C5DC7" w:rsidRDefault="000C5DC7" w:rsidP="000C5DC7">
      <w:pPr>
        <w:pStyle w:val="BodyText"/>
        <w:numPr>
          <w:ilvl w:val="1"/>
          <w:numId w:val="41"/>
        </w:numPr>
        <w:spacing w:before="0" w:line="264" w:lineRule="auto"/>
      </w:pPr>
      <w:r>
        <w:t>governance arrangements (for example whether NIAA has current Accountable Authority Instructions and delegations and business continuity management arrangements</w:t>
      </w:r>
      <w:proofErr w:type="gramStart"/>
      <w:r>
        <w:t>);</w:t>
      </w:r>
      <w:proofErr w:type="gramEnd"/>
      <w:r>
        <w:t xml:space="preserve"> </w:t>
      </w:r>
    </w:p>
    <w:p w14:paraId="0D5F14A7" w14:textId="77777777" w:rsidR="000C5DC7" w:rsidRDefault="000C5DC7" w:rsidP="000C5DC7">
      <w:pPr>
        <w:pStyle w:val="BodyText"/>
        <w:numPr>
          <w:ilvl w:val="1"/>
          <w:numId w:val="41"/>
        </w:numPr>
        <w:spacing w:before="0" w:line="264" w:lineRule="auto"/>
      </w:pPr>
      <w:r>
        <w:t>legislative and policy compliance (including PGPA and security certifications</w:t>
      </w:r>
      <w:proofErr w:type="gramStart"/>
      <w:r>
        <w:t>);</w:t>
      </w:r>
      <w:proofErr w:type="gramEnd"/>
      <w:r>
        <w:t xml:space="preserve"> </w:t>
      </w:r>
    </w:p>
    <w:p w14:paraId="13A803EB" w14:textId="4F9F3614" w:rsidR="000C5DC7" w:rsidRDefault="000C5DC7" w:rsidP="000C5DC7">
      <w:pPr>
        <w:pStyle w:val="BodyText"/>
        <w:numPr>
          <w:ilvl w:val="1"/>
          <w:numId w:val="41"/>
        </w:numPr>
        <w:spacing w:before="0" w:line="264" w:lineRule="auto"/>
      </w:pPr>
      <w:r>
        <w:t xml:space="preserve">internal audit resourcing and coverage in relation to NIAA’s key </w:t>
      </w:r>
      <w:proofErr w:type="gramStart"/>
      <w:r>
        <w:t>risks;</w:t>
      </w:r>
      <w:proofErr w:type="gramEnd"/>
      <w:r>
        <w:t xml:space="preserve"> </w:t>
      </w:r>
    </w:p>
    <w:p w14:paraId="1F7D323A" w14:textId="3672E3AF" w:rsidR="00F71285" w:rsidRDefault="009510BF" w:rsidP="00F71285">
      <w:pPr>
        <w:pStyle w:val="BodyText"/>
        <w:numPr>
          <w:ilvl w:val="1"/>
          <w:numId w:val="41"/>
        </w:numPr>
        <w:spacing w:before="0" w:line="264" w:lineRule="auto"/>
      </w:pPr>
      <w:r>
        <w:lastRenderedPageBreak/>
        <w:t>the appropriateness of the system to monitor, implement and close recommendations made to the NIAA by relevant sources including Internal Audits, Assurance Reviews, audits by the Australian National Audit Office</w:t>
      </w:r>
      <w:r w:rsidR="00EA7C93">
        <w:t xml:space="preserve"> (ANAO)</w:t>
      </w:r>
      <w:r>
        <w:t xml:space="preserve">, Joint Committee on Public Accounts and Audit, and other Parliamentary Committees. The </w:t>
      </w:r>
      <w:r w:rsidR="00CD42DD">
        <w:t>C</w:t>
      </w:r>
      <w:r>
        <w:t xml:space="preserve">ommittee may review implementation plans, periodic updates on the progress of implementation and acknowledge when </w:t>
      </w:r>
      <w:r w:rsidR="0083405C">
        <w:t>the Head of Internal Audi</w:t>
      </w:r>
      <w:r w:rsidR="0078151E">
        <w:t xml:space="preserve">t has confirmed that </w:t>
      </w:r>
      <w:r>
        <w:t xml:space="preserve">management has </w:t>
      </w:r>
      <w:r w:rsidR="0078151E">
        <w:t xml:space="preserve">appropriately </w:t>
      </w:r>
      <w:r>
        <w:t>close</w:t>
      </w:r>
      <w:r w:rsidR="0078151E">
        <w:t>d</w:t>
      </w:r>
      <w:r>
        <w:t xml:space="preserve"> a </w:t>
      </w:r>
      <w:proofErr w:type="gramStart"/>
      <w:r>
        <w:t>recommendation</w:t>
      </w:r>
      <w:r w:rsidR="00F71285">
        <w:t>;</w:t>
      </w:r>
      <w:proofErr w:type="gramEnd"/>
    </w:p>
    <w:p w14:paraId="297539F0" w14:textId="405A5211" w:rsidR="00E74C8C" w:rsidRDefault="009510BF">
      <w:pPr>
        <w:pStyle w:val="BodyText"/>
        <w:numPr>
          <w:ilvl w:val="1"/>
          <w:numId w:val="41"/>
        </w:numPr>
        <w:spacing w:before="0" w:line="264" w:lineRule="auto"/>
      </w:pPr>
      <w:r>
        <w:t>the appropriateness of the</w:t>
      </w:r>
      <w:r w:rsidR="00E74C8C">
        <w:t xml:space="preserve"> steps</w:t>
      </w:r>
      <w:r>
        <w:t xml:space="preserve"> taken</w:t>
      </w:r>
      <w:r w:rsidR="00E74C8C">
        <w:t xml:space="preserve"> to embed a culture</w:t>
      </w:r>
      <w:r>
        <w:t xml:space="preserve"> of integrity</w:t>
      </w:r>
      <w:r w:rsidR="00E74C8C">
        <w:t xml:space="preserve"> </w:t>
      </w:r>
      <w:r>
        <w:t>which</w:t>
      </w:r>
      <w:r w:rsidR="00E74C8C">
        <w:t xml:space="preserve"> promotes the proper use and management of public resources and is committed to ethical and lawful </w:t>
      </w:r>
      <w:proofErr w:type="gramStart"/>
      <w:r w:rsidR="00E74C8C">
        <w:t>conduct</w:t>
      </w:r>
      <w:r w:rsidR="00F71285">
        <w:t>;</w:t>
      </w:r>
      <w:proofErr w:type="gramEnd"/>
    </w:p>
    <w:p w14:paraId="7F836D3F" w14:textId="38E0E19C" w:rsidR="00F71285" w:rsidRPr="00EB63A8" w:rsidRDefault="00F71285" w:rsidP="00567E41">
      <w:pPr>
        <w:pStyle w:val="BodyText"/>
        <w:numPr>
          <w:ilvl w:val="1"/>
          <w:numId w:val="41"/>
        </w:numPr>
        <w:spacing w:before="0" w:line="264" w:lineRule="auto"/>
      </w:pPr>
      <w:r w:rsidRPr="00567E41">
        <w:t>Business continuity arrangements</w:t>
      </w:r>
      <w:r w:rsidRPr="00EB63A8">
        <w:t>: including whether business continuity and disaster recovery plans are in place and have been periodically updated and tested</w:t>
      </w:r>
      <w:r>
        <w:t>; and</w:t>
      </w:r>
    </w:p>
    <w:p w14:paraId="70030537" w14:textId="77777777" w:rsidR="00F71285" w:rsidRPr="00EB63A8" w:rsidRDefault="00F71285" w:rsidP="00567E41">
      <w:pPr>
        <w:pStyle w:val="BodyText"/>
        <w:numPr>
          <w:ilvl w:val="1"/>
          <w:numId w:val="41"/>
        </w:numPr>
        <w:spacing w:before="0" w:line="264" w:lineRule="auto"/>
      </w:pPr>
      <w:r w:rsidRPr="00567E41">
        <w:t>Security compliance</w:t>
      </w:r>
      <w:r w:rsidRPr="00EB63A8">
        <w:t>: management's approach to maintaining an effective security system through review of the agency's maturity against the Protective Security Policy Framework and the ICT security policy.</w:t>
      </w:r>
    </w:p>
    <w:p w14:paraId="113C7552" w14:textId="6A41B1A5" w:rsidR="000C5DC7" w:rsidRPr="00E31797" w:rsidRDefault="000C5DC7" w:rsidP="000C5DC7">
      <w:pPr>
        <w:pStyle w:val="BodyText"/>
        <w:numPr>
          <w:ilvl w:val="0"/>
          <w:numId w:val="28"/>
        </w:numPr>
        <w:spacing w:before="0" w:line="264" w:lineRule="auto"/>
      </w:pPr>
      <w:r w:rsidRPr="00E31797">
        <w:t xml:space="preserve">The Committee is not responsible for the executive management of </w:t>
      </w:r>
      <w:r w:rsidR="00EA7C93">
        <w:t>NIAA</w:t>
      </w:r>
      <w:r w:rsidR="00EA7C93" w:rsidRPr="00E31797">
        <w:t xml:space="preserve"> </w:t>
      </w:r>
      <w:r w:rsidRPr="00E31797">
        <w:t>functions. The Committee will engage with management in a constructive and professional manner in discharging its advisory responsibilities and formulating its advice to the C</w:t>
      </w:r>
      <w:r w:rsidR="00EA7C93">
        <w:t>EO</w:t>
      </w:r>
      <w:r w:rsidRPr="00E31797">
        <w:t>.</w:t>
      </w:r>
    </w:p>
    <w:p w14:paraId="576D890E" w14:textId="09D573F5" w:rsidR="000C5DC7" w:rsidRPr="00E31797" w:rsidRDefault="000C5DC7" w:rsidP="000C5DC7">
      <w:pPr>
        <w:pStyle w:val="BodyText"/>
        <w:numPr>
          <w:ilvl w:val="0"/>
          <w:numId w:val="28"/>
        </w:numPr>
        <w:spacing w:before="0" w:line="264" w:lineRule="auto"/>
      </w:pPr>
      <w:r w:rsidRPr="00E31797">
        <w:t xml:space="preserve">The </w:t>
      </w:r>
      <w:r w:rsidR="002C7E6A">
        <w:t>Head of Internal Audit</w:t>
      </w:r>
      <w:r w:rsidRPr="00E31797">
        <w:t xml:space="preserve"> will be responsible for delivering an internal audit program aligned with the Committee’s guidance, organisational needs and subject to the approval of the C</w:t>
      </w:r>
      <w:r w:rsidR="00EA7C93">
        <w:t>EO</w:t>
      </w:r>
      <w:r w:rsidRPr="00E31797">
        <w:t>.</w:t>
      </w:r>
    </w:p>
    <w:p w14:paraId="202FB5C1" w14:textId="77777777" w:rsidR="000C5DC7" w:rsidRPr="00E31797" w:rsidRDefault="000C5DC7" w:rsidP="000C5DC7">
      <w:pPr>
        <w:pStyle w:val="Heading3"/>
      </w:pPr>
      <w:r w:rsidRPr="00E31797">
        <w:t>3.</w:t>
      </w:r>
      <w:r w:rsidRPr="00E31797">
        <w:tab/>
      </w:r>
      <w:r w:rsidRPr="000C5DC7">
        <w:rPr>
          <w:rStyle w:val="Heading2Char"/>
        </w:rPr>
        <w:t>Authority</w:t>
      </w:r>
    </w:p>
    <w:p w14:paraId="615C7485" w14:textId="6FA2F274" w:rsidR="000C5DC7" w:rsidRPr="00E31797" w:rsidRDefault="000C5DC7" w:rsidP="000C5DC7">
      <w:pPr>
        <w:pStyle w:val="BodyText"/>
        <w:numPr>
          <w:ilvl w:val="0"/>
          <w:numId w:val="29"/>
        </w:numPr>
        <w:spacing w:before="0" w:line="264" w:lineRule="auto"/>
      </w:pPr>
      <w:r w:rsidRPr="00E31797">
        <w:t>The C</w:t>
      </w:r>
      <w:r w:rsidR="00EA7C93">
        <w:t>EO</w:t>
      </w:r>
      <w:r w:rsidRPr="00E31797">
        <w:t xml:space="preserve"> authorises the Committee, within its responsibilities, to:</w:t>
      </w:r>
    </w:p>
    <w:p w14:paraId="32EEF021" w14:textId="77777777" w:rsidR="000C5DC7" w:rsidRPr="00E31797" w:rsidRDefault="000C5DC7" w:rsidP="000C5DC7">
      <w:pPr>
        <w:pStyle w:val="BodyText"/>
        <w:numPr>
          <w:ilvl w:val="0"/>
          <w:numId w:val="40"/>
        </w:numPr>
        <w:spacing w:before="0" w:line="264" w:lineRule="auto"/>
      </w:pPr>
      <w:r w:rsidRPr="00E31797">
        <w:t>obtain any information it requires from any employee or external party (subject to any legal obligation to protect information</w:t>
      </w:r>
      <w:proofErr w:type="gramStart"/>
      <w:r w:rsidRPr="00E31797">
        <w:t>)</w:t>
      </w:r>
      <w:r w:rsidR="00EA7C93">
        <w:t>;</w:t>
      </w:r>
      <w:proofErr w:type="gramEnd"/>
    </w:p>
    <w:p w14:paraId="137EE55A" w14:textId="77777777" w:rsidR="000C5DC7" w:rsidRPr="00E31797" w:rsidRDefault="000C5DC7" w:rsidP="000C5DC7">
      <w:pPr>
        <w:pStyle w:val="BodyText"/>
        <w:numPr>
          <w:ilvl w:val="0"/>
          <w:numId w:val="40"/>
        </w:numPr>
        <w:spacing w:before="0" w:line="264" w:lineRule="auto"/>
      </w:pPr>
      <w:r w:rsidRPr="00E31797">
        <w:t>discuss any matters with the external auditor, or other external parties (subject to confidentiality considerations</w:t>
      </w:r>
      <w:proofErr w:type="gramStart"/>
      <w:r w:rsidRPr="00E31797">
        <w:t>)</w:t>
      </w:r>
      <w:r w:rsidR="00EA7C93">
        <w:t>;</w:t>
      </w:r>
      <w:proofErr w:type="gramEnd"/>
    </w:p>
    <w:p w14:paraId="06316C7D" w14:textId="51FF9DCF" w:rsidR="000C5DC7" w:rsidRPr="00E31797" w:rsidRDefault="000C5DC7" w:rsidP="000C5DC7">
      <w:pPr>
        <w:pStyle w:val="BodyText"/>
        <w:numPr>
          <w:ilvl w:val="0"/>
          <w:numId w:val="40"/>
        </w:numPr>
        <w:spacing w:before="0" w:line="264" w:lineRule="auto"/>
      </w:pPr>
      <w:r w:rsidRPr="00E31797">
        <w:t>request the attendance of any official, including the C</w:t>
      </w:r>
      <w:r w:rsidR="00EA7C93">
        <w:t>EO</w:t>
      </w:r>
      <w:r w:rsidRPr="00E31797">
        <w:t>, at Committee meetings</w:t>
      </w:r>
      <w:r w:rsidR="00EA7C93">
        <w:t>;</w:t>
      </w:r>
      <w:r w:rsidR="009E2319">
        <w:t xml:space="preserve"> and </w:t>
      </w:r>
    </w:p>
    <w:p w14:paraId="311BB321" w14:textId="773E7540" w:rsidR="000C5DC7" w:rsidRPr="00E31797" w:rsidRDefault="000C5DC7" w:rsidP="000C5DC7">
      <w:pPr>
        <w:pStyle w:val="BodyText"/>
        <w:numPr>
          <w:ilvl w:val="0"/>
          <w:numId w:val="40"/>
        </w:numPr>
        <w:spacing w:before="0" w:line="264" w:lineRule="auto"/>
      </w:pPr>
      <w:r w:rsidRPr="00E31797">
        <w:t>obtain legal or other professional advice, as considered necessary to meet its responsibilities, at NIAA’s expense, subject to approval by the C</w:t>
      </w:r>
      <w:r w:rsidR="00EA7C93">
        <w:t>EO</w:t>
      </w:r>
      <w:r w:rsidRPr="00E31797">
        <w:t xml:space="preserve">. </w:t>
      </w:r>
    </w:p>
    <w:p w14:paraId="0EB3C9EA" w14:textId="77777777" w:rsidR="000C5DC7" w:rsidRPr="00E31797" w:rsidRDefault="000C5DC7" w:rsidP="000C5DC7">
      <w:pPr>
        <w:pStyle w:val="Heading3"/>
      </w:pPr>
      <w:r w:rsidRPr="00E31797">
        <w:t>4.</w:t>
      </w:r>
      <w:r w:rsidRPr="00E31797">
        <w:tab/>
      </w:r>
      <w:r w:rsidRPr="000C5DC7">
        <w:rPr>
          <w:rStyle w:val="Heading2Char"/>
        </w:rPr>
        <w:t>Membership</w:t>
      </w:r>
    </w:p>
    <w:p w14:paraId="2255D014" w14:textId="0BFC88E0" w:rsidR="000C5DC7" w:rsidRPr="00E31797" w:rsidRDefault="000C5DC7" w:rsidP="000C5DC7">
      <w:pPr>
        <w:pStyle w:val="BodyText"/>
        <w:numPr>
          <w:ilvl w:val="0"/>
          <w:numId w:val="30"/>
        </w:numPr>
        <w:spacing w:before="0" w:line="264" w:lineRule="auto"/>
      </w:pPr>
      <w:r w:rsidRPr="00E31797">
        <w:t>The Committee comprises three</w:t>
      </w:r>
      <w:r>
        <w:t xml:space="preserve"> or four</w:t>
      </w:r>
      <w:r w:rsidRPr="00E31797">
        <w:t xml:space="preserve"> </w:t>
      </w:r>
      <w:r>
        <w:t xml:space="preserve">independent </w:t>
      </w:r>
      <w:r w:rsidRPr="00E31797">
        <w:t>members appointed by the C</w:t>
      </w:r>
      <w:r w:rsidR="00EA7C93">
        <w:t>EO</w:t>
      </w:r>
      <w:r w:rsidRPr="00E31797">
        <w:t xml:space="preserve">. </w:t>
      </w:r>
      <w:r w:rsidR="00A2063A">
        <w:t>In addition, a</w:t>
      </w:r>
      <w:r>
        <w:t>t least one NIAA</w:t>
      </w:r>
      <w:r w:rsidRPr="00E31797">
        <w:t xml:space="preserve"> Deputy C</w:t>
      </w:r>
      <w:r w:rsidR="00EA7C93">
        <w:t>EO</w:t>
      </w:r>
      <w:r w:rsidRPr="00E31797">
        <w:t xml:space="preserve"> will be</w:t>
      </w:r>
      <w:r>
        <w:t xml:space="preserve"> appointed as a</w:t>
      </w:r>
      <w:r w:rsidRPr="00E31797">
        <w:t xml:space="preserve"> Senior Advisor</w:t>
      </w:r>
      <w:r>
        <w:t xml:space="preserve"> to the Committee.</w:t>
      </w:r>
    </w:p>
    <w:p w14:paraId="511C6056" w14:textId="721BA3A2" w:rsidR="000C5DC7" w:rsidRPr="00E31797" w:rsidRDefault="000C5DC7" w:rsidP="000C5DC7">
      <w:pPr>
        <w:pStyle w:val="BodyText"/>
        <w:numPr>
          <w:ilvl w:val="0"/>
          <w:numId w:val="30"/>
        </w:numPr>
        <w:spacing w:before="0" w:line="264" w:lineRule="auto"/>
      </w:pPr>
      <w:r w:rsidRPr="00E31797">
        <w:t>The C</w:t>
      </w:r>
      <w:r w:rsidR="00EA7C93">
        <w:t>EO</w:t>
      </w:r>
      <w:r w:rsidRPr="00E31797">
        <w:t xml:space="preserve"> will appoint the Chair of the Committee.  </w:t>
      </w:r>
    </w:p>
    <w:p w14:paraId="48A8B19D" w14:textId="77777777" w:rsidR="000C5DC7" w:rsidRPr="00E31797" w:rsidRDefault="000C5DC7" w:rsidP="000C5DC7">
      <w:pPr>
        <w:pStyle w:val="BodyText"/>
        <w:numPr>
          <w:ilvl w:val="0"/>
          <w:numId w:val="30"/>
        </w:numPr>
        <w:spacing w:before="0" w:line="264" w:lineRule="auto"/>
      </w:pPr>
      <w:r w:rsidRPr="00E31797">
        <w:t>The Committee is authorised to appoint a</w:t>
      </w:r>
      <w:r>
        <w:t xml:space="preserve"> </w:t>
      </w:r>
      <w:proofErr w:type="gramStart"/>
      <w:r>
        <w:t>Committee</w:t>
      </w:r>
      <w:proofErr w:type="gramEnd"/>
      <w:r w:rsidRPr="00E31797">
        <w:t xml:space="preserve"> member to be Deputy Chair who will act as chair in the absence of the Chair.</w:t>
      </w:r>
    </w:p>
    <w:p w14:paraId="0AB29CDE" w14:textId="141C5E40" w:rsidR="000C5DC7" w:rsidRPr="00E31797" w:rsidRDefault="000C5DC7" w:rsidP="000C5DC7">
      <w:pPr>
        <w:pStyle w:val="BodyText"/>
        <w:numPr>
          <w:ilvl w:val="0"/>
          <w:numId w:val="30"/>
        </w:numPr>
        <w:spacing w:before="0" w:line="264" w:lineRule="auto"/>
      </w:pPr>
      <w:r w:rsidRPr="00E31797">
        <w:lastRenderedPageBreak/>
        <w:t>The C</w:t>
      </w:r>
      <w:r w:rsidR="00EA7C93">
        <w:t>EO</w:t>
      </w:r>
      <w:r w:rsidRPr="00E31797">
        <w:t xml:space="preserve">, Chief Operating Officer, Chief Financial Officer, </w:t>
      </w:r>
      <w:r w:rsidR="009510BF">
        <w:t>Group Manager Integrity,</w:t>
      </w:r>
      <w:r w:rsidRPr="00E31797">
        <w:t xml:space="preserve"> Head of Internal Audit</w:t>
      </w:r>
      <w:r w:rsidR="00567E41">
        <w:t>, the outsourced audit provider,</w:t>
      </w:r>
      <w:r w:rsidR="009510BF">
        <w:t xml:space="preserve"> and other Officials</w:t>
      </w:r>
      <w:r w:rsidRPr="00E31797">
        <w:t xml:space="preserve"> may attend meetings as observers, as determined by the Chair, but will not be members of the Committee.  </w:t>
      </w:r>
    </w:p>
    <w:p w14:paraId="0138B968" w14:textId="00D13A00" w:rsidR="000C5DC7" w:rsidRPr="00E31797" w:rsidRDefault="000C5DC7" w:rsidP="000C5DC7">
      <w:pPr>
        <w:pStyle w:val="BodyText"/>
        <w:numPr>
          <w:ilvl w:val="0"/>
          <w:numId w:val="30"/>
        </w:numPr>
        <w:spacing w:before="0" w:line="264" w:lineRule="auto"/>
      </w:pPr>
      <w:r w:rsidRPr="00E31797">
        <w:t xml:space="preserve">Representatives from the ANAO </w:t>
      </w:r>
      <w:r w:rsidR="00933941" w:rsidRPr="00EB63A8">
        <w:t>may attend relevant committee meetings (in whole or in part) as observers, as determined by the Chair</w:t>
      </w:r>
      <w:r w:rsidR="00933941" w:rsidRPr="00E31797" w:rsidDel="00933941">
        <w:t xml:space="preserve"> </w:t>
      </w:r>
      <w:r w:rsidR="00933941">
        <w:t>and the ARC will meet privately with ANAO representatives at least once per year.</w:t>
      </w:r>
    </w:p>
    <w:p w14:paraId="782D8C91" w14:textId="1FB64ACC" w:rsidR="000C5DC7" w:rsidRPr="009E2319" w:rsidRDefault="000C5DC7" w:rsidP="009E2319">
      <w:pPr>
        <w:pStyle w:val="ListParagraph"/>
        <w:numPr>
          <w:ilvl w:val="0"/>
          <w:numId w:val="30"/>
        </w:numPr>
        <w:spacing w:before="120"/>
        <w:contextualSpacing w:val="0"/>
        <w:rPr>
          <w:sz w:val="22"/>
          <w:szCs w:val="22"/>
        </w:rPr>
      </w:pPr>
      <w:r w:rsidRPr="002C7E6A">
        <w:rPr>
          <w:sz w:val="22"/>
          <w:szCs w:val="22"/>
        </w:rPr>
        <w:t xml:space="preserve">The members, taken </w:t>
      </w:r>
      <w:r w:rsidRPr="009E2319">
        <w:rPr>
          <w:sz w:val="22"/>
          <w:szCs w:val="22"/>
        </w:rPr>
        <w:t>collectively, will have a broad range of skills and experience relevant to the operations of NIAA. At least one member of the Committee will have accounting or related financial management experience with an understanding of accounting and auditing standards in a public sector environment.</w:t>
      </w:r>
      <w:r w:rsidR="00634F8C" w:rsidRPr="009E2319">
        <w:rPr>
          <w:sz w:val="22"/>
          <w:szCs w:val="22"/>
        </w:rPr>
        <w:t xml:space="preserve"> </w:t>
      </w:r>
      <w:bookmarkStart w:id="0" w:name="_Hlk176448269"/>
      <w:r w:rsidR="003C1628">
        <w:rPr>
          <w:sz w:val="22"/>
          <w:szCs w:val="22"/>
        </w:rPr>
        <w:t xml:space="preserve">While not mandatory, there is a preference for at least one First Nations committee member. Irrespective, </w:t>
      </w:r>
      <w:bookmarkEnd w:id="0"/>
      <w:r w:rsidR="003C1628">
        <w:rPr>
          <w:sz w:val="22"/>
          <w:szCs w:val="22"/>
        </w:rPr>
        <w:t>m</w:t>
      </w:r>
      <w:r w:rsidRPr="009E2319">
        <w:rPr>
          <w:sz w:val="22"/>
          <w:szCs w:val="22"/>
        </w:rPr>
        <w:t>embers should</w:t>
      </w:r>
      <w:r w:rsidR="00F76C27" w:rsidRPr="009E2319">
        <w:rPr>
          <w:sz w:val="22"/>
          <w:szCs w:val="22"/>
        </w:rPr>
        <w:t xml:space="preserve"> demonstrate</w:t>
      </w:r>
      <w:r w:rsidRPr="009E2319">
        <w:rPr>
          <w:sz w:val="22"/>
          <w:szCs w:val="22"/>
        </w:rPr>
        <w:t xml:space="preserve"> cultural awareness including: </w:t>
      </w:r>
    </w:p>
    <w:p w14:paraId="067682F4" w14:textId="7B834B50" w:rsidR="000C5DC7" w:rsidRPr="009E2319" w:rsidRDefault="000C5DC7" w:rsidP="009E2319">
      <w:pPr>
        <w:pStyle w:val="ListParagraph"/>
        <w:numPr>
          <w:ilvl w:val="1"/>
          <w:numId w:val="30"/>
        </w:numPr>
        <w:spacing w:before="120"/>
        <w:ind w:left="1434" w:hanging="357"/>
        <w:rPr>
          <w:sz w:val="22"/>
          <w:szCs w:val="22"/>
        </w:rPr>
      </w:pPr>
      <w:r w:rsidRPr="009E2319">
        <w:rPr>
          <w:sz w:val="22"/>
          <w:szCs w:val="22"/>
        </w:rPr>
        <w:t xml:space="preserve">an understanding of the issues affecting Aboriginal and Torres Strait Islander </w:t>
      </w:r>
      <w:proofErr w:type="gramStart"/>
      <w:r w:rsidRPr="009E2319">
        <w:rPr>
          <w:sz w:val="22"/>
          <w:szCs w:val="22"/>
        </w:rPr>
        <w:t>peoples</w:t>
      </w:r>
      <w:r w:rsidR="009824EC" w:rsidRPr="009E2319">
        <w:rPr>
          <w:sz w:val="22"/>
          <w:szCs w:val="22"/>
        </w:rPr>
        <w:t>;</w:t>
      </w:r>
      <w:proofErr w:type="gramEnd"/>
    </w:p>
    <w:p w14:paraId="0B8A756E" w14:textId="26833FB7" w:rsidR="000C5DC7" w:rsidRPr="009E2319" w:rsidRDefault="000C5DC7" w:rsidP="009E2319">
      <w:pPr>
        <w:pStyle w:val="ListParagraph"/>
        <w:numPr>
          <w:ilvl w:val="1"/>
          <w:numId w:val="30"/>
        </w:numPr>
        <w:spacing w:before="120"/>
        <w:ind w:left="1434" w:hanging="357"/>
        <w:rPr>
          <w:sz w:val="22"/>
          <w:szCs w:val="22"/>
        </w:rPr>
      </w:pPr>
      <w:r w:rsidRPr="009E2319">
        <w:rPr>
          <w:sz w:val="22"/>
          <w:szCs w:val="22"/>
        </w:rPr>
        <w:t>an ability to communicate sensitively and effectively with Aboriginal and/or Torr</w:t>
      </w:r>
      <w:r w:rsidR="009E2319">
        <w:rPr>
          <w:sz w:val="22"/>
          <w:szCs w:val="22"/>
        </w:rPr>
        <w:t>es Strait Islander peoples; and</w:t>
      </w:r>
    </w:p>
    <w:p w14:paraId="59C7A592" w14:textId="4426AE29" w:rsidR="000C5DC7" w:rsidRPr="009E2319" w:rsidRDefault="000C5DC7" w:rsidP="009E2319">
      <w:pPr>
        <w:pStyle w:val="ListParagraph"/>
        <w:numPr>
          <w:ilvl w:val="1"/>
          <w:numId w:val="30"/>
        </w:numPr>
        <w:spacing w:before="120"/>
        <w:ind w:left="1434" w:hanging="357"/>
        <w:rPr>
          <w:sz w:val="22"/>
          <w:szCs w:val="22"/>
        </w:rPr>
      </w:pPr>
      <w:r w:rsidRPr="009E2319">
        <w:rPr>
          <w:sz w:val="22"/>
          <w:szCs w:val="22"/>
        </w:rPr>
        <w:t>a willingness and commitment to continue to develop cultural competency.</w:t>
      </w:r>
    </w:p>
    <w:p w14:paraId="5B27BD1C" w14:textId="1DBFDCEF" w:rsidR="000C5DC7" w:rsidRPr="00E31797" w:rsidRDefault="000C5DC7" w:rsidP="000C5DC7">
      <w:pPr>
        <w:pStyle w:val="BodyText"/>
        <w:numPr>
          <w:ilvl w:val="0"/>
          <w:numId w:val="30"/>
        </w:numPr>
        <w:spacing w:before="0" w:line="264" w:lineRule="auto"/>
      </w:pPr>
      <w:r w:rsidRPr="00E31797">
        <w:t>Members will be appointed for an initial period not exceeding three years. Members may be re-appointed after a review of their performance, for a further period not exceeding two year</w:t>
      </w:r>
      <w:r w:rsidR="009E2319">
        <w:t>s, unless agreed to by the CEO.</w:t>
      </w:r>
    </w:p>
    <w:p w14:paraId="1E8ECAAB" w14:textId="77777777" w:rsidR="000C5DC7" w:rsidRPr="00E31797" w:rsidRDefault="000C5DC7" w:rsidP="000C5DC7">
      <w:pPr>
        <w:pStyle w:val="Heading3"/>
      </w:pPr>
      <w:r w:rsidRPr="00E31797">
        <w:t>5.</w:t>
      </w:r>
      <w:r w:rsidRPr="00E31797">
        <w:tab/>
      </w:r>
      <w:r w:rsidRPr="000C5DC7">
        <w:rPr>
          <w:rStyle w:val="Heading2Char"/>
        </w:rPr>
        <w:t>Responsibilities of Committee Members</w:t>
      </w:r>
    </w:p>
    <w:p w14:paraId="6701C062" w14:textId="08A76A97" w:rsidR="000C5DC7" w:rsidRPr="00E31797" w:rsidRDefault="000C5DC7" w:rsidP="000C5DC7">
      <w:pPr>
        <w:pStyle w:val="BodyText"/>
        <w:numPr>
          <w:ilvl w:val="0"/>
          <w:numId w:val="31"/>
        </w:numPr>
        <w:spacing w:before="0" w:line="264" w:lineRule="auto"/>
      </w:pPr>
      <w:r w:rsidRPr="00E31797">
        <w:t xml:space="preserve">Members of the Committee are expected to understand and observe the legal requirements of the </w:t>
      </w:r>
      <w:r w:rsidR="009824EC" w:rsidRPr="00E31797">
        <w:t>PGPA</w:t>
      </w:r>
      <w:r w:rsidR="009824EC">
        <w:t> </w:t>
      </w:r>
      <w:r w:rsidRPr="00E31797">
        <w:t>Act and Rules. Members are also expected to:</w:t>
      </w:r>
    </w:p>
    <w:p w14:paraId="493E6DA1" w14:textId="77777777" w:rsidR="000C5DC7" w:rsidRPr="00E31797" w:rsidRDefault="000C5DC7" w:rsidP="000C5DC7">
      <w:pPr>
        <w:pStyle w:val="BodyText"/>
        <w:numPr>
          <w:ilvl w:val="0"/>
          <w:numId w:val="34"/>
        </w:numPr>
        <w:spacing w:before="0" w:line="264" w:lineRule="auto"/>
      </w:pPr>
      <w:r w:rsidRPr="00E31797">
        <w:t xml:space="preserve">act in the best interests of </w:t>
      </w:r>
      <w:proofErr w:type="gramStart"/>
      <w:r w:rsidRPr="00E31797">
        <w:t>NIAA</w:t>
      </w:r>
      <w:r w:rsidR="009824EC">
        <w:t>;</w:t>
      </w:r>
      <w:proofErr w:type="gramEnd"/>
    </w:p>
    <w:p w14:paraId="7B00A741" w14:textId="77777777" w:rsidR="000C5DC7" w:rsidRPr="00E31797" w:rsidRDefault="000C5DC7" w:rsidP="000C5DC7">
      <w:pPr>
        <w:pStyle w:val="BodyText"/>
        <w:numPr>
          <w:ilvl w:val="0"/>
          <w:numId w:val="34"/>
        </w:numPr>
        <w:spacing w:before="0" w:line="264" w:lineRule="auto"/>
      </w:pPr>
      <w:r w:rsidRPr="00E31797">
        <w:t xml:space="preserve">apply good analytical skills, objectivity and good </w:t>
      </w:r>
      <w:proofErr w:type="gramStart"/>
      <w:r w:rsidRPr="00E31797">
        <w:t>judgement</w:t>
      </w:r>
      <w:r w:rsidR="009824EC">
        <w:t>;</w:t>
      </w:r>
      <w:proofErr w:type="gramEnd"/>
    </w:p>
    <w:p w14:paraId="631D6CC9" w14:textId="77777777" w:rsidR="000C5DC7" w:rsidRPr="00E31797" w:rsidRDefault="000C5DC7" w:rsidP="000C5DC7">
      <w:pPr>
        <w:pStyle w:val="BodyText"/>
        <w:numPr>
          <w:ilvl w:val="0"/>
          <w:numId w:val="34"/>
        </w:numPr>
        <w:spacing w:before="0" w:line="264" w:lineRule="auto"/>
      </w:pPr>
      <w:r w:rsidRPr="00E31797">
        <w:t>express opinions constructively and openly, raise issues that relate to the Committee’s responsibilities and pursue independent lines of enquiry, and</w:t>
      </w:r>
    </w:p>
    <w:p w14:paraId="7AE344BD" w14:textId="77777777" w:rsidR="000C5DC7" w:rsidRPr="00E31797" w:rsidRDefault="000C5DC7" w:rsidP="000C5DC7">
      <w:pPr>
        <w:pStyle w:val="BodyText"/>
        <w:numPr>
          <w:ilvl w:val="0"/>
          <w:numId w:val="34"/>
        </w:numPr>
        <w:spacing w:before="0" w:line="264" w:lineRule="auto"/>
      </w:pPr>
      <w:r w:rsidRPr="00E31797">
        <w:t>contribute the time needed to review the papers provided and meet their responsibilities.</w:t>
      </w:r>
    </w:p>
    <w:p w14:paraId="7BD1122C" w14:textId="77777777" w:rsidR="000C5DC7" w:rsidRPr="00E31797" w:rsidRDefault="000C5DC7" w:rsidP="000C5DC7">
      <w:pPr>
        <w:pStyle w:val="BodyText"/>
        <w:numPr>
          <w:ilvl w:val="0"/>
          <w:numId w:val="31"/>
        </w:numPr>
        <w:spacing w:before="0" w:line="264" w:lineRule="auto"/>
      </w:pPr>
      <w:r w:rsidRPr="00E31797">
        <w:t>Committee members must not use or disclose information obtained by the Committee except in meeting the Committee’s responsibilities, or unless expressly agreed by the CEO.</w:t>
      </w:r>
    </w:p>
    <w:p w14:paraId="1EB32A95" w14:textId="77777777" w:rsidR="000C5DC7" w:rsidRPr="00E31797" w:rsidRDefault="000C5DC7" w:rsidP="000C5DC7">
      <w:pPr>
        <w:pStyle w:val="Heading3"/>
      </w:pPr>
      <w:r w:rsidRPr="00E31797">
        <w:t>6.</w:t>
      </w:r>
      <w:r w:rsidRPr="000C5DC7">
        <w:rPr>
          <w:rStyle w:val="Heading2Char"/>
        </w:rPr>
        <w:tab/>
        <w:t>Functions</w:t>
      </w:r>
    </w:p>
    <w:p w14:paraId="5A754EB3" w14:textId="19B0E76B" w:rsidR="000C5DC7" w:rsidRPr="00E31797" w:rsidRDefault="000C5DC7" w:rsidP="000C5DC7">
      <w:pPr>
        <w:pStyle w:val="BodyText"/>
        <w:numPr>
          <w:ilvl w:val="0"/>
          <w:numId w:val="32"/>
        </w:numPr>
        <w:spacing w:before="0" w:line="264" w:lineRule="auto"/>
      </w:pPr>
      <w:r w:rsidRPr="00E31797">
        <w:t xml:space="preserve">Section 17(2) of the Public Governance, Performance and Accountability Rule 2014 (the Rule) establishes mandatory function for audit committees. The functions must include reviewing the appropriateness of the </w:t>
      </w:r>
      <w:r w:rsidR="00A67ACB">
        <w:t>NIAA</w:t>
      </w:r>
      <w:r w:rsidR="00A67ACB" w:rsidRPr="00E31797">
        <w:t>’s</w:t>
      </w:r>
      <w:r w:rsidRPr="00E31797">
        <w:t>:</w:t>
      </w:r>
    </w:p>
    <w:p w14:paraId="6159082F" w14:textId="77777777" w:rsidR="000C5DC7" w:rsidRPr="00E31797" w:rsidRDefault="000C5DC7" w:rsidP="000C5DC7">
      <w:pPr>
        <w:pStyle w:val="BodyText"/>
        <w:numPr>
          <w:ilvl w:val="0"/>
          <w:numId w:val="33"/>
        </w:numPr>
        <w:spacing w:before="0" w:line="264" w:lineRule="auto"/>
      </w:pPr>
      <w:r w:rsidRPr="00E31797">
        <w:t xml:space="preserve">financial </w:t>
      </w:r>
      <w:proofErr w:type="gramStart"/>
      <w:r w:rsidRPr="00E31797">
        <w:t>reporting</w:t>
      </w:r>
      <w:r w:rsidR="009824EC">
        <w:t>;</w:t>
      </w:r>
      <w:proofErr w:type="gramEnd"/>
    </w:p>
    <w:p w14:paraId="2F9BE724" w14:textId="77777777" w:rsidR="000C5DC7" w:rsidRPr="00E31797" w:rsidRDefault="000C5DC7" w:rsidP="000C5DC7">
      <w:pPr>
        <w:pStyle w:val="BodyText"/>
        <w:numPr>
          <w:ilvl w:val="0"/>
          <w:numId w:val="33"/>
        </w:numPr>
        <w:spacing w:before="0" w:line="264" w:lineRule="auto"/>
      </w:pPr>
      <w:r w:rsidRPr="00E31797">
        <w:t xml:space="preserve">performance </w:t>
      </w:r>
      <w:proofErr w:type="gramStart"/>
      <w:r w:rsidRPr="00E31797">
        <w:t>reporting</w:t>
      </w:r>
      <w:r w:rsidR="009824EC">
        <w:t>;</w:t>
      </w:r>
      <w:proofErr w:type="gramEnd"/>
    </w:p>
    <w:p w14:paraId="0AFF116B" w14:textId="77777777" w:rsidR="000C5DC7" w:rsidRPr="00E31797" w:rsidRDefault="000C5DC7" w:rsidP="000C5DC7">
      <w:pPr>
        <w:pStyle w:val="BodyText"/>
        <w:numPr>
          <w:ilvl w:val="0"/>
          <w:numId w:val="33"/>
        </w:numPr>
        <w:spacing w:before="0" w:line="264" w:lineRule="auto"/>
      </w:pPr>
      <w:r w:rsidRPr="00E31797">
        <w:t>system of risk oversight and management</w:t>
      </w:r>
      <w:r w:rsidR="009824EC">
        <w:t>;</w:t>
      </w:r>
      <w:r w:rsidRPr="00E31797">
        <w:t xml:space="preserve"> and</w:t>
      </w:r>
    </w:p>
    <w:p w14:paraId="764BF854" w14:textId="77777777" w:rsidR="000C5DC7" w:rsidRPr="00E31797" w:rsidRDefault="000C5DC7" w:rsidP="000C5DC7">
      <w:pPr>
        <w:pStyle w:val="BodyText"/>
        <w:numPr>
          <w:ilvl w:val="0"/>
          <w:numId w:val="33"/>
        </w:numPr>
        <w:spacing w:before="0" w:line="264" w:lineRule="auto"/>
      </w:pPr>
      <w:r w:rsidRPr="00E31797">
        <w:t>system of internal control.</w:t>
      </w:r>
    </w:p>
    <w:p w14:paraId="5B82B323" w14:textId="32AAAF11" w:rsidR="000C5DC7" w:rsidRPr="00E31797" w:rsidRDefault="000C5DC7" w:rsidP="000C5DC7">
      <w:pPr>
        <w:pStyle w:val="BodyText"/>
        <w:numPr>
          <w:ilvl w:val="0"/>
          <w:numId w:val="32"/>
        </w:numPr>
        <w:spacing w:before="0" w:line="264" w:lineRule="auto"/>
      </w:pPr>
      <w:r w:rsidRPr="00E31797">
        <w:lastRenderedPageBreak/>
        <w:t xml:space="preserve">A detailed explanation of each function and a </w:t>
      </w:r>
      <w:r w:rsidR="00C5414F">
        <w:t xml:space="preserve">forward </w:t>
      </w:r>
      <w:r w:rsidRPr="00E31797">
        <w:t xml:space="preserve">work plan </w:t>
      </w:r>
      <w:r>
        <w:t xml:space="preserve">will be developed annually and </w:t>
      </w:r>
      <w:r w:rsidRPr="00E31797">
        <w:t>will be circulated</w:t>
      </w:r>
      <w:r w:rsidR="00F170B9">
        <w:t xml:space="preserve"> and reviewed</w:t>
      </w:r>
      <w:r w:rsidRPr="00E31797">
        <w:t xml:space="preserve"> </w:t>
      </w:r>
      <w:r w:rsidR="00F71285">
        <w:t>by</w:t>
      </w:r>
      <w:r w:rsidRPr="00E31797">
        <w:t xml:space="preserve"> each Committee meeting. </w:t>
      </w:r>
    </w:p>
    <w:p w14:paraId="401F3309" w14:textId="77777777" w:rsidR="000C5DC7" w:rsidRPr="00E31797" w:rsidRDefault="000C5DC7" w:rsidP="000C5DC7">
      <w:pPr>
        <w:pStyle w:val="Heading3"/>
      </w:pPr>
      <w:r w:rsidRPr="00E31797">
        <w:t>7.</w:t>
      </w:r>
      <w:r w:rsidRPr="00E31797">
        <w:tab/>
      </w:r>
      <w:r w:rsidRPr="000C5DC7">
        <w:rPr>
          <w:rStyle w:val="Heading2Char"/>
        </w:rPr>
        <w:t>Sub-committees</w:t>
      </w:r>
    </w:p>
    <w:p w14:paraId="07F5BAA3" w14:textId="046672F9" w:rsidR="000C5DC7" w:rsidRPr="00E31797" w:rsidRDefault="000C5DC7" w:rsidP="000C5DC7">
      <w:pPr>
        <w:pStyle w:val="BodyText"/>
        <w:numPr>
          <w:ilvl w:val="0"/>
          <w:numId w:val="37"/>
        </w:numPr>
        <w:spacing w:before="0" w:line="264" w:lineRule="auto"/>
      </w:pPr>
      <w:r w:rsidRPr="00E31797">
        <w:t xml:space="preserve">The Committee may establish one or more sub-committee/s to assist the Committee in meeting its responsibilities. </w:t>
      </w:r>
    </w:p>
    <w:p w14:paraId="7905B4EF" w14:textId="121A417F" w:rsidR="000C5DC7" w:rsidRPr="00E31797" w:rsidRDefault="000C5DC7" w:rsidP="000C5DC7">
      <w:pPr>
        <w:pStyle w:val="BodyText"/>
        <w:numPr>
          <w:ilvl w:val="0"/>
          <w:numId w:val="37"/>
        </w:numPr>
        <w:spacing w:before="0" w:line="264" w:lineRule="auto"/>
      </w:pPr>
      <w:r w:rsidRPr="00E31797">
        <w:t>The responsibilities, membership and reporting arrangements for each sub-committee shall be documented and approved by the Committee. The Committee stipulates that:</w:t>
      </w:r>
    </w:p>
    <w:p w14:paraId="6AFB3E17" w14:textId="4152645D" w:rsidR="000C5DC7" w:rsidRPr="00E31797" w:rsidRDefault="000C5DC7" w:rsidP="000C5DC7">
      <w:pPr>
        <w:pStyle w:val="BodyText"/>
        <w:numPr>
          <w:ilvl w:val="0"/>
          <w:numId w:val="36"/>
        </w:numPr>
        <w:spacing w:before="0" w:line="264" w:lineRule="auto"/>
      </w:pPr>
      <w:r w:rsidRPr="00E31797">
        <w:t xml:space="preserve">a member of the Committee is appointed as Chair of the sub-committee; the membership of sub-committees could extend beyond members of the Committee if additional expertise on particular matters is </w:t>
      </w:r>
      <w:proofErr w:type="gramStart"/>
      <w:r w:rsidRPr="00E31797">
        <w:t>required</w:t>
      </w:r>
      <w:r w:rsidR="009824EC">
        <w:t>;</w:t>
      </w:r>
      <w:proofErr w:type="gramEnd"/>
    </w:p>
    <w:p w14:paraId="4389EF91" w14:textId="4C62F1C9" w:rsidR="000C5DC7" w:rsidRPr="00E31797" w:rsidRDefault="000C5DC7" w:rsidP="000C5DC7">
      <w:pPr>
        <w:pStyle w:val="BodyText"/>
        <w:numPr>
          <w:ilvl w:val="0"/>
          <w:numId w:val="36"/>
        </w:numPr>
        <w:spacing w:before="0" w:line="264" w:lineRule="auto"/>
      </w:pPr>
      <w:r w:rsidRPr="00E31797">
        <w:t>minutes of all meetings of sub-committees are taken, distributed promptly to all members of the Committee, and tabled for discussion at the next Committee meeting</w:t>
      </w:r>
      <w:r w:rsidR="009824EC">
        <w:t>;</w:t>
      </w:r>
      <w:r w:rsidR="009824EC" w:rsidRPr="00E31797">
        <w:t xml:space="preserve"> </w:t>
      </w:r>
      <w:r w:rsidRPr="00E31797">
        <w:t>and</w:t>
      </w:r>
    </w:p>
    <w:p w14:paraId="1DB86738" w14:textId="0AE29094" w:rsidR="000C5DC7" w:rsidRPr="00E31797" w:rsidRDefault="000C5DC7" w:rsidP="000C5DC7">
      <w:pPr>
        <w:pStyle w:val="BodyText"/>
        <w:numPr>
          <w:ilvl w:val="0"/>
          <w:numId w:val="36"/>
        </w:numPr>
        <w:spacing w:before="0" w:line="264" w:lineRule="auto"/>
      </w:pPr>
      <w:r w:rsidRPr="00E31797">
        <w:t xml:space="preserve">important issues that may require consideration by the Committee are brought to the attention of the Chair immediately following a sub-committee meeting so that the Chair is </w:t>
      </w:r>
      <w:proofErr w:type="gramStart"/>
      <w:r w:rsidRPr="00E31797">
        <w:t>in a position</w:t>
      </w:r>
      <w:proofErr w:type="gramEnd"/>
      <w:r w:rsidRPr="00E31797">
        <w:t xml:space="preserve"> to decide what action to take.</w:t>
      </w:r>
    </w:p>
    <w:p w14:paraId="465C8524" w14:textId="77777777" w:rsidR="000C5DC7" w:rsidRPr="00E31797" w:rsidRDefault="000C5DC7" w:rsidP="000C5DC7">
      <w:pPr>
        <w:pStyle w:val="BodyText"/>
        <w:numPr>
          <w:ilvl w:val="0"/>
          <w:numId w:val="37"/>
        </w:numPr>
        <w:spacing w:before="0" w:line="264" w:lineRule="auto"/>
      </w:pPr>
      <w:r w:rsidRPr="00E31797">
        <w:t xml:space="preserve">Audit Committee sub-committees should not assume any management </w:t>
      </w:r>
      <w:proofErr w:type="gramStart"/>
      <w:r w:rsidRPr="00E31797">
        <w:t>functions</w:t>
      </w:r>
      <w:proofErr w:type="gramEnd"/>
      <w:r w:rsidRPr="00E31797">
        <w:t xml:space="preserve"> nor should management exert inappropriate influence over the work of sub-committees.</w:t>
      </w:r>
    </w:p>
    <w:p w14:paraId="666C9FF3" w14:textId="30D1281A" w:rsidR="000C5DC7" w:rsidRPr="000C5DC7" w:rsidRDefault="000C5DC7" w:rsidP="000C5DC7">
      <w:pPr>
        <w:pStyle w:val="Heading4"/>
      </w:pPr>
      <w:r w:rsidRPr="000C5DC7">
        <w:t xml:space="preserve">Financial </w:t>
      </w:r>
      <w:r w:rsidR="00567E41">
        <w:t xml:space="preserve">and Performance </w:t>
      </w:r>
      <w:r w:rsidRPr="000C5DC7">
        <w:t>Statements Advisor role</w:t>
      </w:r>
    </w:p>
    <w:p w14:paraId="7041205D" w14:textId="1406D14D" w:rsidR="000C5DC7" w:rsidRPr="00E31797" w:rsidRDefault="000C5DC7" w:rsidP="000C5DC7">
      <w:pPr>
        <w:pStyle w:val="BodyText"/>
        <w:ind w:left="720" w:hanging="720"/>
      </w:pPr>
      <w:r w:rsidRPr="00E31797">
        <w:t>7.4</w:t>
      </w:r>
      <w:r w:rsidRPr="00E31797">
        <w:tab/>
        <w:t xml:space="preserve">The </w:t>
      </w:r>
      <w:r w:rsidR="00567E41">
        <w:t>CEO may</w:t>
      </w:r>
      <w:r w:rsidRPr="00E31797">
        <w:t xml:space="preserve"> appoint member</w:t>
      </w:r>
      <w:r w:rsidR="00567E41">
        <w:t>s</w:t>
      </w:r>
      <w:r w:rsidRPr="00E31797">
        <w:t xml:space="preserve"> of the Committee in an advisor role to oversee, review, report and advise the Committee on the planning, management and finalisation of the </w:t>
      </w:r>
      <w:r w:rsidR="009824EC">
        <w:t>NIAA</w:t>
      </w:r>
      <w:r w:rsidR="009824EC" w:rsidRPr="00E31797">
        <w:t xml:space="preserve">’s </w:t>
      </w:r>
      <w:r w:rsidRPr="00E31797">
        <w:t>annual financial</w:t>
      </w:r>
      <w:r w:rsidR="00567E41">
        <w:t xml:space="preserve"> and/or performance</w:t>
      </w:r>
      <w:r w:rsidRPr="00E31797">
        <w:t xml:space="preserve"> statements</w:t>
      </w:r>
      <w:r w:rsidR="00567E41">
        <w:t>,</w:t>
      </w:r>
      <w:r w:rsidRPr="00E31797">
        <w:t xml:space="preserve"> and compliance assurance processes.</w:t>
      </w:r>
    </w:p>
    <w:p w14:paraId="0D838FFE" w14:textId="5E902D7E" w:rsidR="000C5DC7" w:rsidRPr="00E31797" w:rsidRDefault="000C5DC7" w:rsidP="000C5DC7">
      <w:pPr>
        <w:pStyle w:val="BodyText"/>
        <w:ind w:left="720" w:hanging="720"/>
      </w:pPr>
      <w:r w:rsidRPr="00E31797">
        <w:t>7.5</w:t>
      </w:r>
      <w:r w:rsidRPr="00E31797">
        <w:tab/>
        <w:t>The Financial</w:t>
      </w:r>
      <w:r w:rsidR="00567E41">
        <w:t xml:space="preserve"> and Performance</w:t>
      </w:r>
      <w:r w:rsidRPr="00E31797">
        <w:t xml:space="preserve"> Statements Advisor</w:t>
      </w:r>
      <w:r w:rsidR="00567E41">
        <w:t>s, where appointed,</w:t>
      </w:r>
      <w:r w:rsidRPr="00E31797">
        <w:t xml:space="preserve"> will report to the Committee each meeting and out-of-session to the Committee Chair for any issue of significance that needs to be addressed.</w:t>
      </w:r>
    </w:p>
    <w:p w14:paraId="0B37AEA9" w14:textId="77777777" w:rsidR="000C5DC7" w:rsidRPr="00E31797" w:rsidRDefault="000C5DC7" w:rsidP="000C5DC7">
      <w:pPr>
        <w:pStyle w:val="Heading3"/>
      </w:pPr>
      <w:r w:rsidRPr="00E31797">
        <w:t>8.</w:t>
      </w:r>
      <w:r w:rsidRPr="00E31797">
        <w:tab/>
      </w:r>
      <w:r w:rsidRPr="000C5DC7">
        <w:rPr>
          <w:rStyle w:val="Heading2Char"/>
        </w:rPr>
        <w:t>Reporting</w:t>
      </w:r>
    </w:p>
    <w:p w14:paraId="72344363" w14:textId="77777777" w:rsidR="000C5DC7" w:rsidRPr="00E31797" w:rsidRDefault="000C5DC7" w:rsidP="000C5DC7">
      <w:pPr>
        <w:pStyle w:val="BodyText"/>
        <w:numPr>
          <w:ilvl w:val="0"/>
          <w:numId w:val="38"/>
        </w:numPr>
        <w:spacing w:before="0" w:line="264" w:lineRule="auto"/>
      </w:pPr>
      <w:r w:rsidRPr="00E31797">
        <w:t>The Committee will report as often as necessary, and at least once a year, to the CEO on its operation and activities during the year including:</w:t>
      </w:r>
    </w:p>
    <w:p w14:paraId="5A0A1D6E" w14:textId="77777777" w:rsidR="000C5DC7" w:rsidRPr="00E31797" w:rsidRDefault="000C5DC7" w:rsidP="000C5DC7">
      <w:pPr>
        <w:pStyle w:val="BodyText"/>
        <w:numPr>
          <w:ilvl w:val="0"/>
          <w:numId w:val="35"/>
        </w:numPr>
        <w:spacing w:before="0" w:line="264" w:lineRule="auto"/>
      </w:pPr>
      <w:r w:rsidRPr="00E31797">
        <w:t xml:space="preserve">financial </w:t>
      </w:r>
      <w:proofErr w:type="gramStart"/>
      <w:r w:rsidRPr="00E31797">
        <w:t>reporting</w:t>
      </w:r>
      <w:r w:rsidR="009824EC">
        <w:t>;</w:t>
      </w:r>
      <w:proofErr w:type="gramEnd"/>
    </w:p>
    <w:p w14:paraId="5117F787" w14:textId="77777777" w:rsidR="000C5DC7" w:rsidRPr="00E31797" w:rsidRDefault="000C5DC7" w:rsidP="000C5DC7">
      <w:pPr>
        <w:pStyle w:val="BodyText"/>
        <w:numPr>
          <w:ilvl w:val="0"/>
          <w:numId w:val="35"/>
        </w:numPr>
        <w:spacing w:before="0" w:line="264" w:lineRule="auto"/>
      </w:pPr>
      <w:r w:rsidRPr="00E31797">
        <w:t xml:space="preserve">performance </w:t>
      </w:r>
      <w:proofErr w:type="gramStart"/>
      <w:r w:rsidRPr="00E31797">
        <w:t>reporting</w:t>
      </w:r>
      <w:r w:rsidR="009824EC">
        <w:t>;</w:t>
      </w:r>
      <w:proofErr w:type="gramEnd"/>
    </w:p>
    <w:p w14:paraId="1F7FC578" w14:textId="64983C51" w:rsidR="000C5DC7" w:rsidRPr="00E31797" w:rsidRDefault="000C5DC7" w:rsidP="000C5DC7">
      <w:pPr>
        <w:pStyle w:val="BodyText"/>
        <w:numPr>
          <w:ilvl w:val="0"/>
          <w:numId w:val="35"/>
        </w:numPr>
        <w:spacing w:before="0" w:line="264" w:lineRule="auto"/>
      </w:pPr>
      <w:r w:rsidRPr="00E31797">
        <w:t>system of risk oversight and management</w:t>
      </w:r>
      <w:r w:rsidR="009824EC">
        <w:t>;</w:t>
      </w:r>
      <w:r w:rsidR="009824EC" w:rsidRPr="00E31797">
        <w:t xml:space="preserve"> </w:t>
      </w:r>
      <w:r w:rsidRPr="00E31797">
        <w:t>and</w:t>
      </w:r>
    </w:p>
    <w:p w14:paraId="03C754C1" w14:textId="77777777" w:rsidR="000C5DC7" w:rsidRPr="00E31797" w:rsidRDefault="000C5DC7" w:rsidP="000C5DC7">
      <w:pPr>
        <w:pStyle w:val="BodyText"/>
        <w:numPr>
          <w:ilvl w:val="0"/>
          <w:numId w:val="35"/>
        </w:numPr>
        <w:spacing w:before="0" w:line="264" w:lineRule="auto"/>
      </w:pPr>
      <w:r w:rsidRPr="00E31797">
        <w:t>system of internal control.</w:t>
      </w:r>
    </w:p>
    <w:p w14:paraId="110B2085" w14:textId="77777777" w:rsidR="000C5DC7" w:rsidRPr="00E31797" w:rsidRDefault="000C5DC7" w:rsidP="000C5DC7">
      <w:pPr>
        <w:pStyle w:val="BodyText"/>
        <w:numPr>
          <w:ilvl w:val="0"/>
          <w:numId w:val="38"/>
        </w:numPr>
        <w:spacing w:before="0" w:line="264" w:lineRule="auto"/>
      </w:pPr>
      <w:r w:rsidRPr="00E31797">
        <w:t>The Committee may, at any time, report to the CEO any other matter it deems of sufficient importance to do so. In addition, at any time an individual Committee member may request a meeting with the CEO.</w:t>
      </w:r>
    </w:p>
    <w:p w14:paraId="72EB4ED4" w14:textId="77777777" w:rsidR="000C5DC7" w:rsidRPr="00E31797" w:rsidRDefault="000C5DC7" w:rsidP="000C5DC7">
      <w:pPr>
        <w:pStyle w:val="Heading3"/>
      </w:pPr>
      <w:r w:rsidRPr="00E31797">
        <w:lastRenderedPageBreak/>
        <w:t>9.</w:t>
      </w:r>
      <w:r w:rsidRPr="00E31797">
        <w:tab/>
      </w:r>
      <w:r w:rsidRPr="000C5DC7">
        <w:rPr>
          <w:rStyle w:val="Heading2Char"/>
        </w:rPr>
        <w:t>Administrative Arrangements</w:t>
      </w:r>
      <w:r w:rsidRPr="00E31797">
        <w:t xml:space="preserve"> </w:t>
      </w:r>
    </w:p>
    <w:p w14:paraId="483C03EA" w14:textId="77777777" w:rsidR="000C5DC7" w:rsidRPr="00E31797" w:rsidRDefault="000C5DC7" w:rsidP="000C5DC7">
      <w:pPr>
        <w:pStyle w:val="Heading4"/>
      </w:pPr>
      <w:r w:rsidRPr="00E31797">
        <w:t>Meetings</w:t>
      </w:r>
    </w:p>
    <w:p w14:paraId="416F0D3C" w14:textId="77777777" w:rsidR="000C5DC7" w:rsidRPr="00E31797" w:rsidRDefault="000C5DC7" w:rsidP="000C5DC7">
      <w:pPr>
        <w:pStyle w:val="BodyText"/>
        <w:numPr>
          <w:ilvl w:val="0"/>
          <w:numId w:val="39"/>
        </w:numPr>
        <w:spacing w:before="0" w:line="264" w:lineRule="auto"/>
      </w:pPr>
      <w:r w:rsidRPr="00E31797">
        <w:t xml:space="preserve">The Committee will meet at least four times per year. Special meeting/s, in addition to the four regular meetings, may be held </w:t>
      </w:r>
      <w:r>
        <w:t>for other purposes as required</w:t>
      </w:r>
      <w:r w:rsidRPr="00E31797">
        <w:t>.</w:t>
      </w:r>
    </w:p>
    <w:p w14:paraId="5C5B9FD8" w14:textId="77777777" w:rsidR="000C5DC7" w:rsidRPr="00E31797" w:rsidRDefault="000C5DC7" w:rsidP="000C5DC7">
      <w:pPr>
        <w:pStyle w:val="BodyText"/>
        <w:numPr>
          <w:ilvl w:val="0"/>
          <w:numId w:val="39"/>
        </w:numPr>
        <w:spacing w:before="0" w:line="264" w:lineRule="auto"/>
      </w:pPr>
      <w:r w:rsidRPr="00E31797">
        <w:t xml:space="preserve">The Chair is required to call a meeting if asked to do so by the </w:t>
      </w:r>
      <w:proofErr w:type="gramStart"/>
      <w:r w:rsidRPr="00E31797">
        <w:t>CEO, and</w:t>
      </w:r>
      <w:proofErr w:type="gramEnd"/>
      <w:r w:rsidRPr="00E31797">
        <w:t xml:space="preserve"> decide if a meeting is required if requested by another Committee member.</w:t>
      </w:r>
    </w:p>
    <w:p w14:paraId="421014A2" w14:textId="77777777" w:rsidR="000C5DC7" w:rsidRPr="00E31797" w:rsidRDefault="000C5DC7" w:rsidP="000C5DC7">
      <w:pPr>
        <w:pStyle w:val="Heading4"/>
      </w:pPr>
      <w:r w:rsidRPr="00E31797">
        <w:t>Planning</w:t>
      </w:r>
    </w:p>
    <w:p w14:paraId="7DF46BA8" w14:textId="4D873101" w:rsidR="000C5DC7" w:rsidRDefault="000C5DC7" w:rsidP="000C5DC7">
      <w:pPr>
        <w:pStyle w:val="BodyText"/>
        <w:numPr>
          <w:ilvl w:val="0"/>
          <w:numId w:val="39"/>
        </w:numPr>
        <w:spacing w:before="0" w:line="264" w:lineRule="auto"/>
      </w:pPr>
      <w:r w:rsidRPr="00E31797">
        <w:t xml:space="preserve">The Committee will develop a forward meeting schedule that includes the dates, location and proposed agenda </w:t>
      </w:r>
      <w:r w:rsidR="00B10D43">
        <w:t xml:space="preserve">(based on the forward work plan) </w:t>
      </w:r>
      <w:r w:rsidRPr="00E31797">
        <w:t>for each meeting for the forthcoming year, and that covers all the responsibilities outlined in this charter.</w:t>
      </w:r>
    </w:p>
    <w:p w14:paraId="4DB1C0C1" w14:textId="77777777" w:rsidR="000C5DC7" w:rsidRPr="00E31797" w:rsidRDefault="000C5DC7" w:rsidP="000C5DC7">
      <w:pPr>
        <w:pStyle w:val="Heading4"/>
      </w:pPr>
      <w:r w:rsidRPr="00E31797">
        <w:t>Attendance at meetings and quorums</w:t>
      </w:r>
    </w:p>
    <w:p w14:paraId="373C7DC9" w14:textId="77777777" w:rsidR="000C5DC7" w:rsidRPr="00E31797" w:rsidRDefault="000C5DC7" w:rsidP="000C5DC7">
      <w:pPr>
        <w:pStyle w:val="BodyText"/>
        <w:numPr>
          <w:ilvl w:val="0"/>
          <w:numId w:val="39"/>
        </w:numPr>
        <w:spacing w:before="0" w:line="264" w:lineRule="auto"/>
      </w:pPr>
      <w:r w:rsidRPr="00E31797">
        <w:t xml:space="preserve">A quorum will consist of two Committee members, with at least one Senior Advisor to </w:t>
      </w:r>
      <w:proofErr w:type="gramStart"/>
      <w:r w:rsidRPr="00E31797">
        <w:t>be in attendance at</w:t>
      </w:r>
      <w:proofErr w:type="gramEnd"/>
      <w:r w:rsidRPr="00E31797">
        <w:t xml:space="preserve"> all meetings.</w:t>
      </w:r>
    </w:p>
    <w:p w14:paraId="26B26169" w14:textId="77777777" w:rsidR="000C5DC7" w:rsidRPr="00E31797" w:rsidRDefault="000C5DC7" w:rsidP="000C5DC7">
      <w:pPr>
        <w:pStyle w:val="Heading4"/>
      </w:pPr>
      <w:r w:rsidRPr="00E31797">
        <w:t>Secretariat</w:t>
      </w:r>
    </w:p>
    <w:p w14:paraId="244FC75F" w14:textId="500B6F20" w:rsidR="000C5DC7" w:rsidRPr="00E31797" w:rsidRDefault="002C7E6A" w:rsidP="000C5DC7">
      <w:pPr>
        <w:pStyle w:val="BodyText"/>
        <w:numPr>
          <w:ilvl w:val="0"/>
          <w:numId w:val="39"/>
        </w:numPr>
        <w:spacing w:before="0" w:line="264" w:lineRule="auto"/>
      </w:pPr>
      <w:r>
        <w:t xml:space="preserve">The </w:t>
      </w:r>
      <w:r w:rsidR="000C5DC7">
        <w:t xml:space="preserve">NIAA </w:t>
      </w:r>
      <w:r w:rsidR="000C5DC7" w:rsidRPr="00E31797">
        <w:t>will provide secretariat support to the Committee. The Secretariat will ensure the</w:t>
      </w:r>
      <w:r w:rsidR="000C5DC7">
        <w:t xml:space="preserve"> </w:t>
      </w:r>
      <w:r w:rsidR="000C5DC7" w:rsidRPr="00E31797">
        <w:t xml:space="preserve">agenda for each meeting and supporting papers are circulated, after approval from the Chair, one week before the meeting, and ensure the minutes of the meeting are prepared and maintained. Minutes must be reviewed by the Chair </w:t>
      </w:r>
      <w:r w:rsidR="000C5DC7">
        <w:t>as soon as practicable following the</w:t>
      </w:r>
      <w:r w:rsidR="000C5DC7" w:rsidRPr="00E31797">
        <w:t xml:space="preserve"> meeting.</w:t>
      </w:r>
    </w:p>
    <w:p w14:paraId="23A05344" w14:textId="77777777" w:rsidR="000C5DC7" w:rsidRPr="00E31797" w:rsidRDefault="000C5DC7" w:rsidP="000C5DC7">
      <w:pPr>
        <w:pStyle w:val="Heading4"/>
      </w:pPr>
      <w:r w:rsidRPr="00E31797">
        <w:t>Conflicts of interest</w:t>
      </w:r>
    </w:p>
    <w:p w14:paraId="58A723AE" w14:textId="61B31024" w:rsidR="000C5DC7" w:rsidRPr="00E31797" w:rsidRDefault="000C5DC7" w:rsidP="000C5DC7">
      <w:pPr>
        <w:pStyle w:val="BodyText"/>
        <w:numPr>
          <w:ilvl w:val="0"/>
          <w:numId w:val="39"/>
        </w:numPr>
        <w:spacing w:before="0" w:line="264" w:lineRule="auto"/>
      </w:pPr>
      <w:r w:rsidRPr="00E31797">
        <w:t xml:space="preserve">Once each year, members of the Committee will provide written declarations to the </w:t>
      </w:r>
      <w:r w:rsidR="002C7E6A">
        <w:t>Head of Internal Audit</w:t>
      </w:r>
      <w:r w:rsidR="002C7E6A" w:rsidRPr="00E31797">
        <w:t xml:space="preserve"> </w:t>
      </w:r>
      <w:r w:rsidRPr="00E31797">
        <w:t>for provision to the CEO</w:t>
      </w:r>
      <w:r w:rsidR="009824EC">
        <w:t>,</w:t>
      </w:r>
      <w:r w:rsidRPr="00E31797">
        <w:t xml:space="preserve"> declaring any potential or actual conflicts of interest they may have in relation to their responsibilities. </w:t>
      </w:r>
      <w:r>
        <w:t>M</w:t>
      </w:r>
      <w:r w:rsidRPr="00E31797">
        <w:t>embers should consider past</w:t>
      </w:r>
      <w:r w:rsidR="002C7E6A">
        <w:t xml:space="preserve"> and current</w:t>
      </w:r>
      <w:r w:rsidRPr="00E31797">
        <w:t xml:space="preserve"> employment, consultancy arrangements and related party issues in making these declarations and the Chair should be satisfied that there are sufficient processes in place to manage any real or perceived conflict.</w:t>
      </w:r>
    </w:p>
    <w:p w14:paraId="1F10AB18" w14:textId="77777777" w:rsidR="000C5DC7" w:rsidRPr="00E31797" w:rsidRDefault="000C5DC7" w:rsidP="000C5DC7">
      <w:pPr>
        <w:pStyle w:val="BodyText"/>
        <w:numPr>
          <w:ilvl w:val="0"/>
          <w:numId w:val="39"/>
        </w:numPr>
        <w:spacing w:before="0" w:line="264" w:lineRule="auto"/>
      </w:pPr>
      <w:r w:rsidRPr="00E31797">
        <w:t xml:space="preserve">At the beginning of each Committee meeting, members are required to declare any potential or actual conflicts of interest that may apply to specific matters on the meeting agenda. Where required by the Chair, the member will be excused from the meeting or from the Committee’s consideration of the relevant agenda item(s). Details of potential or actual conflicts of interest declared by members and action taken will be appropriately </w:t>
      </w:r>
      <w:proofErr w:type="spellStart"/>
      <w:r w:rsidRPr="00E31797">
        <w:t>minuted</w:t>
      </w:r>
      <w:proofErr w:type="spellEnd"/>
      <w:r w:rsidRPr="00E31797">
        <w:t>.</w:t>
      </w:r>
    </w:p>
    <w:p w14:paraId="5D808C3D" w14:textId="77777777" w:rsidR="000C5DC7" w:rsidRPr="00E31797" w:rsidRDefault="000C5DC7" w:rsidP="000C5DC7">
      <w:pPr>
        <w:pStyle w:val="Heading4"/>
      </w:pPr>
      <w:r w:rsidRPr="00E31797">
        <w:t>Induction</w:t>
      </w:r>
    </w:p>
    <w:p w14:paraId="2790D5CE" w14:textId="77777777" w:rsidR="000C5DC7" w:rsidRPr="00E31797" w:rsidRDefault="000C5DC7" w:rsidP="000C5DC7">
      <w:pPr>
        <w:pStyle w:val="BodyText"/>
        <w:numPr>
          <w:ilvl w:val="0"/>
          <w:numId w:val="39"/>
        </w:numPr>
        <w:spacing w:before="0" w:line="264" w:lineRule="auto"/>
      </w:pPr>
      <w:r w:rsidRPr="00E31797">
        <w:t xml:space="preserve">New members will receive relevant information and briefings on their appointment to assist them to meet their </w:t>
      </w:r>
      <w:proofErr w:type="gramStart"/>
      <w:r w:rsidRPr="00E31797">
        <w:t>Committee</w:t>
      </w:r>
      <w:proofErr w:type="gramEnd"/>
      <w:r w:rsidRPr="00E31797">
        <w:t xml:space="preserve"> responsibilities.</w:t>
      </w:r>
    </w:p>
    <w:p w14:paraId="7A670AE9" w14:textId="77777777" w:rsidR="000C5DC7" w:rsidRPr="00E31797" w:rsidRDefault="000C5DC7" w:rsidP="000C5DC7">
      <w:pPr>
        <w:pStyle w:val="Heading4"/>
      </w:pPr>
      <w:r w:rsidRPr="00E31797">
        <w:t>Assessment arrangements</w:t>
      </w:r>
    </w:p>
    <w:p w14:paraId="5E1A8CFF" w14:textId="77777777" w:rsidR="000C5DC7" w:rsidRPr="00E31797" w:rsidRDefault="000C5DC7" w:rsidP="000C5DC7">
      <w:pPr>
        <w:pStyle w:val="BodyText"/>
        <w:numPr>
          <w:ilvl w:val="0"/>
          <w:numId w:val="39"/>
        </w:numPr>
        <w:spacing w:before="0" w:line="264" w:lineRule="auto"/>
      </w:pPr>
      <w:r w:rsidRPr="00E31797">
        <w:t xml:space="preserve">The Chair of the Committee, in consultation with the CEO, will initiate </w:t>
      </w:r>
      <w:r>
        <w:t xml:space="preserve">a </w:t>
      </w:r>
      <w:proofErr w:type="gramStart"/>
      <w:r>
        <w:t>two yearly</w:t>
      </w:r>
      <w:proofErr w:type="gramEnd"/>
      <w:r w:rsidRPr="00E31797">
        <w:t xml:space="preserve"> review of the performance of the Committee. The review will be conducted on a self-assessment basis (unless </w:t>
      </w:r>
      <w:r w:rsidRPr="00E31797">
        <w:lastRenderedPageBreak/>
        <w:t>otherwise determined by the CEO) with appropriate input sought from the CEO, Committee members, senior management, the internal and external auditors,</w:t>
      </w:r>
      <w:r>
        <w:t xml:space="preserve"> Chief Operating Officer, </w:t>
      </w:r>
      <w:r w:rsidRPr="00E31797">
        <w:t>Chief Financial Officer, and any other relevant stakeholders, as determined by the CEO.</w:t>
      </w:r>
    </w:p>
    <w:p w14:paraId="3B9FF252" w14:textId="77777777" w:rsidR="000C5DC7" w:rsidRPr="00E31797" w:rsidRDefault="000C5DC7" w:rsidP="000C5DC7">
      <w:pPr>
        <w:pStyle w:val="BodyText"/>
        <w:numPr>
          <w:ilvl w:val="0"/>
          <w:numId w:val="39"/>
        </w:numPr>
        <w:spacing w:before="0" w:line="264" w:lineRule="auto"/>
      </w:pPr>
      <w:r w:rsidRPr="00E31797">
        <w:t>The Chair will provide advice to the CEO on an external member’s performance where an extension of the member’s tenure is being considered.</w:t>
      </w:r>
    </w:p>
    <w:p w14:paraId="02200BE9" w14:textId="77777777" w:rsidR="000C5DC7" w:rsidRPr="00E31797" w:rsidRDefault="000C5DC7" w:rsidP="000C5DC7">
      <w:pPr>
        <w:pStyle w:val="Heading4"/>
      </w:pPr>
      <w:r w:rsidRPr="00E31797">
        <w:t>Review of charter</w:t>
      </w:r>
    </w:p>
    <w:p w14:paraId="22758E23" w14:textId="349FF59C" w:rsidR="000C5DC7" w:rsidRPr="00E31797" w:rsidRDefault="000C5DC7" w:rsidP="000C5DC7">
      <w:pPr>
        <w:pStyle w:val="BodyText"/>
        <w:numPr>
          <w:ilvl w:val="0"/>
          <w:numId w:val="39"/>
        </w:numPr>
        <w:spacing w:before="0" w:line="264" w:lineRule="auto"/>
      </w:pPr>
      <w:r w:rsidRPr="00E31797">
        <w:t xml:space="preserve">The Committee will review this charter </w:t>
      </w:r>
      <w:r w:rsidR="00CD42DD">
        <w:t xml:space="preserve">at least </w:t>
      </w:r>
      <w:r w:rsidR="00915506">
        <w:t>every two</w:t>
      </w:r>
      <w:r w:rsidRPr="00E31797">
        <w:t xml:space="preserve"> year</w:t>
      </w:r>
      <w:r w:rsidR="00915506">
        <w:t xml:space="preserve">s or sooner </w:t>
      </w:r>
      <w:r w:rsidR="00CD42DD">
        <w:t>at the Committee’s</w:t>
      </w:r>
      <w:r w:rsidR="00915506">
        <w:t xml:space="preserve"> discretion</w:t>
      </w:r>
      <w:r w:rsidRPr="00E31797">
        <w:t xml:space="preserve">. This review will include consultation with </w:t>
      </w:r>
      <w:r w:rsidR="00915506">
        <w:t>management</w:t>
      </w:r>
      <w:r w:rsidRPr="00E31797">
        <w:t>.</w:t>
      </w:r>
    </w:p>
    <w:p w14:paraId="12DA99CE" w14:textId="77777777" w:rsidR="000C5DC7" w:rsidRDefault="000C5DC7" w:rsidP="000C5DC7">
      <w:pPr>
        <w:pStyle w:val="BodyText"/>
        <w:numPr>
          <w:ilvl w:val="0"/>
          <w:numId w:val="39"/>
        </w:numPr>
        <w:spacing w:before="0" w:line="264" w:lineRule="auto"/>
      </w:pPr>
      <w:r w:rsidRPr="00E31797">
        <w:t>Any substantive changes to the charter will be recommended by the Committee and formally approved by the CEO.</w:t>
      </w:r>
    </w:p>
    <w:p w14:paraId="40B9C8A4" w14:textId="77777777" w:rsidR="00BD2076" w:rsidRDefault="00BD2076" w:rsidP="006A3962">
      <w:pPr>
        <w:pStyle w:val="BodyText"/>
      </w:pPr>
    </w:p>
    <w:sectPr w:rsidR="00BD2076" w:rsidSect="00BD2EA0">
      <w:headerReference w:type="even" r:id="rId9"/>
      <w:headerReference w:type="default" r:id="rId10"/>
      <w:footerReference w:type="even" r:id="rId11"/>
      <w:footerReference w:type="default" r:id="rId12"/>
      <w:headerReference w:type="first" r:id="rId13"/>
      <w:footerReference w:type="first" r:id="rId14"/>
      <w:pgSz w:w="11906" w:h="16838" w:code="9"/>
      <w:pgMar w:top="1702"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9A9AC" w14:textId="77777777" w:rsidR="00E23020" w:rsidRDefault="00E23020" w:rsidP="00B95533">
      <w:pPr>
        <w:spacing w:after="0" w:line="240" w:lineRule="auto"/>
      </w:pPr>
      <w:r>
        <w:separator/>
      </w:r>
    </w:p>
  </w:endnote>
  <w:endnote w:type="continuationSeparator" w:id="0">
    <w:p w14:paraId="6C4CD9EB" w14:textId="77777777" w:rsidR="00E23020" w:rsidRDefault="00E23020"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4CAF" w14:textId="151342E3" w:rsidR="003C1628" w:rsidRDefault="003C1628">
    <w:pPr>
      <w:pStyle w:val="Footer"/>
    </w:pPr>
    <w:r>
      <w:rPr>
        <w:noProof/>
      </w:rPr>
      <mc:AlternateContent>
        <mc:Choice Requires="wps">
          <w:drawing>
            <wp:anchor distT="0" distB="0" distL="0" distR="0" simplePos="0" relativeHeight="251761664" behindDoc="0" locked="0" layoutInCell="1" allowOverlap="1" wp14:anchorId="1EF9BFA8" wp14:editId="0F628155">
              <wp:simplePos x="635" y="635"/>
              <wp:positionH relativeFrom="page">
                <wp:align>center</wp:align>
              </wp:positionH>
              <wp:positionV relativeFrom="page">
                <wp:align>bottom</wp:align>
              </wp:positionV>
              <wp:extent cx="686435" cy="383540"/>
              <wp:effectExtent l="0" t="0" r="18415" b="0"/>
              <wp:wrapNone/>
              <wp:docPr id="40601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542526A" w14:textId="6C607FFA"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9BFA8"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761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5542526A" w14:textId="6C607FFA"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236A" w14:textId="339440B9" w:rsidR="009672EB" w:rsidRPr="00B663B0" w:rsidRDefault="00A26D78" w:rsidP="00B663B0">
    <w:pPr>
      <w:pStyle w:val="ProtectiveMarking"/>
      <w:spacing w:after="240"/>
    </w:pPr>
    <w:r>
      <w:rPr>
        <w:lang w:eastAsia="en-AU"/>
      </w:rPr>
      <w:drawing>
        <wp:anchor distT="0" distB="0" distL="114300" distR="114300" simplePos="0" relativeHeight="251754496" behindDoc="1" locked="1" layoutInCell="1" allowOverlap="1" wp14:anchorId="47AAFB17" wp14:editId="5983C7E1">
          <wp:simplePos x="0" y="0"/>
          <wp:positionH relativeFrom="page">
            <wp:posOffset>13335</wp:posOffset>
          </wp:positionH>
          <wp:positionV relativeFrom="page">
            <wp:posOffset>9962515</wp:posOffset>
          </wp:positionV>
          <wp:extent cx="7524000" cy="716400"/>
          <wp:effectExtent l="0" t="0" r="1270" b="7620"/>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1995604460"/>
        <w:showingPlcHdr/>
        <w:dataBinding w:xpath="/root[1]/Classification[1]" w:storeItemID="{F533AE62-A212-4B26-92DA-A3B336E8AE06}"/>
        <w:text/>
      </w:sdtPr>
      <w:sdtContent>
        <w:r w:rsidR="003C1628">
          <w:t xml:space="preserve">     </w:t>
        </w:r>
      </w:sdtContent>
    </w:sdt>
    <w:r>
      <w:rPr>
        <w:lang w:eastAsia="en-AU"/>
      </w:rPr>
      <w:t xml:space="preserve"> </w:t>
    </w:r>
  </w:p>
  <w:p w14:paraId="4E458FF8" w14:textId="5417AB82" w:rsidR="009672EB" w:rsidRPr="0040648D" w:rsidRDefault="000C5DC7" w:rsidP="00206976">
    <w:pPr>
      <w:pStyle w:val="Footer"/>
      <w:pBdr>
        <w:top w:val="single" w:sz="24" w:space="7" w:color="auto"/>
      </w:pBdr>
      <w:tabs>
        <w:tab w:val="clear" w:pos="4513"/>
        <w:tab w:val="clear" w:pos="9026"/>
        <w:tab w:val="right" w:pos="13435"/>
      </w:tabs>
      <w:rPr>
        <w:color w:val="2A4055" w:themeColor="accent1"/>
      </w:rPr>
    </w:pPr>
    <w:r>
      <w:rPr>
        <w:noProof/>
        <w:color w:val="2A4055" w:themeColor="accent1"/>
        <w:lang w:eastAsia="en-AU"/>
      </w:rPr>
      <w:drawing>
        <wp:anchor distT="0" distB="0" distL="114300" distR="114300" simplePos="0" relativeHeight="251756544" behindDoc="1" locked="0" layoutInCell="1" allowOverlap="1" wp14:anchorId="056F828B" wp14:editId="57D938D8">
          <wp:simplePos x="0" y="0"/>
          <wp:positionH relativeFrom="page">
            <wp:posOffset>540385</wp:posOffset>
          </wp:positionH>
          <wp:positionV relativeFrom="paragraph">
            <wp:posOffset>-635</wp:posOffset>
          </wp:positionV>
          <wp:extent cx="10674000" cy="717542"/>
          <wp:effectExtent l="0" t="0" r="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cstate="print">
                    <a:extLst>
                      <a:ext uri="{28A0092B-C50C-407E-A947-70E740481C1C}">
                        <a14:useLocalDpi xmlns:a14="http://schemas.microsoft.com/office/drawing/2010/main" val="0"/>
                      </a:ext>
                    </a:extLst>
                  </a:blip>
                  <a:srcRect l="-41411"/>
                  <a:stretch/>
                </pic:blipFill>
                <pic:spPr bwMode="auto">
                  <a:xfrm>
                    <a:off x="0" y="0"/>
                    <a:ext cx="1067412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085F">
      <w:rPr>
        <w:color w:val="2A4055" w:themeColor="accent1"/>
      </w:rPr>
      <w:t xml:space="preserve">NIAA | </w:t>
    </w:r>
    <w:r>
      <w:rPr>
        <w:color w:val="2A4055" w:themeColor="accent1"/>
      </w:rPr>
      <w:t xml:space="preserve">Audit and Risk Committee |Charter – </w:t>
    </w:r>
    <w:r w:rsidR="002C7E6A">
      <w:rPr>
        <w:color w:val="2A4055" w:themeColor="accent1"/>
      </w:rPr>
      <w:t>July 2024</w:t>
    </w:r>
    <w:r w:rsidR="00E92954">
      <w:rPr>
        <w:color w:val="2A4055" w:themeColor="accent1"/>
      </w:rPr>
      <w:tab/>
    </w:r>
    <w:r w:rsidR="00E92954" w:rsidRPr="00E92954">
      <w:rPr>
        <w:color w:val="2A4055" w:themeColor="accent1"/>
      </w:rPr>
      <w:fldChar w:fldCharType="begin"/>
    </w:r>
    <w:r w:rsidR="00E92954" w:rsidRPr="00E92954">
      <w:rPr>
        <w:color w:val="2A4055" w:themeColor="accent1"/>
      </w:rPr>
      <w:instrText xml:space="preserve"> PAGE   \* MERGEFORMAT </w:instrText>
    </w:r>
    <w:r w:rsidR="00E92954" w:rsidRPr="00E92954">
      <w:rPr>
        <w:color w:val="2A4055" w:themeColor="accent1"/>
      </w:rPr>
      <w:fldChar w:fldCharType="separate"/>
    </w:r>
    <w:r w:rsidR="009E2319">
      <w:rPr>
        <w:noProof/>
        <w:color w:val="2A4055" w:themeColor="accent1"/>
      </w:rPr>
      <w:t>5</w:t>
    </w:r>
    <w:r w:rsidR="00E92954"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F884" w14:textId="7FE304C0" w:rsidR="009672EB" w:rsidRPr="00B87E45" w:rsidRDefault="003C1628" w:rsidP="00730910">
    <w:pPr>
      <w:pStyle w:val="ProtectiveMarking"/>
      <w:spacing w:after="240"/>
    </w:pPr>
    <w:r>
      <mc:AlternateContent>
        <mc:Choice Requires="wps">
          <w:drawing>
            <wp:anchor distT="0" distB="0" distL="0" distR="0" simplePos="0" relativeHeight="251760640" behindDoc="0" locked="0" layoutInCell="1" allowOverlap="1" wp14:anchorId="00A54815" wp14:editId="7212A50D">
              <wp:simplePos x="541325" y="9809683"/>
              <wp:positionH relativeFrom="page">
                <wp:align>center</wp:align>
              </wp:positionH>
              <wp:positionV relativeFrom="page">
                <wp:align>bottom</wp:align>
              </wp:positionV>
              <wp:extent cx="686435" cy="383540"/>
              <wp:effectExtent l="0" t="0" r="18415" b="0"/>
              <wp:wrapNone/>
              <wp:docPr id="204377582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65BB37E" w14:textId="7701BCD7"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A54815" id="_x0000_t202" coordsize="21600,21600" o:spt="202" path="m,l,21600r21600,l21600,xe">
              <v:stroke joinstyle="miter"/>
              <v:path gradientshapeok="t" o:connecttype="rect"/>
            </v:shapetype>
            <v:shape id="Text Box 4" o:spid="_x0000_s1030" type="#_x0000_t202" alt="OFFICIAL" style="position:absolute;left:0;text-align:left;margin-left:0;margin-top:0;width:54.05pt;height:30.2pt;z-index:251760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Qst3jxoCAAAqBAAADgAAAAAAAAAAAAAAAAAuAgAAZHJzL2Uyb0RvYy54bWxQSwECLQAUAAYA&#10;CAAAACEAYtvwb9sAAAAEAQAADwAAAAAAAAAAAAAAAAB0BAAAZHJzL2Rvd25yZXYueG1sUEsFBgAA&#10;AAAEAAQA8wAAAHwFAAAAAA==&#10;" filled="f" stroked="f">
              <v:textbox style="mso-fit-shape-to-text:t" inset="0,0,0,15pt">
                <w:txbxContent>
                  <w:p w14:paraId="365BB37E" w14:textId="7701BCD7"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v:textbox>
              <w10:wrap anchorx="page" anchory="page"/>
            </v:shape>
          </w:pict>
        </mc:Fallback>
      </mc:AlternateContent>
    </w:r>
  </w:p>
  <w:sdt>
    <w:sdtPr>
      <w:alias w:val="Classification"/>
      <w:tag w:val="Classification"/>
      <w:id w:val="1779212053"/>
      <w:showingPlcHdr/>
      <w:dataBinding w:xpath="/root[1]/Classification[1]" w:storeItemID="{F533AE62-A212-4B26-92DA-A3B336E8AE06}"/>
      <w:text/>
    </w:sdtPr>
    <w:sdtContent>
      <w:p w14:paraId="02000A1B" w14:textId="77777777" w:rsidR="009672EB" w:rsidRPr="00B87E45" w:rsidRDefault="003C1628" w:rsidP="00730910">
        <w:pPr>
          <w:pStyle w:val="ProtectiveMarking"/>
          <w:spacing w:after="240"/>
        </w:pPr>
        <w:r>
          <w:t xml:space="preserve">     </w:t>
        </w:r>
      </w:p>
    </w:sdtContent>
  </w:sdt>
  <w:p w14:paraId="6313C807" w14:textId="54641ACA" w:rsidR="009672EB" w:rsidRPr="0040648D" w:rsidRDefault="00A451DD" w:rsidP="003A77F5">
    <w:pPr>
      <w:pStyle w:val="Footer"/>
      <w:pBdr>
        <w:top w:val="single" w:sz="24" w:space="7" w:color="2A4055" w:themeColor="accent1"/>
      </w:pBdr>
      <w:tabs>
        <w:tab w:val="clear" w:pos="4513"/>
        <w:tab w:val="clear" w:pos="9026"/>
        <w:tab w:val="left" w:pos="3089"/>
      </w:tabs>
      <w:rPr>
        <w:color w:val="2A4055" w:themeColor="accent1"/>
      </w:rPr>
    </w:pPr>
    <w:r>
      <w:rPr>
        <w:noProof/>
        <w:lang w:eastAsia="en-AU"/>
      </w:rPr>
      <w:drawing>
        <wp:anchor distT="0" distB="0" distL="114300" distR="114300" simplePos="0" relativeHeight="251751424" behindDoc="1" locked="0" layoutInCell="1" allowOverlap="1" wp14:anchorId="0392BA6C" wp14:editId="72B7CB71">
          <wp:simplePos x="0" y="0"/>
          <wp:positionH relativeFrom="page">
            <wp:align>right</wp:align>
          </wp:positionH>
          <wp:positionV relativeFrom="paragraph">
            <wp:posOffset>-131264</wp:posOffset>
          </wp:positionV>
          <wp:extent cx="7524568" cy="715292"/>
          <wp:effectExtent l="0" t="0" r="635" b="8890"/>
          <wp:wrapNone/>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568" cy="715292"/>
                  </a:xfrm>
                  <a:prstGeom prst="rect">
                    <a:avLst/>
                  </a:prstGeom>
                </pic:spPr>
              </pic:pic>
            </a:graphicData>
          </a:graphic>
          <wp14:sizeRelH relativeFrom="page">
            <wp14:pctWidth>0</wp14:pctWidth>
          </wp14:sizeRelH>
          <wp14:sizeRelV relativeFrom="page">
            <wp14:pctHeight>0</wp14:pctHeight>
          </wp14:sizeRelV>
        </wp:anchor>
      </w:drawing>
    </w:r>
    <w:r w:rsidR="00206976">
      <w:rPr>
        <w:noProof/>
        <w:color w:val="2A4055" w:themeColor="accent1"/>
        <w:lang w:eastAsia="en-AU"/>
      </w:rPr>
      <w:drawing>
        <wp:anchor distT="0" distB="0" distL="114300" distR="114300" simplePos="0" relativeHeight="251742208" behindDoc="1" locked="0" layoutInCell="1" allowOverlap="1" wp14:anchorId="2F066773" wp14:editId="43669CBF">
          <wp:simplePos x="0" y="0"/>
          <wp:positionH relativeFrom="page">
            <wp:posOffset>1</wp:posOffset>
          </wp:positionH>
          <wp:positionV relativeFrom="paragraph">
            <wp:posOffset>-134477</wp:posOffset>
          </wp:positionV>
          <wp:extent cx="10674000" cy="717542"/>
          <wp:effectExtent l="0" t="0" r="0" b="6985"/>
          <wp:wrapNone/>
          <wp:docPr id="265" name="Picture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pic:nvPicPr>
                <pic:blipFill rotWithShape="1">
                  <a:blip r:embed="rId2" cstate="print">
                    <a:extLst>
                      <a:ext uri="{28A0092B-C50C-407E-A947-70E740481C1C}">
                        <a14:useLocalDpi xmlns:a14="http://schemas.microsoft.com/office/drawing/2010/main" val="0"/>
                      </a:ext>
                    </a:extLst>
                  </a:blip>
                  <a:srcRect l="-41411"/>
                  <a:stretch/>
                </pic:blipFill>
                <pic:spPr bwMode="auto">
                  <a:xfrm>
                    <a:off x="0" y="0"/>
                    <a:ext cx="1067412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DC7">
      <w:rPr>
        <w:color w:val="2A4055" w:themeColor="accent1"/>
      </w:rPr>
      <w:t>Audit and Risk Committee</w:t>
    </w:r>
    <w:r w:rsidR="003A77F5">
      <w:rPr>
        <w:color w:val="2A4055" w:themeColor="accent1"/>
      </w:rPr>
      <w:t xml:space="preserve">| </w:t>
    </w:r>
    <w:r w:rsidR="000C5DC7">
      <w:rPr>
        <w:color w:val="2A4055" w:themeColor="accent1"/>
      </w:rPr>
      <w:t xml:space="preserve">Charter – </w:t>
    </w:r>
    <w:r w:rsidR="00CD42DD">
      <w:rPr>
        <w:color w:val="2A4055" w:themeColor="accent1"/>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83D8E" w14:textId="77777777" w:rsidR="00E23020" w:rsidRPr="007A6FC6" w:rsidRDefault="00E23020" w:rsidP="00B95533">
      <w:pPr>
        <w:spacing w:after="0" w:line="240" w:lineRule="auto"/>
        <w:rPr>
          <w:color w:val="00948D" w:themeColor="accent2"/>
        </w:rPr>
      </w:pPr>
      <w:r w:rsidRPr="007A6FC6">
        <w:rPr>
          <w:color w:val="00948D" w:themeColor="accent2"/>
        </w:rPr>
        <w:separator/>
      </w:r>
    </w:p>
  </w:footnote>
  <w:footnote w:type="continuationSeparator" w:id="0">
    <w:p w14:paraId="12195B4F" w14:textId="77777777" w:rsidR="00E23020" w:rsidRPr="007A6FC6" w:rsidRDefault="00E23020"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669E" w14:textId="099695C9" w:rsidR="003C1628" w:rsidRDefault="003C1628">
    <w:pPr>
      <w:pStyle w:val="Header"/>
    </w:pPr>
    <w:r>
      <w:rPr>
        <w:noProof/>
      </w:rPr>
      <mc:AlternateContent>
        <mc:Choice Requires="wps">
          <w:drawing>
            <wp:anchor distT="0" distB="0" distL="0" distR="0" simplePos="0" relativeHeight="251758592" behindDoc="0" locked="0" layoutInCell="1" allowOverlap="1" wp14:anchorId="70FCEB1A" wp14:editId="363271B5">
              <wp:simplePos x="635" y="635"/>
              <wp:positionH relativeFrom="page">
                <wp:align>center</wp:align>
              </wp:positionH>
              <wp:positionV relativeFrom="page">
                <wp:align>top</wp:align>
              </wp:positionV>
              <wp:extent cx="686435" cy="383540"/>
              <wp:effectExtent l="0" t="0" r="18415" b="16510"/>
              <wp:wrapNone/>
              <wp:docPr id="15673467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DA8DE1C" w14:textId="325DCCD6"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FCEB1A"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758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5DA8DE1C" w14:textId="325DCCD6"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5C65" w14:textId="27B3892D" w:rsidR="006564EA" w:rsidRDefault="003C1628" w:rsidP="00510499">
    <w:pPr>
      <w:pStyle w:val="ProtectiveMarking"/>
    </w:pPr>
    <w:r>
      <mc:AlternateContent>
        <mc:Choice Requires="wps">
          <w:drawing>
            <wp:anchor distT="0" distB="0" distL="0" distR="0" simplePos="0" relativeHeight="251759616" behindDoc="0" locked="0" layoutInCell="1" allowOverlap="1" wp14:anchorId="66F1D1B4" wp14:editId="2B22D966">
              <wp:simplePos x="541325" y="358445"/>
              <wp:positionH relativeFrom="page">
                <wp:align>center</wp:align>
              </wp:positionH>
              <wp:positionV relativeFrom="page">
                <wp:align>top</wp:align>
              </wp:positionV>
              <wp:extent cx="686435" cy="383540"/>
              <wp:effectExtent l="0" t="0" r="18415" b="16510"/>
              <wp:wrapNone/>
              <wp:docPr id="6920734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0F1D490" w14:textId="287450CF"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1D1B4"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759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10F1D490" w14:textId="287450CF"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v:textbox>
              <w10:wrap anchorx="page" anchory="page"/>
            </v:shape>
          </w:pict>
        </mc:Fallback>
      </mc:AlternateContent>
    </w:r>
    <w:sdt>
      <w:sdtPr>
        <w:alias w:val="Classification"/>
        <w:tag w:val="Classification"/>
        <w:id w:val="405574941"/>
        <w:showingPlcHdr/>
        <w:dataBinding w:xpath="/root[1]/Classification[1]" w:storeItemID="{F533AE62-A212-4B26-92DA-A3B336E8AE06}"/>
        <w:text/>
      </w:sdtPr>
      <w:sdtContent>
        <w:r>
          <w:t xml:space="preserve">     </w:t>
        </w:r>
      </w:sdtContent>
    </w:sdt>
  </w:p>
  <w:p w14:paraId="282C4D42" w14:textId="77777777" w:rsidR="006564EA" w:rsidRDefault="006564EA">
    <w:pPr>
      <w:pStyle w:val="Header"/>
    </w:pPr>
  </w:p>
  <w:p w14:paraId="469CAA27" w14:textId="77777777" w:rsidR="006564EA" w:rsidRDefault="006564EA">
    <w:pPr>
      <w:pStyle w:val="Header"/>
    </w:pPr>
  </w:p>
  <w:p w14:paraId="03387775"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B4DB" w14:textId="7503726A" w:rsidR="009672EB" w:rsidRDefault="003C1628" w:rsidP="002B5D09">
    <w:pPr>
      <w:pStyle w:val="Header"/>
      <w:tabs>
        <w:tab w:val="clear" w:pos="4513"/>
        <w:tab w:val="clear" w:pos="9026"/>
        <w:tab w:val="left" w:pos="4100"/>
      </w:tabs>
    </w:pPr>
    <w:r>
      <w:rPr>
        <w:noProof/>
        <w:lang w:eastAsia="en-AU"/>
      </w:rPr>
      <mc:AlternateContent>
        <mc:Choice Requires="wps">
          <w:drawing>
            <wp:anchor distT="0" distB="0" distL="0" distR="0" simplePos="0" relativeHeight="251757568" behindDoc="0" locked="0" layoutInCell="1" allowOverlap="1" wp14:anchorId="20494EA9" wp14:editId="73A75A1E">
              <wp:simplePos x="541325" y="358445"/>
              <wp:positionH relativeFrom="page">
                <wp:align>center</wp:align>
              </wp:positionH>
              <wp:positionV relativeFrom="page">
                <wp:align>top</wp:align>
              </wp:positionV>
              <wp:extent cx="686435" cy="383540"/>
              <wp:effectExtent l="0" t="0" r="18415" b="16510"/>
              <wp:wrapNone/>
              <wp:docPr id="2855156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1927A51" w14:textId="2B6B5915"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494EA9" id="_x0000_t202" coordsize="21600,21600" o:spt="202" path="m,l,21600r21600,l21600,xe">
              <v:stroke joinstyle="miter"/>
              <v:path gradientshapeok="t" o:connecttype="rect"/>
            </v:shapetype>
            <v:shape id="Text Box 1" o:spid="_x0000_s1029" type="#_x0000_t202" alt="OFFICIAL" style="position:absolute;margin-left:0;margin-top:0;width:54.05pt;height:30.2pt;z-index:251757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uL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pIx/ZjPc7y50V2N&#10;hjnqe0BRTvF/WJ7MmBfUaEoH+hXFvYmNMMQMx3YlDaN5HwYd4+fgYrNJSSgqy8LO7C2PpSNcEcuX&#10;/pU5ewE8IFOPMGqLFW9wH3LjS283SPy2TaREkAcgL4ijIBNXl88TFf/rPWX9/OLrHwA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zA7ixkCAAAqBAAADgAAAAAAAAAAAAAAAAAuAgAAZHJzL2Uyb0RvYy54bWxQSwECLQAUAAYACAAA&#10;ACEAU7RMVtkAAAAEAQAADwAAAAAAAAAAAAAAAABzBAAAZHJzL2Rvd25yZXYueG1sUEsFBgAAAAAE&#10;AAQA8wAAAHkFAAAAAA==&#10;" filled="f" stroked="f">
              <v:textbox style="mso-fit-shape-to-text:t" inset="0,15pt,0,0">
                <w:txbxContent>
                  <w:p w14:paraId="41927A51" w14:textId="2B6B5915" w:rsidR="003C1628" w:rsidRPr="003C1628" w:rsidRDefault="003C1628" w:rsidP="003C1628">
                    <w:pPr>
                      <w:spacing w:after="0"/>
                      <w:rPr>
                        <w:rFonts w:ascii="Arial" w:eastAsia="Arial" w:hAnsi="Arial" w:cs="Arial"/>
                        <w:noProof/>
                        <w:color w:val="FF0000"/>
                        <w:sz w:val="24"/>
                        <w:szCs w:val="24"/>
                      </w:rPr>
                    </w:pPr>
                    <w:r w:rsidRPr="003C1628">
                      <w:rPr>
                        <w:rFonts w:ascii="Arial" w:eastAsia="Arial" w:hAnsi="Arial" w:cs="Arial"/>
                        <w:noProof/>
                        <w:color w:val="FF0000"/>
                        <w:sz w:val="24"/>
                        <w:szCs w:val="24"/>
                      </w:rPr>
                      <w:t>OFFICIAL</w:t>
                    </w:r>
                  </w:p>
                </w:txbxContent>
              </v:textbox>
              <w10:wrap anchorx="page" anchory="page"/>
            </v:shape>
          </w:pict>
        </mc:Fallback>
      </mc:AlternateContent>
    </w:r>
    <w:r w:rsidR="00A451DD">
      <w:rPr>
        <w:noProof/>
        <w:lang w:eastAsia="en-AU"/>
      </w:rPr>
      <w:drawing>
        <wp:anchor distT="0" distB="0" distL="114300" distR="114300" simplePos="0" relativeHeight="251752448" behindDoc="1" locked="0" layoutInCell="1" allowOverlap="1" wp14:anchorId="21EFB22A" wp14:editId="6DAB0821">
          <wp:simplePos x="0" y="0"/>
          <wp:positionH relativeFrom="page">
            <wp:posOffset>-2540</wp:posOffset>
          </wp:positionH>
          <wp:positionV relativeFrom="paragraph">
            <wp:posOffset>-355410</wp:posOffset>
          </wp:positionV>
          <wp:extent cx="7555654" cy="1331347"/>
          <wp:effectExtent l="0" t="0" r="7620" b="2540"/>
          <wp:wrapNone/>
          <wp:docPr id="6" name="Picture 6"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995"/>
    <w:multiLevelType w:val="hybridMultilevel"/>
    <w:tmpl w:val="C8AAB0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6812ED5"/>
    <w:multiLevelType w:val="hybridMultilevel"/>
    <w:tmpl w:val="2056FC84"/>
    <w:lvl w:ilvl="0" w:tplc="0A76B0E6">
      <w:start w:val="1"/>
      <w:numFmt w:val="decimal"/>
      <w:lvlText w:val="7.%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D54815"/>
    <w:multiLevelType w:val="hybridMultilevel"/>
    <w:tmpl w:val="D2661068"/>
    <w:lvl w:ilvl="0" w:tplc="0C090001">
      <w:start w:val="1"/>
      <w:numFmt w:val="bullet"/>
      <w:lvlText w:val=""/>
      <w:lvlJc w:val="left"/>
      <w:pPr>
        <w:ind w:left="720" w:hanging="360"/>
      </w:pPr>
      <w:rPr>
        <w:rFonts w:ascii="Symbol" w:hAnsi="Symbol" w:hint="default"/>
      </w:rPr>
    </w:lvl>
    <w:lvl w:ilvl="1" w:tplc="4E8006BC">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5" w15:restartNumberingAfterBreak="0">
    <w:nsid w:val="14D55379"/>
    <w:multiLevelType w:val="hybridMultilevel"/>
    <w:tmpl w:val="22A47676"/>
    <w:lvl w:ilvl="0" w:tplc="88ACD2B4">
      <w:start w:val="1"/>
      <w:numFmt w:val="decimal"/>
      <w:lvlText w:val="5.%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36F8B"/>
    <w:multiLevelType w:val="hybridMultilevel"/>
    <w:tmpl w:val="6ABAED96"/>
    <w:lvl w:ilvl="0" w:tplc="095C6C3A">
      <w:start w:val="1"/>
      <w:numFmt w:val="decimal"/>
      <w:lvlText w:val="2.%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3B172E1A"/>
    <w:multiLevelType w:val="hybridMultilevel"/>
    <w:tmpl w:val="CF429342"/>
    <w:lvl w:ilvl="0" w:tplc="DE52ADD2">
      <w:numFmt w:val="bullet"/>
      <w:lvlText w:val=""/>
      <w:lvlJc w:val="left"/>
      <w:pPr>
        <w:ind w:left="1440" w:hanging="72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4F1812"/>
    <w:multiLevelType w:val="hybridMultilevel"/>
    <w:tmpl w:val="4816E248"/>
    <w:lvl w:ilvl="0" w:tplc="DE52ADD2">
      <w:numFmt w:val="bullet"/>
      <w:lvlText w:val=""/>
      <w:lvlJc w:val="left"/>
      <w:pPr>
        <w:ind w:left="1440" w:hanging="72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0B177DF"/>
    <w:multiLevelType w:val="hybridMultilevel"/>
    <w:tmpl w:val="F4DEA822"/>
    <w:lvl w:ilvl="0" w:tplc="E1E6B9FE">
      <w:start w:val="1"/>
      <w:numFmt w:val="decimal"/>
      <w:lvlText w:val="6.%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3"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13F73ED"/>
    <w:multiLevelType w:val="multilevel"/>
    <w:tmpl w:val="C164AA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3464719"/>
    <w:multiLevelType w:val="hybridMultilevel"/>
    <w:tmpl w:val="722EAEF2"/>
    <w:lvl w:ilvl="0" w:tplc="BD6A0290">
      <w:start w:val="1"/>
      <w:numFmt w:val="decimal"/>
      <w:lvlText w:val="8.%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6012BD"/>
    <w:multiLevelType w:val="hybridMultilevel"/>
    <w:tmpl w:val="45A413CA"/>
    <w:lvl w:ilvl="0" w:tplc="43A44126">
      <w:start w:val="1"/>
      <w:numFmt w:val="decimal"/>
      <w:lvlText w:val="9.%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223433"/>
    <w:multiLevelType w:val="hybridMultilevel"/>
    <w:tmpl w:val="C3A2D1C6"/>
    <w:lvl w:ilvl="0" w:tplc="825C793E">
      <w:start w:val="1"/>
      <w:numFmt w:val="decimal"/>
      <w:lvlText w:val="3.%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D62711"/>
    <w:multiLevelType w:val="hybridMultilevel"/>
    <w:tmpl w:val="FFF60C5C"/>
    <w:lvl w:ilvl="0" w:tplc="DE52ADD2">
      <w:numFmt w:val="bullet"/>
      <w:lvlText w:val=""/>
      <w:lvlJc w:val="left"/>
      <w:pPr>
        <w:ind w:left="1440" w:hanging="72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F24040B"/>
    <w:multiLevelType w:val="hybridMultilevel"/>
    <w:tmpl w:val="A68AA2A4"/>
    <w:lvl w:ilvl="0" w:tplc="DE52ADD2">
      <w:numFmt w:val="bullet"/>
      <w:lvlText w:val=""/>
      <w:lvlJc w:val="left"/>
      <w:pPr>
        <w:ind w:left="1440" w:hanging="72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1EA5B69"/>
    <w:multiLevelType w:val="hybridMultilevel"/>
    <w:tmpl w:val="0A98E724"/>
    <w:lvl w:ilvl="0" w:tplc="24367BE0">
      <w:start w:val="1"/>
      <w:numFmt w:val="decimal"/>
      <w:lvlText w:val="4.%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3"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5" w15:restartNumberingAfterBreak="0">
    <w:nsid w:val="740B1DC0"/>
    <w:multiLevelType w:val="hybridMultilevel"/>
    <w:tmpl w:val="F9747D84"/>
    <w:lvl w:ilvl="0" w:tplc="DE52ADD2">
      <w:numFmt w:val="bullet"/>
      <w:lvlText w:val=""/>
      <w:lvlJc w:val="left"/>
      <w:pPr>
        <w:ind w:left="1440" w:hanging="72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55912509">
    <w:abstractNumId w:val="6"/>
  </w:num>
  <w:num w:numId="2" w16cid:durableId="24143266">
    <w:abstractNumId w:val="13"/>
  </w:num>
  <w:num w:numId="3" w16cid:durableId="177744335">
    <w:abstractNumId w:val="8"/>
  </w:num>
  <w:num w:numId="4" w16cid:durableId="881674359">
    <w:abstractNumId w:val="23"/>
  </w:num>
  <w:num w:numId="5" w16cid:durableId="1110858305">
    <w:abstractNumId w:val="14"/>
  </w:num>
  <w:num w:numId="6" w16cid:durableId="1024745067">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856730484">
    <w:abstractNumId w:val="8"/>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665523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501448">
    <w:abstractNumId w:val="8"/>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760059869">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24739181">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907716698">
    <w:abstractNumId w:val="8"/>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621764209">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82053329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90513532">
    <w:abstractNumId w:val="8"/>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281449176">
    <w:abstractNumId w:val="8"/>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998612637">
    <w:abstractNumId w:val="4"/>
  </w:num>
  <w:num w:numId="18" w16cid:durableId="1090808171">
    <w:abstractNumId w:val="4"/>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983653555">
    <w:abstractNumId w:val="12"/>
  </w:num>
  <w:num w:numId="20" w16cid:durableId="1673413107">
    <w:abstractNumId w:val="24"/>
  </w:num>
  <w:num w:numId="21" w16cid:durableId="961807810">
    <w:abstractNumId w:val="1"/>
  </w:num>
  <w:num w:numId="22" w16cid:durableId="1001615382">
    <w:abstractNumId w:val="22"/>
  </w:num>
  <w:num w:numId="23" w16cid:durableId="1840542622">
    <w:abstractNumId w:val="22"/>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230076334">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810395761">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356470596">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1343043652">
    <w:abstractNumId w:val="15"/>
  </w:num>
  <w:num w:numId="28" w16cid:durableId="1246840554">
    <w:abstractNumId w:val="7"/>
  </w:num>
  <w:num w:numId="29" w16cid:durableId="1739937756">
    <w:abstractNumId w:val="18"/>
  </w:num>
  <w:num w:numId="30" w16cid:durableId="148521777">
    <w:abstractNumId w:val="21"/>
  </w:num>
  <w:num w:numId="31" w16cid:durableId="1388652870">
    <w:abstractNumId w:val="5"/>
  </w:num>
  <w:num w:numId="32" w16cid:durableId="1403485838">
    <w:abstractNumId w:val="11"/>
  </w:num>
  <w:num w:numId="33" w16cid:durableId="114297982">
    <w:abstractNumId w:val="25"/>
  </w:num>
  <w:num w:numId="34" w16cid:durableId="2107655727">
    <w:abstractNumId w:val="19"/>
  </w:num>
  <w:num w:numId="35" w16cid:durableId="1310355645">
    <w:abstractNumId w:val="9"/>
  </w:num>
  <w:num w:numId="36" w16cid:durableId="2076465976">
    <w:abstractNumId w:val="20"/>
  </w:num>
  <w:num w:numId="37" w16cid:durableId="112096793">
    <w:abstractNumId w:val="2"/>
  </w:num>
  <w:num w:numId="38" w16cid:durableId="604308793">
    <w:abstractNumId w:val="16"/>
  </w:num>
  <w:num w:numId="39" w16cid:durableId="912158069">
    <w:abstractNumId w:val="17"/>
  </w:num>
  <w:num w:numId="40" w16cid:durableId="820850721">
    <w:abstractNumId w:val="10"/>
  </w:num>
  <w:num w:numId="41" w16cid:durableId="1285622234">
    <w:abstractNumId w:val="0"/>
  </w:num>
  <w:num w:numId="42" w16cid:durableId="1935355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6A"/>
    <w:rsid w:val="00002F73"/>
    <w:rsid w:val="00007EB1"/>
    <w:rsid w:val="00010FC5"/>
    <w:rsid w:val="00014206"/>
    <w:rsid w:val="000230F3"/>
    <w:rsid w:val="00023AC4"/>
    <w:rsid w:val="000304B2"/>
    <w:rsid w:val="00031B5C"/>
    <w:rsid w:val="00034193"/>
    <w:rsid w:val="00034FEC"/>
    <w:rsid w:val="0004082F"/>
    <w:rsid w:val="00042E89"/>
    <w:rsid w:val="00044BF9"/>
    <w:rsid w:val="000503A6"/>
    <w:rsid w:val="00053CD9"/>
    <w:rsid w:val="00057B46"/>
    <w:rsid w:val="00063034"/>
    <w:rsid w:val="00073D52"/>
    <w:rsid w:val="00076AD1"/>
    <w:rsid w:val="000803CA"/>
    <w:rsid w:val="000835A1"/>
    <w:rsid w:val="00091BCD"/>
    <w:rsid w:val="0009265A"/>
    <w:rsid w:val="00093EEF"/>
    <w:rsid w:val="00094B02"/>
    <w:rsid w:val="0009590F"/>
    <w:rsid w:val="00095BF3"/>
    <w:rsid w:val="000A041E"/>
    <w:rsid w:val="000A08CA"/>
    <w:rsid w:val="000A0E4C"/>
    <w:rsid w:val="000B3A9F"/>
    <w:rsid w:val="000B58F5"/>
    <w:rsid w:val="000C29C5"/>
    <w:rsid w:val="000C5DC7"/>
    <w:rsid w:val="000D106A"/>
    <w:rsid w:val="000D113F"/>
    <w:rsid w:val="000D2E56"/>
    <w:rsid w:val="000E351D"/>
    <w:rsid w:val="000E60F7"/>
    <w:rsid w:val="000F1B86"/>
    <w:rsid w:val="000F23B0"/>
    <w:rsid w:val="000F4D62"/>
    <w:rsid w:val="000F5917"/>
    <w:rsid w:val="001007B9"/>
    <w:rsid w:val="0010143D"/>
    <w:rsid w:val="00105ECB"/>
    <w:rsid w:val="001249EF"/>
    <w:rsid w:val="00131315"/>
    <w:rsid w:val="00132268"/>
    <w:rsid w:val="001336CF"/>
    <w:rsid w:val="00137246"/>
    <w:rsid w:val="00143288"/>
    <w:rsid w:val="0015537B"/>
    <w:rsid w:val="0016463D"/>
    <w:rsid w:val="0016781C"/>
    <w:rsid w:val="001727AF"/>
    <w:rsid w:val="00172A98"/>
    <w:rsid w:val="00176EA5"/>
    <w:rsid w:val="00177611"/>
    <w:rsid w:val="0017798C"/>
    <w:rsid w:val="001809C6"/>
    <w:rsid w:val="00181C56"/>
    <w:rsid w:val="00183FA2"/>
    <w:rsid w:val="001850CB"/>
    <w:rsid w:val="001912A0"/>
    <w:rsid w:val="00193036"/>
    <w:rsid w:val="001953CF"/>
    <w:rsid w:val="00195BA8"/>
    <w:rsid w:val="001A1957"/>
    <w:rsid w:val="001A2F86"/>
    <w:rsid w:val="001B0144"/>
    <w:rsid w:val="001B10ED"/>
    <w:rsid w:val="001B6E60"/>
    <w:rsid w:val="001C2FC8"/>
    <w:rsid w:val="001C63DF"/>
    <w:rsid w:val="001D283B"/>
    <w:rsid w:val="001E4245"/>
    <w:rsid w:val="001F0654"/>
    <w:rsid w:val="001F3722"/>
    <w:rsid w:val="001F738E"/>
    <w:rsid w:val="001F7942"/>
    <w:rsid w:val="0020007C"/>
    <w:rsid w:val="00206976"/>
    <w:rsid w:val="0021247A"/>
    <w:rsid w:val="002229A5"/>
    <w:rsid w:val="002317BD"/>
    <w:rsid w:val="00231B22"/>
    <w:rsid w:val="00234705"/>
    <w:rsid w:val="00237365"/>
    <w:rsid w:val="00250BE6"/>
    <w:rsid w:val="00252F38"/>
    <w:rsid w:val="00260C56"/>
    <w:rsid w:val="00264A5E"/>
    <w:rsid w:val="00264F6C"/>
    <w:rsid w:val="002713A6"/>
    <w:rsid w:val="00271572"/>
    <w:rsid w:val="00277016"/>
    <w:rsid w:val="0027769C"/>
    <w:rsid w:val="00281E3E"/>
    <w:rsid w:val="00284710"/>
    <w:rsid w:val="00294D1D"/>
    <w:rsid w:val="002952F9"/>
    <w:rsid w:val="002955DD"/>
    <w:rsid w:val="002A0289"/>
    <w:rsid w:val="002A371E"/>
    <w:rsid w:val="002B4B0A"/>
    <w:rsid w:val="002B5D09"/>
    <w:rsid w:val="002C0866"/>
    <w:rsid w:val="002C0B0E"/>
    <w:rsid w:val="002C5F5B"/>
    <w:rsid w:val="002C777D"/>
    <w:rsid w:val="002C7E6A"/>
    <w:rsid w:val="002D40B1"/>
    <w:rsid w:val="002D45CD"/>
    <w:rsid w:val="002D75F9"/>
    <w:rsid w:val="002E07AC"/>
    <w:rsid w:val="002E6AA1"/>
    <w:rsid w:val="002F57C6"/>
    <w:rsid w:val="00307A69"/>
    <w:rsid w:val="00312E4A"/>
    <w:rsid w:val="0031546F"/>
    <w:rsid w:val="00316B0D"/>
    <w:rsid w:val="00317427"/>
    <w:rsid w:val="003224FE"/>
    <w:rsid w:val="00325837"/>
    <w:rsid w:val="003300DB"/>
    <w:rsid w:val="0033088D"/>
    <w:rsid w:val="00335425"/>
    <w:rsid w:val="003371F0"/>
    <w:rsid w:val="00345B55"/>
    <w:rsid w:val="00347C23"/>
    <w:rsid w:val="003500C6"/>
    <w:rsid w:val="00357154"/>
    <w:rsid w:val="00363AE5"/>
    <w:rsid w:val="003848EF"/>
    <w:rsid w:val="00385B65"/>
    <w:rsid w:val="00391929"/>
    <w:rsid w:val="00391CEF"/>
    <w:rsid w:val="003A3E57"/>
    <w:rsid w:val="003A77F5"/>
    <w:rsid w:val="003B1A24"/>
    <w:rsid w:val="003B3AA5"/>
    <w:rsid w:val="003C1628"/>
    <w:rsid w:val="003C6961"/>
    <w:rsid w:val="003D21A3"/>
    <w:rsid w:val="003D33F7"/>
    <w:rsid w:val="003E6B8B"/>
    <w:rsid w:val="003F017E"/>
    <w:rsid w:val="003F17BC"/>
    <w:rsid w:val="003F1A1E"/>
    <w:rsid w:val="003F5F4B"/>
    <w:rsid w:val="003F7E70"/>
    <w:rsid w:val="0040648D"/>
    <w:rsid w:val="00406711"/>
    <w:rsid w:val="00414CEB"/>
    <w:rsid w:val="004163FA"/>
    <w:rsid w:val="00423E92"/>
    <w:rsid w:val="004257F1"/>
    <w:rsid w:val="00431B00"/>
    <w:rsid w:val="004366AE"/>
    <w:rsid w:val="00437572"/>
    <w:rsid w:val="0044024B"/>
    <w:rsid w:val="0044371A"/>
    <w:rsid w:val="00451804"/>
    <w:rsid w:val="00452FE9"/>
    <w:rsid w:val="00454696"/>
    <w:rsid w:val="00461132"/>
    <w:rsid w:val="004616FF"/>
    <w:rsid w:val="004759ED"/>
    <w:rsid w:val="00486059"/>
    <w:rsid w:val="004945F7"/>
    <w:rsid w:val="004957BB"/>
    <w:rsid w:val="00497F14"/>
    <w:rsid w:val="004B199A"/>
    <w:rsid w:val="004B2CB0"/>
    <w:rsid w:val="004B7B8B"/>
    <w:rsid w:val="004C18F6"/>
    <w:rsid w:val="004C392D"/>
    <w:rsid w:val="004C6518"/>
    <w:rsid w:val="004D0B40"/>
    <w:rsid w:val="004D1065"/>
    <w:rsid w:val="004D24EB"/>
    <w:rsid w:val="004D688C"/>
    <w:rsid w:val="004E192B"/>
    <w:rsid w:val="004E55E2"/>
    <w:rsid w:val="004E58AE"/>
    <w:rsid w:val="004F085F"/>
    <w:rsid w:val="004F0BD7"/>
    <w:rsid w:val="004F20A9"/>
    <w:rsid w:val="004F73E8"/>
    <w:rsid w:val="005038B6"/>
    <w:rsid w:val="00503B0C"/>
    <w:rsid w:val="0050562E"/>
    <w:rsid w:val="0051316F"/>
    <w:rsid w:val="00523958"/>
    <w:rsid w:val="0053301E"/>
    <w:rsid w:val="005350C9"/>
    <w:rsid w:val="005370B2"/>
    <w:rsid w:val="005400C8"/>
    <w:rsid w:val="00543E44"/>
    <w:rsid w:val="00543FDE"/>
    <w:rsid w:val="00552F1C"/>
    <w:rsid w:val="005569B1"/>
    <w:rsid w:val="00562166"/>
    <w:rsid w:val="0056629D"/>
    <w:rsid w:val="00567E41"/>
    <w:rsid w:val="00571126"/>
    <w:rsid w:val="0057315D"/>
    <w:rsid w:val="00574F28"/>
    <w:rsid w:val="00576C8D"/>
    <w:rsid w:val="0058793B"/>
    <w:rsid w:val="005917FA"/>
    <w:rsid w:val="00596D03"/>
    <w:rsid w:val="005A0614"/>
    <w:rsid w:val="005A0DE7"/>
    <w:rsid w:val="005A355D"/>
    <w:rsid w:val="005A6271"/>
    <w:rsid w:val="005B210C"/>
    <w:rsid w:val="005B241C"/>
    <w:rsid w:val="005B27D0"/>
    <w:rsid w:val="005B4715"/>
    <w:rsid w:val="005B4FED"/>
    <w:rsid w:val="005C7655"/>
    <w:rsid w:val="005C7C79"/>
    <w:rsid w:val="005D1BC5"/>
    <w:rsid w:val="005D2D7A"/>
    <w:rsid w:val="005D7026"/>
    <w:rsid w:val="005E40D4"/>
    <w:rsid w:val="005F3D48"/>
    <w:rsid w:val="005F79CC"/>
    <w:rsid w:val="00602577"/>
    <w:rsid w:val="00603EA6"/>
    <w:rsid w:val="00603FC1"/>
    <w:rsid w:val="00607805"/>
    <w:rsid w:val="0061255F"/>
    <w:rsid w:val="0061381E"/>
    <w:rsid w:val="006159CC"/>
    <w:rsid w:val="006173D0"/>
    <w:rsid w:val="006201D7"/>
    <w:rsid w:val="006208C6"/>
    <w:rsid w:val="006267BF"/>
    <w:rsid w:val="00626CA4"/>
    <w:rsid w:val="0062796C"/>
    <w:rsid w:val="0063451F"/>
    <w:rsid w:val="00634F8C"/>
    <w:rsid w:val="006427AA"/>
    <w:rsid w:val="006429D7"/>
    <w:rsid w:val="006454DC"/>
    <w:rsid w:val="006553AB"/>
    <w:rsid w:val="006564EA"/>
    <w:rsid w:val="00657D2D"/>
    <w:rsid w:val="00661E36"/>
    <w:rsid w:val="00663EAD"/>
    <w:rsid w:val="00666B12"/>
    <w:rsid w:val="006674FC"/>
    <w:rsid w:val="006719C9"/>
    <w:rsid w:val="00671B6A"/>
    <w:rsid w:val="006757AA"/>
    <w:rsid w:val="00675B34"/>
    <w:rsid w:val="00675EDF"/>
    <w:rsid w:val="00682080"/>
    <w:rsid w:val="00684ABF"/>
    <w:rsid w:val="0068575D"/>
    <w:rsid w:val="00685BF1"/>
    <w:rsid w:val="00692AE7"/>
    <w:rsid w:val="00696E9D"/>
    <w:rsid w:val="00697A16"/>
    <w:rsid w:val="00697F67"/>
    <w:rsid w:val="006A131D"/>
    <w:rsid w:val="006A2795"/>
    <w:rsid w:val="006A3962"/>
    <w:rsid w:val="006A39D8"/>
    <w:rsid w:val="006A72D0"/>
    <w:rsid w:val="006B0488"/>
    <w:rsid w:val="006B089B"/>
    <w:rsid w:val="006B3301"/>
    <w:rsid w:val="006B56FC"/>
    <w:rsid w:val="006C0869"/>
    <w:rsid w:val="006C3F9A"/>
    <w:rsid w:val="006C7B63"/>
    <w:rsid w:val="006D0781"/>
    <w:rsid w:val="006D16B9"/>
    <w:rsid w:val="006E086B"/>
    <w:rsid w:val="006E0D17"/>
    <w:rsid w:val="006E2EA3"/>
    <w:rsid w:val="006E350F"/>
    <w:rsid w:val="006E55ED"/>
    <w:rsid w:val="006E70FF"/>
    <w:rsid w:val="006F173B"/>
    <w:rsid w:val="00711110"/>
    <w:rsid w:val="00714E79"/>
    <w:rsid w:val="007239F8"/>
    <w:rsid w:val="00727A8E"/>
    <w:rsid w:val="00730910"/>
    <w:rsid w:val="00733BDA"/>
    <w:rsid w:val="00744CB1"/>
    <w:rsid w:val="00753B4D"/>
    <w:rsid w:val="00754949"/>
    <w:rsid w:val="007550E9"/>
    <w:rsid w:val="007660B9"/>
    <w:rsid w:val="00772CF2"/>
    <w:rsid w:val="00780AC4"/>
    <w:rsid w:val="00781479"/>
    <w:rsid w:val="0078151E"/>
    <w:rsid w:val="00781797"/>
    <w:rsid w:val="007836C4"/>
    <w:rsid w:val="0078689C"/>
    <w:rsid w:val="007956C4"/>
    <w:rsid w:val="007A27C5"/>
    <w:rsid w:val="007A36B5"/>
    <w:rsid w:val="007A52E1"/>
    <w:rsid w:val="007A6297"/>
    <w:rsid w:val="007A6FC6"/>
    <w:rsid w:val="007C3F60"/>
    <w:rsid w:val="007C544A"/>
    <w:rsid w:val="007D4EA4"/>
    <w:rsid w:val="007D680C"/>
    <w:rsid w:val="007E24B7"/>
    <w:rsid w:val="007F7FED"/>
    <w:rsid w:val="00801583"/>
    <w:rsid w:val="00803395"/>
    <w:rsid w:val="0080402F"/>
    <w:rsid w:val="008051C4"/>
    <w:rsid w:val="00805B42"/>
    <w:rsid w:val="00806393"/>
    <w:rsid w:val="0080697E"/>
    <w:rsid w:val="0081512D"/>
    <w:rsid w:val="00817B50"/>
    <w:rsid w:val="00820E0F"/>
    <w:rsid w:val="00825410"/>
    <w:rsid w:val="00825715"/>
    <w:rsid w:val="008275B9"/>
    <w:rsid w:val="0083261D"/>
    <w:rsid w:val="00832D89"/>
    <w:rsid w:val="0083405C"/>
    <w:rsid w:val="0083503B"/>
    <w:rsid w:val="00840865"/>
    <w:rsid w:val="00841D41"/>
    <w:rsid w:val="008436AB"/>
    <w:rsid w:val="00844739"/>
    <w:rsid w:val="0084486B"/>
    <w:rsid w:val="00853CDF"/>
    <w:rsid w:val="0086151D"/>
    <w:rsid w:val="00865CA9"/>
    <w:rsid w:val="0086672B"/>
    <w:rsid w:val="008668C0"/>
    <w:rsid w:val="008678C1"/>
    <w:rsid w:val="00873DED"/>
    <w:rsid w:val="00874FF1"/>
    <w:rsid w:val="00877425"/>
    <w:rsid w:val="008777F4"/>
    <w:rsid w:val="00880786"/>
    <w:rsid w:val="008A2626"/>
    <w:rsid w:val="008A6759"/>
    <w:rsid w:val="008A67E3"/>
    <w:rsid w:val="008B13B1"/>
    <w:rsid w:val="008B4160"/>
    <w:rsid w:val="008B493F"/>
    <w:rsid w:val="008B636F"/>
    <w:rsid w:val="008C115E"/>
    <w:rsid w:val="008C5D4E"/>
    <w:rsid w:val="008D0504"/>
    <w:rsid w:val="008D1256"/>
    <w:rsid w:val="008D275A"/>
    <w:rsid w:val="008E109E"/>
    <w:rsid w:val="008E66E6"/>
    <w:rsid w:val="008F112A"/>
    <w:rsid w:val="008F7B91"/>
    <w:rsid w:val="00900D4B"/>
    <w:rsid w:val="009014BC"/>
    <w:rsid w:val="00902CAC"/>
    <w:rsid w:val="009036CA"/>
    <w:rsid w:val="00915506"/>
    <w:rsid w:val="00917F95"/>
    <w:rsid w:val="00923EDF"/>
    <w:rsid w:val="00933941"/>
    <w:rsid w:val="00935AD4"/>
    <w:rsid w:val="00937CE1"/>
    <w:rsid w:val="0094513B"/>
    <w:rsid w:val="0094688C"/>
    <w:rsid w:val="009510BF"/>
    <w:rsid w:val="00963FB3"/>
    <w:rsid w:val="009672EB"/>
    <w:rsid w:val="00973090"/>
    <w:rsid w:val="009824EC"/>
    <w:rsid w:val="00992B79"/>
    <w:rsid w:val="0099436F"/>
    <w:rsid w:val="009956DE"/>
    <w:rsid w:val="009959E0"/>
    <w:rsid w:val="00996BEA"/>
    <w:rsid w:val="009A33FB"/>
    <w:rsid w:val="009A5056"/>
    <w:rsid w:val="009B1A44"/>
    <w:rsid w:val="009B300F"/>
    <w:rsid w:val="009B4379"/>
    <w:rsid w:val="009C4D8A"/>
    <w:rsid w:val="009C580F"/>
    <w:rsid w:val="009D161E"/>
    <w:rsid w:val="009E1B26"/>
    <w:rsid w:val="009E2319"/>
    <w:rsid w:val="009F751D"/>
    <w:rsid w:val="00A00EF2"/>
    <w:rsid w:val="00A018DD"/>
    <w:rsid w:val="00A069F9"/>
    <w:rsid w:val="00A07F0E"/>
    <w:rsid w:val="00A10AC2"/>
    <w:rsid w:val="00A1648F"/>
    <w:rsid w:val="00A173EC"/>
    <w:rsid w:val="00A17F9A"/>
    <w:rsid w:val="00A2063A"/>
    <w:rsid w:val="00A26D78"/>
    <w:rsid w:val="00A3076D"/>
    <w:rsid w:val="00A316E1"/>
    <w:rsid w:val="00A32D3A"/>
    <w:rsid w:val="00A33EF3"/>
    <w:rsid w:val="00A346CA"/>
    <w:rsid w:val="00A451DD"/>
    <w:rsid w:val="00A477A0"/>
    <w:rsid w:val="00A47C07"/>
    <w:rsid w:val="00A50BDE"/>
    <w:rsid w:val="00A5524F"/>
    <w:rsid w:val="00A61711"/>
    <w:rsid w:val="00A62C59"/>
    <w:rsid w:val="00A62F19"/>
    <w:rsid w:val="00A63A3E"/>
    <w:rsid w:val="00A66C34"/>
    <w:rsid w:val="00A67ACB"/>
    <w:rsid w:val="00A72CC9"/>
    <w:rsid w:val="00A73CFD"/>
    <w:rsid w:val="00A77E87"/>
    <w:rsid w:val="00A80863"/>
    <w:rsid w:val="00A81616"/>
    <w:rsid w:val="00A8365E"/>
    <w:rsid w:val="00A9488D"/>
    <w:rsid w:val="00A94E35"/>
    <w:rsid w:val="00A95355"/>
    <w:rsid w:val="00AA4D84"/>
    <w:rsid w:val="00AB09B6"/>
    <w:rsid w:val="00AB350C"/>
    <w:rsid w:val="00AB3C78"/>
    <w:rsid w:val="00AC1AA3"/>
    <w:rsid w:val="00AC1D27"/>
    <w:rsid w:val="00AC4EB2"/>
    <w:rsid w:val="00AC7F21"/>
    <w:rsid w:val="00AD0F94"/>
    <w:rsid w:val="00AD243D"/>
    <w:rsid w:val="00AD7918"/>
    <w:rsid w:val="00AE0E38"/>
    <w:rsid w:val="00AE11C4"/>
    <w:rsid w:val="00AE1640"/>
    <w:rsid w:val="00AE297B"/>
    <w:rsid w:val="00AE58D5"/>
    <w:rsid w:val="00AE6686"/>
    <w:rsid w:val="00AF0676"/>
    <w:rsid w:val="00AF7566"/>
    <w:rsid w:val="00AF7794"/>
    <w:rsid w:val="00B0259B"/>
    <w:rsid w:val="00B06546"/>
    <w:rsid w:val="00B10D43"/>
    <w:rsid w:val="00B13055"/>
    <w:rsid w:val="00B151CC"/>
    <w:rsid w:val="00B24D0A"/>
    <w:rsid w:val="00B3317D"/>
    <w:rsid w:val="00B36583"/>
    <w:rsid w:val="00B37705"/>
    <w:rsid w:val="00B455C1"/>
    <w:rsid w:val="00B53058"/>
    <w:rsid w:val="00B544CB"/>
    <w:rsid w:val="00B663B0"/>
    <w:rsid w:val="00B83B2F"/>
    <w:rsid w:val="00B87E45"/>
    <w:rsid w:val="00B95533"/>
    <w:rsid w:val="00BB0F68"/>
    <w:rsid w:val="00BB1FFF"/>
    <w:rsid w:val="00BB2567"/>
    <w:rsid w:val="00BB662C"/>
    <w:rsid w:val="00BC24CA"/>
    <w:rsid w:val="00BD113A"/>
    <w:rsid w:val="00BD2076"/>
    <w:rsid w:val="00BD2B9F"/>
    <w:rsid w:val="00BD2EA0"/>
    <w:rsid w:val="00BD35B3"/>
    <w:rsid w:val="00BD3DA8"/>
    <w:rsid w:val="00BD45D5"/>
    <w:rsid w:val="00BD7DFE"/>
    <w:rsid w:val="00BE446D"/>
    <w:rsid w:val="00BE64F3"/>
    <w:rsid w:val="00BF115D"/>
    <w:rsid w:val="00BF5183"/>
    <w:rsid w:val="00C00697"/>
    <w:rsid w:val="00C0095A"/>
    <w:rsid w:val="00C10C00"/>
    <w:rsid w:val="00C17CE9"/>
    <w:rsid w:val="00C464A7"/>
    <w:rsid w:val="00C511C3"/>
    <w:rsid w:val="00C51C42"/>
    <w:rsid w:val="00C52329"/>
    <w:rsid w:val="00C5414F"/>
    <w:rsid w:val="00C57F4E"/>
    <w:rsid w:val="00C66A73"/>
    <w:rsid w:val="00C67AA6"/>
    <w:rsid w:val="00C76497"/>
    <w:rsid w:val="00C80CAE"/>
    <w:rsid w:val="00C81FFC"/>
    <w:rsid w:val="00C856C9"/>
    <w:rsid w:val="00C86AD9"/>
    <w:rsid w:val="00C86F22"/>
    <w:rsid w:val="00C91A83"/>
    <w:rsid w:val="00C9650F"/>
    <w:rsid w:val="00C9741E"/>
    <w:rsid w:val="00CA33C7"/>
    <w:rsid w:val="00CB2C58"/>
    <w:rsid w:val="00CB38A3"/>
    <w:rsid w:val="00CB3B70"/>
    <w:rsid w:val="00CC1475"/>
    <w:rsid w:val="00CC1CCB"/>
    <w:rsid w:val="00CC6B7E"/>
    <w:rsid w:val="00CD42DD"/>
    <w:rsid w:val="00CD730D"/>
    <w:rsid w:val="00CE1635"/>
    <w:rsid w:val="00CF0D33"/>
    <w:rsid w:val="00CF68E9"/>
    <w:rsid w:val="00CF7819"/>
    <w:rsid w:val="00D171A8"/>
    <w:rsid w:val="00D2011B"/>
    <w:rsid w:val="00D303B7"/>
    <w:rsid w:val="00D4602A"/>
    <w:rsid w:val="00D4643A"/>
    <w:rsid w:val="00D465C5"/>
    <w:rsid w:val="00D46EB7"/>
    <w:rsid w:val="00D475BD"/>
    <w:rsid w:val="00D52159"/>
    <w:rsid w:val="00D54C52"/>
    <w:rsid w:val="00D54CE5"/>
    <w:rsid w:val="00D55E22"/>
    <w:rsid w:val="00D611A9"/>
    <w:rsid w:val="00D620F7"/>
    <w:rsid w:val="00D621F3"/>
    <w:rsid w:val="00D70252"/>
    <w:rsid w:val="00D822F9"/>
    <w:rsid w:val="00D9012E"/>
    <w:rsid w:val="00D90897"/>
    <w:rsid w:val="00D93BE5"/>
    <w:rsid w:val="00DA3036"/>
    <w:rsid w:val="00DB015B"/>
    <w:rsid w:val="00DB20CE"/>
    <w:rsid w:val="00DB24D3"/>
    <w:rsid w:val="00DB35E7"/>
    <w:rsid w:val="00DB5E67"/>
    <w:rsid w:val="00DB6F16"/>
    <w:rsid w:val="00DB7D77"/>
    <w:rsid w:val="00DC04B1"/>
    <w:rsid w:val="00DC3380"/>
    <w:rsid w:val="00DD619D"/>
    <w:rsid w:val="00DD6C35"/>
    <w:rsid w:val="00DE193D"/>
    <w:rsid w:val="00DE710F"/>
    <w:rsid w:val="00DE7EED"/>
    <w:rsid w:val="00E02E5D"/>
    <w:rsid w:val="00E05E36"/>
    <w:rsid w:val="00E14B90"/>
    <w:rsid w:val="00E23020"/>
    <w:rsid w:val="00E23B18"/>
    <w:rsid w:val="00E401B3"/>
    <w:rsid w:val="00E46F31"/>
    <w:rsid w:val="00E50185"/>
    <w:rsid w:val="00E578B7"/>
    <w:rsid w:val="00E63231"/>
    <w:rsid w:val="00E7329A"/>
    <w:rsid w:val="00E73F85"/>
    <w:rsid w:val="00E74C8C"/>
    <w:rsid w:val="00E76451"/>
    <w:rsid w:val="00E8016F"/>
    <w:rsid w:val="00E80E52"/>
    <w:rsid w:val="00E811A0"/>
    <w:rsid w:val="00E816CE"/>
    <w:rsid w:val="00E831EB"/>
    <w:rsid w:val="00E87451"/>
    <w:rsid w:val="00E90908"/>
    <w:rsid w:val="00E90FB5"/>
    <w:rsid w:val="00E92954"/>
    <w:rsid w:val="00EA0688"/>
    <w:rsid w:val="00EA19B4"/>
    <w:rsid w:val="00EA7C93"/>
    <w:rsid w:val="00EB1EB8"/>
    <w:rsid w:val="00EB25EA"/>
    <w:rsid w:val="00EC0059"/>
    <w:rsid w:val="00EC68DB"/>
    <w:rsid w:val="00ED0CB2"/>
    <w:rsid w:val="00ED334F"/>
    <w:rsid w:val="00EE08F2"/>
    <w:rsid w:val="00EE1DD7"/>
    <w:rsid w:val="00EE76B9"/>
    <w:rsid w:val="00EF125F"/>
    <w:rsid w:val="00EF2497"/>
    <w:rsid w:val="00EF38A6"/>
    <w:rsid w:val="00EF53E7"/>
    <w:rsid w:val="00F017E0"/>
    <w:rsid w:val="00F01B39"/>
    <w:rsid w:val="00F03B20"/>
    <w:rsid w:val="00F065A0"/>
    <w:rsid w:val="00F170B9"/>
    <w:rsid w:val="00F21C70"/>
    <w:rsid w:val="00F26B56"/>
    <w:rsid w:val="00F26D11"/>
    <w:rsid w:val="00F27CBE"/>
    <w:rsid w:val="00F329A3"/>
    <w:rsid w:val="00F378A2"/>
    <w:rsid w:val="00F4121E"/>
    <w:rsid w:val="00F4212B"/>
    <w:rsid w:val="00F4644C"/>
    <w:rsid w:val="00F468E5"/>
    <w:rsid w:val="00F46D66"/>
    <w:rsid w:val="00F4704F"/>
    <w:rsid w:val="00F50EE3"/>
    <w:rsid w:val="00F651C4"/>
    <w:rsid w:val="00F71285"/>
    <w:rsid w:val="00F751C1"/>
    <w:rsid w:val="00F7682E"/>
    <w:rsid w:val="00F76C27"/>
    <w:rsid w:val="00F92C57"/>
    <w:rsid w:val="00F9344F"/>
    <w:rsid w:val="00F96D2E"/>
    <w:rsid w:val="00F97B14"/>
    <w:rsid w:val="00FA6B33"/>
    <w:rsid w:val="00FB1D0E"/>
    <w:rsid w:val="00FB20C4"/>
    <w:rsid w:val="00FB3C96"/>
    <w:rsid w:val="00FB4BCE"/>
    <w:rsid w:val="00FB55EF"/>
    <w:rsid w:val="00FB60EF"/>
    <w:rsid w:val="00FC3D4F"/>
    <w:rsid w:val="00FC49FB"/>
    <w:rsid w:val="00FC5756"/>
    <w:rsid w:val="00FD228D"/>
    <w:rsid w:val="00FD60DD"/>
    <w:rsid w:val="00FD659E"/>
    <w:rsid w:val="00FE46B9"/>
    <w:rsid w:val="00FE482C"/>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B571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vl1">
    <w:name w:val="Bulleted List lvl1"/>
    <w:uiPriority w:val="10"/>
    <w:qFormat/>
    <w:rsid w:val="008A67E3"/>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BulletedListlvl2">
    <w:name w:val="Bulleted List lvl2"/>
    <w:basedOn w:val="BulletedListlvl1"/>
    <w:uiPriority w:val="10"/>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CommentReference">
    <w:name w:val="annotation reference"/>
    <w:basedOn w:val="DefaultParagraphFont"/>
    <w:uiPriority w:val="99"/>
    <w:semiHidden/>
    <w:unhideWhenUsed/>
    <w:rsid w:val="00AF7566"/>
    <w:rPr>
      <w:sz w:val="16"/>
      <w:szCs w:val="16"/>
    </w:rPr>
  </w:style>
  <w:style w:type="paragraph" w:styleId="CommentText">
    <w:name w:val="annotation text"/>
    <w:basedOn w:val="Normal"/>
    <w:link w:val="CommentTextChar"/>
    <w:uiPriority w:val="99"/>
    <w:unhideWhenUsed/>
    <w:rsid w:val="00AF7566"/>
    <w:pPr>
      <w:spacing w:line="240" w:lineRule="auto"/>
    </w:pPr>
  </w:style>
  <w:style w:type="character" w:customStyle="1" w:styleId="CommentTextChar">
    <w:name w:val="Comment Text Char"/>
    <w:basedOn w:val="DefaultParagraphFont"/>
    <w:link w:val="CommentText"/>
    <w:uiPriority w:val="99"/>
    <w:rsid w:val="00AF7566"/>
  </w:style>
  <w:style w:type="paragraph" w:styleId="CommentSubject">
    <w:name w:val="annotation subject"/>
    <w:basedOn w:val="CommentText"/>
    <w:next w:val="CommentText"/>
    <w:link w:val="CommentSubjectChar"/>
    <w:uiPriority w:val="99"/>
    <w:semiHidden/>
    <w:unhideWhenUsed/>
    <w:rsid w:val="00AF7566"/>
    <w:rPr>
      <w:b/>
      <w:bCs/>
    </w:rPr>
  </w:style>
  <w:style w:type="character" w:customStyle="1" w:styleId="CommentSubjectChar">
    <w:name w:val="Comment Subject Char"/>
    <w:basedOn w:val="CommentTextChar"/>
    <w:link w:val="CommentSubject"/>
    <w:uiPriority w:val="99"/>
    <w:semiHidden/>
    <w:rsid w:val="00AF7566"/>
    <w:rPr>
      <w:b/>
      <w:bCs/>
    </w:rPr>
  </w:style>
  <w:style w:type="paragraph" w:styleId="Revision">
    <w:name w:val="Revision"/>
    <w:hidden/>
    <w:uiPriority w:val="99"/>
    <w:semiHidden/>
    <w:rsid w:val="007D4EA4"/>
    <w:pPr>
      <w:spacing w:after="0" w:line="240" w:lineRule="auto"/>
    </w:pPr>
  </w:style>
  <w:style w:type="paragraph" w:customStyle="1" w:styleId="SABodytext">
    <w:name w:val="SA Body text"/>
    <w:basedOn w:val="Normal"/>
    <w:qFormat/>
    <w:rsid w:val="00F71285"/>
    <w:pPr>
      <w:spacing w:before="120" w:after="240" w:line="240" w:lineRule="auto"/>
    </w:pPr>
    <w:rPr>
      <w:rFonts w:ascii="Arial" w:eastAsia="Times New Roman" w:hAnsi="Arial" w:cs="Arial"/>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
  <DLM/>
  <SectionName/>
  <DH/>
  <Byline/>
</root>
</file>

<file path=customXml/itemProps1.xml><?xml version="1.0" encoding="utf-8"?>
<ds:datastoreItem xmlns:ds="http://schemas.openxmlformats.org/officeDocument/2006/customXml" ds:itemID="{03C73800-A54A-43E1-9EE4-6E7655B10D31}">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2024-09-17T04:12:00Z</dcterms:created>
  <dcterms:modified xsi:type="dcterms:W3CDTF">2024-09-17T04:12:00Z</dcterms:modified>
</cp:coreProperties>
</file>