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A42AA" w14:textId="6B4BA98F" w:rsidR="009250D3" w:rsidRPr="009250D3" w:rsidRDefault="00BD2810" w:rsidP="009250D3">
      <w:pPr>
        <w:pStyle w:val="Title"/>
        <w:spacing w:after="1080"/>
      </w:pPr>
      <w:r w:rsidRPr="009250D3">
        <w:rPr>
          <w:color w:val="C0504D" w:themeColor="accent2"/>
        </w:rPr>
        <w:t>Consultation draft only: Subject to change</w:t>
      </w:r>
    </w:p>
    <w:p w14:paraId="102B6929" w14:textId="77777777" w:rsidR="00182A51" w:rsidRPr="009250D3" w:rsidRDefault="003E57CB" w:rsidP="009250D3">
      <w:pPr>
        <w:pStyle w:val="Subtitle"/>
        <w:rPr>
          <w:sz w:val="40"/>
        </w:rPr>
      </w:pPr>
      <w:r w:rsidRPr="009250D3">
        <w:rPr>
          <w:sz w:val="40"/>
        </w:rPr>
        <w:t>Indigenous Advancement Strategy (IAS</w:t>
      </w:r>
      <w:r w:rsidR="00E5204F" w:rsidRPr="009250D3">
        <w:rPr>
          <w:sz w:val="40"/>
        </w:rPr>
        <w:t xml:space="preserve">) </w:t>
      </w:r>
    </w:p>
    <w:p w14:paraId="6C6E0F93" w14:textId="77777777" w:rsidR="00B1460B" w:rsidRPr="00624853" w:rsidRDefault="00B47605" w:rsidP="009B5C09">
      <w:pPr>
        <w:pStyle w:val="Heading1"/>
      </w:pPr>
      <w:r>
        <w:t>Remote Jobs and Economic Development Program (RJED)</w:t>
      </w:r>
      <w:r w:rsidR="003E57CB">
        <w:t xml:space="preserve"> Grant Opportunity Guidelines</w:t>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41"/>
        <w:gridCol w:w="5948"/>
      </w:tblGrid>
      <w:tr w:rsidR="00B1460B" w:rsidRPr="007040EB" w14:paraId="4D056799" w14:textId="77777777" w:rsidTr="00B4760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1" w:type="dxa"/>
          </w:tcPr>
          <w:p w14:paraId="555877C2" w14:textId="77777777" w:rsidR="00B1460B" w:rsidRPr="0004098F" w:rsidRDefault="00B1460B" w:rsidP="00624853">
            <w:pPr>
              <w:rPr>
                <w:color w:val="264F90"/>
              </w:rPr>
            </w:pPr>
            <w:r w:rsidRPr="0004098F">
              <w:rPr>
                <w:color w:val="264F90"/>
              </w:rPr>
              <w:t>Opening date:</w:t>
            </w:r>
          </w:p>
        </w:tc>
        <w:tc>
          <w:tcPr>
            <w:tcW w:w="5948" w:type="dxa"/>
          </w:tcPr>
          <w:p w14:paraId="3DF722F8" w14:textId="77777777" w:rsidR="00B1460B" w:rsidRPr="00F65C53" w:rsidRDefault="00EE41C1" w:rsidP="00EE41C1">
            <w:pPr>
              <w:cnfStyle w:val="100000000000" w:firstRow="1" w:lastRow="0" w:firstColumn="0" w:lastColumn="0" w:oddVBand="0" w:evenVBand="0" w:oddHBand="0" w:evenHBand="0" w:firstRowFirstColumn="0" w:firstRowLastColumn="0" w:lastRowFirstColumn="0" w:lastRowLastColumn="0"/>
              <w:rPr>
                <w:b w:val="0"/>
              </w:rPr>
            </w:pPr>
            <w:r w:rsidRPr="00BF29D1">
              <w:rPr>
                <w:b w:val="0"/>
              </w:rPr>
              <w:t>TBC</w:t>
            </w:r>
          </w:p>
        </w:tc>
      </w:tr>
      <w:tr w:rsidR="00B1460B" w:rsidRPr="007040EB" w14:paraId="1EEDAE6C" w14:textId="77777777" w:rsidTr="00B4760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1" w:type="dxa"/>
            <w:shd w:val="clear" w:color="auto" w:fill="auto"/>
          </w:tcPr>
          <w:p w14:paraId="63643AD0" w14:textId="77777777" w:rsidR="00B1460B" w:rsidRPr="0004098F" w:rsidRDefault="00B1460B" w:rsidP="00624853">
            <w:pPr>
              <w:rPr>
                <w:color w:val="264F90"/>
              </w:rPr>
            </w:pPr>
            <w:r w:rsidRPr="0004098F">
              <w:rPr>
                <w:color w:val="264F90"/>
              </w:rPr>
              <w:t>Closing date and time:</w:t>
            </w:r>
          </w:p>
        </w:tc>
        <w:tc>
          <w:tcPr>
            <w:tcW w:w="5948" w:type="dxa"/>
            <w:shd w:val="clear" w:color="auto" w:fill="auto"/>
          </w:tcPr>
          <w:p w14:paraId="17311C6D" w14:textId="77777777" w:rsidR="00B1460B" w:rsidRDefault="00EE41C1" w:rsidP="00DF0789">
            <w:pPr>
              <w:cnfStyle w:val="100000000000" w:firstRow="1" w:lastRow="0" w:firstColumn="0" w:lastColumn="0" w:oddVBand="0" w:evenVBand="0" w:oddHBand="0" w:evenHBand="0" w:firstRowFirstColumn="0" w:firstRowLastColumn="0" w:lastRowFirstColumn="0" w:lastRowLastColumn="0"/>
            </w:pPr>
            <w:r>
              <w:t>TBC</w:t>
            </w:r>
          </w:p>
          <w:p w14:paraId="521C336D" w14:textId="77777777" w:rsidR="003E57CB" w:rsidRPr="00F65C53" w:rsidRDefault="003E57CB" w:rsidP="003E57CB">
            <w:pPr>
              <w:cnfStyle w:val="100000000000" w:firstRow="1" w:lastRow="0" w:firstColumn="0" w:lastColumn="0" w:oddVBand="0" w:evenVBand="0" w:oddHBand="0" w:evenHBand="0" w:firstRowFirstColumn="0" w:firstRowLastColumn="0" w:lastRowFirstColumn="0" w:lastRowLastColumn="0"/>
            </w:pPr>
            <w:r w:rsidRPr="009B5C09">
              <w:rPr>
                <w:rFonts w:cs="Arial"/>
              </w:rPr>
              <w:t xml:space="preserve">Note: The National Indigenous Australians Agency (NIAA) may amend the closing date and time at its own discretion by issuing a notice through the </w:t>
            </w:r>
            <w:hyperlink r:id="rId12">
              <w:r w:rsidRPr="009B5C09">
                <w:rPr>
                  <w:rStyle w:val="Hyperlink"/>
                  <w:rFonts w:cs="Arial"/>
                </w:rPr>
                <w:t>GrantConnect</w:t>
              </w:r>
            </w:hyperlink>
            <w:r w:rsidRPr="009B5C09">
              <w:rPr>
                <w:rFonts w:cs="Arial"/>
              </w:rPr>
              <w:t xml:space="preserve"> website.</w:t>
            </w:r>
          </w:p>
        </w:tc>
      </w:tr>
      <w:tr w:rsidR="00B1460B" w:rsidRPr="007040EB" w14:paraId="64C3C617" w14:textId="77777777" w:rsidTr="00B4760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1" w:type="dxa"/>
            <w:shd w:val="clear" w:color="auto" w:fill="auto"/>
          </w:tcPr>
          <w:p w14:paraId="1F492633" w14:textId="77777777" w:rsidR="00B1460B" w:rsidRPr="0004098F" w:rsidRDefault="00B1460B" w:rsidP="00624853">
            <w:pPr>
              <w:rPr>
                <w:color w:val="264F90"/>
              </w:rPr>
            </w:pPr>
            <w:r w:rsidRPr="0004098F">
              <w:rPr>
                <w:color w:val="264F90"/>
              </w:rPr>
              <w:t>Commonwealth policy entity:</w:t>
            </w:r>
          </w:p>
        </w:tc>
        <w:tc>
          <w:tcPr>
            <w:tcW w:w="5948" w:type="dxa"/>
            <w:shd w:val="clear" w:color="auto" w:fill="auto"/>
          </w:tcPr>
          <w:p w14:paraId="544B3882" w14:textId="77777777" w:rsidR="00B1460B" w:rsidRPr="00F65C53" w:rsidRDefault="003E57CB" w:rsidP="00624853">
            <w:pPr>
              <w:cnfStyle w:val="100000000000" w:firstRow="1" w:lastRow="0" w:firstColumn="0" w:lastColumn="0" w:oddVBand="0" w:evenVBand="0" w:oddHBand="0" w:evenHBand="0" w:firstRowFirstColumn="0" w:firstRowLastColumn="0" w:lastRowFirstColumn="0" w:lastRowLastColumn="0"/>
            </w:pPr>
            <w:r>
              <w:t>NIAA</w:t>
            </w:r>
          </w:p>
        </w:tc>
      </w:tr>
      <w:tr w:rsidR="0077121A" w:rsidRPr="007040EB" w14:paraId="6BC888A7" w14:textId="77777777" w:rsidTr="00B4760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1" w:type="dxa"/>
            <w:shd w:val="clear" w:color="auto" w:fill="auto"/>
          </w:tcPr>
          <w:p w14:paraId="45934BA7" w14:textId="77777777" w:rsidR="0077121A" w:rsidRPr="0004098F" w:rsidRDefault="0077121A" w:rsidP="00550432">
            <w:pPr>
              <w:rPr>
                <w:color w:val="264F90"/>
              </w:rPr>
            </w:pPr>
            <w:r>
              <w:rPr>
                <w:color w:val="264F90"/>
              </w:rPr>
              <w:t>Administering e</w:t>
            </w:r>
            <w:r w:rsidRPr="0004098F">
              <w:rPr>
                <w:color w:val="264F90"/>
              </w:rPr>
              <w:t>ntit</w:t>
            </w:r>
            <w:r w:rsidR="00550432">
              <w:rPr>
                <w:color w:val="264F90"/>
              </w:rPr>
              <w:t>y</w:t>
            </w:r>
          </w:p>
        </w:tc>
        <w:tc>
          <w:tcPr>
            <w:tcW w:w="5948" w:type="dxa"/>
            <w:shd w:val="clear" w:color="auto" w:fill="auto"/>
          </w:tcPr>
          <w:p w14:paraId="3ECA23B4" w14:textId="77777777" w:rsidR="0077121A" w:rsidRDefault="00B1243A" w:rsidP="0077121A">
            <w:pPr>
              <w:cnfStyle w:val="100000000000" w:firstRow="1" w:lastRow="0" w:firstColumn="0" w:lastColumn="0" w:oddVBand="0" w:evenVBand="0" w:oddHBand="0" w:evenHBand="0" w:firstRowFirstColumn="0" w:firstRowLastColumn="0" w:lastRowFirstColumn="0" w:lastRowLastColumn="0"/>
            </w:pPr>
            <w:r>
              <w:t>NIAA</w:t>
            </w:r>
          </w:p>
        </w:tc>
      </w:tr>
      <w:tr w:rsidR="0077121A" w:rsidRPr="007040EB" w14:paraId="0A77525E" w14:textId="77777777" w:rsidTr="00B4760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1" w:type="dxa"/>
            <w:shd w:val="clear" w:color="auto" w:fill="auto"/>
          </w:tcPr>
          <w:p w14:paraId="072F6DD3" w14:textId="77777777" w:rsidR="0077121A" w:rsidRPr="0004098F" w:rsidRDefault="0077121A" w:rsidP="0077121A">
            <w:pPr>
              <w:rPr>
                <w:color w:val="264F90"/>
              </w:rPr>
            </w:pPr>
            <w:r w:rsidRPr="0004098F">
              <w:rPr>
                <w:color w:val="264F90"/>
              </w:rPr>
              <w:t>Enquiries:</w:t>
            </w:r>
          </w:p>
        </w:tc>
        <w:tc>
          <w:tcPr>
            <w:tcW w:w="5948" w:type="dxa"/>
            <w:shd w:val="clear" w:color="auto" w:fill="auto"/>
          </w:tcPr>
          <w:p w14:paraId="4194F492" w14:textId="77777777" w:rsidR="0077121A" w:rsidRPr="00F65C53" w:rsidRDefault="00F04554" w:rsidP="00DF0789">
            <w:pPr>
              <w:cnfStyle w:val="100000000000" w:firstRow="1" w:lastRow="0" w:firstColumn="0" w:lastColumn="0" w:oddVBand="0" w:evenVBand="0" w:oddHBand="0" w:evenHBand="0" w:firstRowFirstColumn="0" w:firstRowLastColumn="0" w:lastRowFirstColumn="0" w:lastRowLastColumn="0"/>
            </w:pPr>
            <w:r>
              <w:t>Applicant help desk</w:t>
            </w:r>
          </w:p>
        </w:tc>
      </w:tr>
      <w:tr w:rsidR="0077121A" w:rsidRPr="007040EB" w14:paraId="654C8C21" w14:textId="77777777" w:rsidTr="00B4760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1" w:type="dxa"/>
            <w:shd w:val="clear" w:color="auto" w:fill="auto"/>
          </w:tcPr>
          <w:p w14:paraId="1E9FA503" w14:textId="77777777" w:rsidR="0077121A" w:rsidRPr="0004098F" w:rsidRDefault="0077121A" w:rsidP="0077121A">
            <w:pPr>
              <w:rPr>
                <w:color w:val="264F90"/>
              </w:rPr>
            </w:pPr>
            <w:r w:rsidRPr="0004098F">
              <w:rPr>
                <w:color w:val="264F90"/>
              </w:rPr>
              <w:t>Date guidelines released:</w:t>
            </w:r>
          </w:p>
        </w:tc>
        <w:tc>
          <w:tcPr>
            <w:tcW w:w="5948" w:type="dxa"/>
            <w:shd w:val="clear" w:color="auto" w:fill="auto"/>
          </w:tcPr>
          <w:p w14:paraId="6D8A14CA" w14:textId="77777777" w:rsidR="0077121A" w:rsidRPr="00F65C53" w:rsidRDefault="00EE41C1" w:rsidP="00DF0789">
            <w:pPr>
              <w:cnfStyle w:val="100000000000" w:firstRow="1" w:lastRow="0" w:firstColumn="0" w:lastColumn="0" w:oddVBand="0" w:evenVBand="0" w:oddHBand="0" w:evenHBand="0" w:firstRowFirstColumn="0" w:firstRowLastColumn="0" w:lastRowFirstColumn="0" w:lastRowLastColumn="0"/>
            </w:pPr>
            <w:r>
              <w:t>TBC</w:t>
            </w:r>
          </w:p>
        </w:tc>
      </w:tr>
      <w:tr w:rsidR="0077121A" w14:paraId="69342C50" w14:textId="77777777" w:rsidTr="00B4760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1" w:type="dxa"/>
            <w:shd w:val="clear" w:color="auto" w:fill="auto"/>
          </w:tcPr>
          <w:p w14:paraId="44A8CCD8" w14:textId="77777777" w:rsidR="0077121A" w:rsidRPr="0004098F" w:rsidRDefault="0077121A" w:rsidP="0077121A">
            <w:pPr>
              <w:rPr>
                <w:color w:val="264F90"/>
              </w:rPr>
            </w:pPr>
            <w:r w:rsidRPr="0004098F">
              <w:rPr>
                <w:color w:val="264F90"/>
              </w:rPr>
              <w:t>Type of grant opportunity:</w:t>
            </w:r>
          </w:p>
        </w:tc>
        <w:tc>
          <w:tcPr>
            <w:tcW w:w="5948" w:type="dxa"/>
            <w:shd w:val="clear" w:color="auto" w:fill="auto"/>
          </w:tcPr>
          <w:p w14:paraId="1AC741CE" w14:textId="77777777" w:rsidR="0077121A" w:rsidRPr="00F65C53" w:rsidRDefault="0077121A" w:rsidP="00BA4CD0">
            <w:pPr>
              <w:cnfStyle w:val="100000000000" w:firstRow="1" w:lastRow="0" w:firstColumn="0" w:lastColumn="0" w:oddVBand="0" w:evenVBand="0" w:oddHBand="0" w:evenHBand="0" w:firstRowFirstColumn="0" w:firstRowLastColumn="0" w:lastRowFirstColumn="0" w:lastRowLastColumn="0"/>
            </w:pPr>
            <w:r w:rsidRPr="00BF29D1">
              <w:t>Open competitive</w:t>
            </w:r>
          </w:p>
        </w:tc>
      </w:tr>
    </w:tbl>
    <w:p w14:paraId="1194E6E9" w14:textId="77777777" w:rsidR="003871B6" w:rsidRDefault="003871B6" w:rsidP="00882DAB">
      <w:pPr>
        <w:jc w:val="both"/>
        <w:sectPr w:rsidR="003871B6" w:rsidSect="00EC24A5">
          <w:headerReference w:type="default" r:id="rId13"/>
          <w:footerReference w:type="default" r:id="rId14"/>
          <w:headerReference w:type="first" r:id="rId15"/>
          <w:footerReference w:type="first" r:id="rId16"/>
          <w:pgSz w:w="11907" w:h="16840" w:code="9"/>
          <w:pgMar w:top="1418" w:right="1418" w:bottom="1418" w:left="1701" w:header="709" w:footer="709" w:gutter="0"/>
          <w:cols w:space="708"/>
          <w:vAlign w:val="center"/>
          <w:titlePg/>
          <w:docGrid w:linePitch="360"/>
        </w:sectPr>
      </w:pPr>
    </w:p>
    <w:p w14:paraId="186B3710" w14:textId="77777777" w:rsidR="00227D98" w:rsidRDefault="00E31F9B" w:rsidP="009B5C09">
      <w:pPr>
        <w:pStyle w:val="TOCHeading"/>
      </w:pPr>
      <w:r>
        <w:lastRenderedPageBreak/>
        <w:t>Contents</w:t>
      </w:r>
    </w:p>
    <w:p w14:paraId="2F5EEB60" w14:textId="36E3A657" w:rsidR="00873A7D" w:rsidRDefault="004A238A">
      <w:pPr>
        <w:pStyle w:val="TOC4"/>
        <w:rPr>
          <w:rFonts w:asciiTheme="minorHAnsi" w:eastAsiaTheme="minorEastAsia" w:hAnsiTheme="minorHAnsi" w:cstheme="minorBidi"/>
          <w:sz w:val="22"/>
          <w:szCs w:val="22"/>
          <w:lang w:eastAsia="en-AU"/>
        </w:rPr>
      </w:pPr>
      <w:r>
        <w:rPr>
          <w:b/>
          <w:szCs w:val="28"/>
        </w:rPr>
        <w:fldChar w:fldCharType="begin"/>
      </w:r>
      <w:r>
        <w:rPr>
          <w:szCs w:val="28"/>
        </w:rPr>
        <w:instrText xml:space="preserve"> TOC \o "2-9" </w:instrText>
      </w:r>
      <w:r>
        <w:rPr>
          <w:b/>
          <w:szCs w:val="28"/>
        </w:rPr>
        <w:fldChar w:fldCharType="separate"/>
      </w:r>
      <w:r w:rsidR="00873A7D">
        <w:t>IAS: Remote Jobs and Economic Development Program processes</w:t>
      </w:r>
      <w:r w:rsidR="00873A7D">
        <w:tab/>
      </w:r>
      <w:r w:rsidR="00873A7D">
        <w:fldChar w:fldCharType="begin"/>
      </w:r>
      <w:r w:rsidR="00873A7D">
        <w:instrText xml:space="preserve"> PAGEREF _Toc170734102 \h </w:instrText>
      </w:r>
      <w:r w:rsidR="00873A7D">
        <w:fldChar w:fldCharType="separate"/>
      </w:r>
      <w:r w:rsidR="00873A7D">
        <w:t>5</w:t>
      </w:r>
      <w:r w:rsidR="00873A7D">
        <w:fldChar w:fldCharType="end"/>
      </w:r>
    </w:p>
    <w:p w14:paraId="67787BCB" w14:textId="4C77EFC2" w:rsidR="00873A7D" w:rsidRDefault="00873A7D">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_Toc170734103 \h </w:instrText>
      </w:r>
      <w:r>
        <w:rPr>
          <w:noProof/>
        </w:rPr>
      </w:r>
      <w:r>
        <w:rPr>
          <w:noProof/>
        </w:rPr>
        <w:fldChar w:fldCharType="separate"/>
      </w:r>
      <w:r>
        <w:rPr>
          <w:noProof/>
        </w:rPr>
        <w:t>6</w:t>
      </w:r>
      <w:r>
        <w:rPr>
          <w:noProof/>
        </w:rPr>
        <w:fldChar w:fldCharType="end"/>
      </w:r>
    </w:p>
    <w:p w14:paraId="14320440" w14:textId="7519734F" w:rsidR="00873A7D" w:rsidRDefault="00873A7D">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RJED grant program</w:t>
      </w:r>
      <w:r>
        <w:rPr>
          <w:noProof/>
        </w:rPr>
        <w:tab/>
      </w:r>
      <w:r>
        <w:rPr>
          <w:noProof/>
        </w:rPr>
        <w:fldChar w:fldCharType="begin"/>
      </w:r>
      <w:r>
        <w:rPr>
          <w:noProof/>
        </w:rPr>
        <w:instrText xml:space="preserve"> PAGEREF _Toc170734104 \h </w:instrText>
      </w:r>
      <w:r>
        <w:rPr>
          <w:noProof/>
        </w:rPr>
      </w:r>
      <w:r>
        <w:rPr>
          <w:noProof/>
        </w:rPr>
        <w:fldChar w:fldCharType="separate"/>
      </w:r>
      <w:r>
        <w:rPr>
          <w:noProof/>
        </w:rPr>
        <w:t>6</w:t>
      </w:r>
      <w:r>
        <w:rPr>
          <w:noProof/>
        </w:rPr>
        <w:fldChar w:fldCharType="end"/>
      </w:r>
    </w:p>
    <w:p w14:paraId="5DD9B522" w14:textId="2B86EB47" w:rsidR="00873A7D" w:rsidRDefault="00873A7D">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NIAA regional presence and National Office</w:t>
      </w:r>
      <w:r>
        <w:rPr>
          <w:noProof/>
        </w:rPr>
        <w:tab/>
      </w:r>
      <w:r>
        <w:rPr>
          <w:noProof/>
        </w:rPr>
        <w:fldChar w:fldCharType="begin"/>
      </w:r>
      <w:r>
        <w:rPr>
          <w:noProof/>
        </w:rPr>
        <w:instrText xml:space="preserve"> PAGEREF _Toc170734105 \h </w:instrText>
      </w:r>
      <w:r>
        <w:rPr>
          <w:noProof/>
        </w:rPr>
      </w:r>
      <w:r>
        <w:rPr>
          <w:noProof/>
        </w:rPr>
        <w:fldChar w:fldCharType="separate"/>
      </w:r>
      <w:r>
        <w:rPr>
          <w:noProof/>
        </w:rPr>
        <w:t>7</w:t>
      </w:r>
      <w:r>
        <w:rPr>
          <w:noProof/>
        </w:rPr>
        <w:fldChar w:fldCharType="end"/>
      </w:r>
    </w:p>
    <w:p w14:paraId="0406C7CD" w14:textId="14C66A66" w:rsidR="00873A7D" w:rsidRDefault="00873A7D">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_Toc170734106 \h </w:instrText>
      </w:r>
      <w:r>
        <w:rPr>
          <w:noProof/>
        </w:rPr>
      </w:r>
      <w:r>
        <w:rPr>
          <w:noProof/>
        </w:rPr>
        <w:fldChar w:fldCharType="separate"/>
      </w:r>
      <w:r>
        <w:rPr>
          <w:noProof/>
        </w:rPr>
        <w:t>8</w:t>
      </w:r>
      <w:r>
        <w:rPr>
          <w:noProof/>
        </w:rPr>
        <w:fldChar w:fldCharType="end"/>
      </w:r>
    </w:p>
    <w:p w14:paraId="132BACE9" w14:textId="10EAF1C3" w:rsidR="00873A7D" w:rsidRDefault="00873A7D">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_Toc170734107 \h </w:instrText>
      </w:r>
      <w:r>
        <w:rPr>
          <w:noProof/>
        </w:rPr>
      </w:r>
      <w:r>
        <w:rPr>
          <w:noProof/>
        </w:rPr>
        <w:fldChar w:fldCharType="separate"/>
      </w:r>
      <w:r>
        <w:rPr>
          <w:noProof/>
        </w:rPr>
        <w:t>8</w:t>
      </w:r>
      <w:r>
        <w:rPr>
          <w:noProof/>
        </w:rPr>
        <w:fldChar w:fldCharType="end"/>
      </w:r>
    </w:p>
    <w:p w14:paraId="0D952B48" w14:textId="042141FC" w:rsidR="00873A7D" w:rsidRDefault="00873A7D">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_Toc170734108 \h </w:instrText>
      </w:r>
      <w:r>
        <w:rPr>
          <w:noProof/>
        </w:rPr>
      </w:r>
      <w:r>
        <w:rPr>
          <w:noProof/>
        </w:rPr>
        <w:fldChar w:fldCharType="separate"/>
      </w:r>
      <w:r>
        <w:rPr>
          <w:noProof/>
        </w:rPr>
        <w:t>8</w:t>
      </w:r>
      <w:r>
        <w:rPr>
          <w:noProof/>
        </w:rPr>
        <w:fldChar w:fldCharType="end"/>
      </w:r>
    </w:p>
    <w:p w14:paraId="2EAA2B52" w14:textId="16014C0A" w:rsidR="00873A7D" w:rsidRDefault="00873A7D">
      <w:pPr>
        <w:pStyle w:val="TOC3"/>
        <w:rPr>
          <w:rFonts w:asciiTheme="minorHAnsi" w:eastAsiaTheme="minorEastAsia" w:hAnsiTheme="minorHAnsi" w:cstheme="minorBidi"/>
          <w:noProof/>
          <w:sz w:val="22"/>
          <w:lang w:val="en-AU" w:eastAsia="en-AU"/>
        </w:rPr>
      </w:pPr>
      <w:r>
        <w:rPr>
          <w:noProof/>
        </w:rPr>
        <w:t>3.3</w:t>
      </w:r>
      <w:r>
        <w:rPr>
          <w:rFonts w:asciiTheme="minorHAnsi" w:eastAsiaTheme="minorEastAsia" w:hAnsiTheme="minorHAnsi" w:cstheme="minorBidi"/>
          <w:noProof/>
          <w:sz w:val="22"/>
          <w:lang w:val="en-AU" w:eastAsia="en-AU"/>
        </w:rPr>
        <w:tab/>
      </w:r>
      <w:r>
        <w:rPr>
          <w:noProof/>
        </w:rPr>
        <w:t>Indicative regional allocations</w:t>
      </w:r>
      <w:r>
        <w:rPr>
          <w:noProof/>
        </w:rPr>
        <w:tab/>
      </w:r>
      <w:r>
        <w:rPr>
          <w:noProof/>
        </w:rPr>
        <w:fldChar w:fldCharType="begin"/>
      </w:r>
      <w:r>
        <w:rPr>
          <w:noProof/>
        </w:rPr>
        <w:instrText xml:space="preserve"> PAGEREF _Toc170734109 \h </w:instrText>
      </w:r>
      <w:r>
        <w:rPr>
          <w:noProof/>
        </w:rPr>
      </w:r>
      <w:r>
        <w:rPr>
          <w:noProof/>
        </w:rPr>
        <w:fldChar w:fldCharType="separate"/>
      </w:r>
      <w:r>
        <w:rPr>
          <w:noProof/>
        </w:rPr>
        <w:t>9</w:t>
      </w:r>
      <w:r>
        <w:rPr>
          <w:noProof/>
        </w:rPr>
        <w:fldChar w:fldCharType="end"/>
      </w:r>
    </w:p>
    <w:p w14:paraId="514CAB2D" w14:textId="080E7B15" w:rsidR="00873A7D" w:rsidRDefault="00873A7D">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_Toc170734110 \h </w:instrText>
      </w:r>
      <w:r>
        <w:rPr>
          <w:noProof/>
        </w:rPr>
      </w:r>
      <w:r>
        <w:rPr>
          <w:noProof/>
        </w:rPr>
        <w:fldChar w:fldCharType="separate"/>
      </w:r>
      <w:r>
        <w:rPr>
          <w:noProof/>
        </w:rPr>
        <w:t>9</w:t>
      </w:r>
      <w:r>
        <w:rPr>
          <w:noProof/>
        </w:rPr>
        <w:fldChar w:fldCharType="end"/>
      </w:r>
    </w:p>
    <w:p w14:paraId="054FB4A5" w14:textId="56FCE004" w:rsidR="00873A7D" w:rsidRDefault="00873A7D">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_Toc170734111 \h </w:instrText>
      </w:r>
      <w:r>
        <w:rPr>
          <w:noProof/>
        </w:rPr>
      </w:r>
      <w:r>
        <w:rPr>
          <w:noProof/>
        </w:rPr>
        <w:fldChar w:fldCharType="separate"/>
      </w:r>
      <w:r>
        <w:rPr>
          <w:noProof/>
        </w:rPr>
        <w:t>10</w:t>
      </w:r>
      <w:r>
        <w:rPr>
          <w:noProof/>
        </w:rPr>
        <w:fldChar w:fldCharType="end"/>
      </w:r>
    </w:p>
    <w:p w14:paraId="5DD1C281" w14:textId="0C7C8F69" w:rsidR="00873A7D" w:rsidRDefault="00873A7D">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_Toc170734112 \h </w:instrText>
      </w:r>
      <w:r>
        <w:rPr>
          <w:noProof/>
        </w:rPr>
      </w:r>
      <w:r>
        <w:rPr>
          <w:noProof/>
        </w:rPr>
        <w:fldChar w:fldCharType="separate"/>
      </w:r>
      <w:r>
        <w:rPr>
          <w:noProof/>
        </w:rPr>
        <w:t>10</w:t>
      </w:r>
      <w:r>
        <w:rPr>
          <w:noProof/>
        </w:rPr>
        <w:fldChar w:fldCharType="end"/>
      </w:r>
    </w:p>
    <w:p w14:paraId="531FC147" w14:textId="7B4A2DDD" w:rsidR="00873A7D" w:rsidRDefault="00873A7D">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_Toc170734113 \h </w:instrText>
      </w:r>
      <w:r>
        <w:rPr>
          <w:noProof/>
        </w:rPr>
      </w:r>
      <w:r>
        <w:rPr>
          <w:noProof/>
        </w:rPr>
        <w:fldChar w:fldCharType="separate"/>
      </w:r>
      <w:r>
        <w:rPr>
          <w:noProof/>
        </w:rPr>
        <w:t>11</w:t>
      </w:r>
      <w:r>
        <w:rPr>
          <w:noProof/>
        </w:rPr>
        <w:fldChar w:fldCharType="end"/>
      </w:r>
    </w:p>
    <w:p w14:paraId="0446A8A6" w14:textId="745B1D7C" w:rsidR="00873A7D" w:rsidRDefault="00873A7D">
      <w:pPr>
        <w:pStyle w:val="TOC3"/>
        <w:rPr>
          <w:rFonts w:asciiTheme="minorHAnsi" w:eastAsiaTheme="minorEastAsia" w:hAnsiTheme="minorHAnsi" w:cstheme="minorBidi"/>
          <w:noProof/>
          <w:sz w:val="22"/>
          <w:lang w:val="en-AU" w:eastAsia="en-AU"/>
        </w:rPr>
      </w:pPr>
      <w:r>
        <w:rPr>
          <w:noProof/>
        </w:rPr>
        <w:t>4.4</w:t>
      </w:r>
      <w:r>
        <w:rPr>
          <w:rFonts w:asciiTheme="minorHAnsi" w:eastAsiaTheme="minorEastAsia" w:hAnsiTheme="minorHAnsi" w:cstheme="minorBidi"/>
          <w:noProof/>
          <w:sz w:val="22"/>
          <w:lang w:val="en-AU" w:eastAsia="en-AU"/>
        </w:rPr>
        <w:tab/>
      </w:r>
      <w:r>
        <w:rPr>
          <w:noProof/>
        </w:rPr>
        <w:t>Incorporation requirements</w:t>
      </w:r>
      <w:r>
        <w:rPr>
          <w:noProof/>
        </w:rPr>
        <w:tab/>
      </w:r>
      <w:r>
        <w:rPr>
          <w:noProof/>
        </w:rPr>
        <w:fldChar w:fldCharType="begin"/>
      </w:r>
      <w:r>
        <w:rPr>
          <w:noProof/>
        </w:rPr>
        <w:instrText xml:space="preserve"> PAGEREF _Toc170734114 \h </w:instrText>
      </w:r>
      <w:r>
        <w:rPr>
          <w:noProof/>
        </w:rPr>
      </w:r>
      <w:r>
        <w:rPr>
          <w:noProof/>
        </w:rPr>
        <w:fldChar w:fldCharType="separate"/>
      </w:r>
      <w:r>
        <w:rPr>
          <w:noProof/>
        </w:rPr>
        <w:t>11</w:t>
      </w:r>
      <w:r>
        <w:rPr>
          <w:noProof/>
        </w:rPr>
        <w:fldChar w:fldCharType="end"/>
      </w:r>
    </w:p>
    <w:p w14:paraId="25C09257" w14:textId="2FE9C56F" w:rsidR="00873A7D" w:rsidRDefault="00873A7D">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_Toc170734115 \h </w:instrText>
      </w:r>
      <w:r>
        <w:rPr>
          <w:noProof/>
        </w:rPr>
      </w:r>
      <w:r>
        <w:rPr>
          <w:noProof/>
        </w:rPr>
        <w:fldChar w:fldCharType="separate"/>
      </w:r>
      <w:r>
        <w:rPr>
          <w:noProof/>
        </w:rPr>
        <w:t>12</w:t>
      </w:r>
      <w:r>
        <w:rPr>
          <w:noProof/>
        </w:rPr>
        <w:fldChar w:fldCharType="end"/>
      </w:r>
    </w:p>
    <w:p w14:paraId="67BAE99F" w14:textId="3731C200" w:rsidR="00873A7D" w:rsidRDefault="00873A7D">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_Toc170734116 \h </w:instrText>
      </w:r>
      <w:r>
        <w:rPr>
          <w:noProof/>
        </w:rPr>
      </w:r>
      <w:r>
        <w:rPr>
          <w:noProof/>
        </w:rPr>
        <w:fldChar w:fldCharType="separate"/>
      </w:r>
      <w:r>
        <w:rPr>
          <w:noProof/>
        </w:rPr>
        <w:t>12</w:t>
      </w:r>
      <w:r>
        <w:rPr>
          <w:noProof/>
        </w:rPr>
        <w:fldChar w:fldCharType="end"/>
      </w:r>
    </w:p>
    <w:p w14:paraId="08A166AF" w14:textId="1BD958B5" w:rsidR="00873A7D" w:rsidRDefault="00873A7D">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Job Creation - Eligible Employees</w:t>
      </w:r>
      <w:r>
        <w:rPr>
          <w:noProof/>
        </w:rPr>
        <w:tab/>
      </w:r>
      <w:r>
        <w:rPr>
          <w:noProof/>
        </w:rPr>
        <w:fldChar w:fldCharType="begin"/>
      </w:r>
      <w:r>
        <w:rPr>
          <w:noProof/>
        </w:rPr>
        <w:instrText xml:space="preserve"> PAGEREF _Toc170734117 \h </w:instrText>
      </w:r>
      <w:r>
        <w:rPr>
          <w:noProof/>
        </w:rPr>
      </w:r>
      <w:r>
        <w:rPr>
          <w:noProof/>
        </w:rPr>
        <w:fldChar w:fldCharType="separate"/>
      </w:r>
      <w:r>
        <w:rPr>
          <w:noProof/>
        </w:rPr>
        <w:t>13</w:t>
      </w:r>
      <w:r>
        <w:rPr>
          <w:noProof/>
        </w:rPr>
        <w:fldChar w:fldCharType="end"/>
      </w:r>
    </w:p>
    <w:p w14:paraId="32ED0CF5" w14:textId="157C4CB3" w:rsidR="00873A7D" w:rsidRDefault="00873A7D">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Job Creation - What jobs are not eligible for funding</w:t>
      </w:r>
      <w:r>
        <w:rPr>
          <w:noProof/>
        </w:rPr>
        <w:tab/>
      </w:r>
      <w:r>
        <w:rPr>
          <w:noProof/>
        </w:rPr>
        <w:fldChar w:fldCharType="begin"/>
      </w:r>
      <w:r>
        <w:rPr>
          <w:noProof/>
        </w:rPr>
        <w:instrText xml:space="preserve"> PAGEREF _Toc170734118 \h </w:instrText>
      </w:r>
      <w:r>
        <w:rPr>
          <w:noProof/>
        </w:rPr>
      </w:r>
      <w:r>
        <w:rPr>
          <w:noProof/>
        </w:rPr>
        <w:fldChar w:fldCharType="separate"/>
      </w:r>
      <w:r>
        <w:rPr>
          <w:noProof/>
        </w:rPr>
        <w:t>13</w:t>
      </w:r>
      <w:r>
        <w:rPr>
          <w:noProof/>
        </w:rPr>
        <w:fldChar w:fldCharType="end"/>
      </w:r>
    </w:p>
    <w:p w14:paraId="4B16F47C" w14:textId="2B48590C" w:rsidR="00873A7D" w:rsidRDefault="00873A7D">
      <w:pPr>
        <w:pStyle w:val="TOC3"/>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Job Creation - Eligible locations</w:t>
      </w:r>
      <w:r>
        <w:rPr>
          <w:noProof/>
        </w:rPr>
        <w:tab/>
      </w:r>
      <w:r>
        <w:rPr>
          <w:noProof/>
        </w:rPr>
        <w:fldChar w:fldCharType="begin"/>
      </w:r>
      <w:r>
        <w:rPr>
          <w:noProof/>
        </w:rPr>
        <w:instrText xml:space="preserve"> PAGEREF _Toc170734119 \h </w:instrText>
      </w:r>
      <w:r>
        <w:rPr>
          <w:noProof/>
        </w:rPr>
      </w:r>
      <w:r>
        <w:rPr>
          <w:noProof/>
        </w:rPr>
        <w:fldChar w:fldCharType="separate"/>
      </w:r>
      <w:r>
        <w:rPr>
          <w:noProof/>
        </w:rPr>
        <w:t>13</w:t>
      </w:r>
      <w:r>
        <w:rPr>
          <w:noProof/>
        </w:rPr>
        <w:fldChar w:fldCharType="end"/>
      </w:r>
    </w:p>
    <w:p w14:paraId="4AAE1EF3" w14:textId="5C907150" w:rsidR="00873A7D" w:rsidRDefault="00873A7D">
      <w:pPr>
        <w:pStyle w:val="TOC3"/>
        <w:rPr>
          <w:rFonts w:asciiTheme="minorHAnsi" w:eastAsiaTheme="minorEastAsia" w:hAnsiTheme="minorHAnsi" w:cstheme="minorBidi"/>
          <w:noProof/>
          <w:sz w:val="22"/>
          <w:lang w:val="en-AU" w:eastAsia="en-AU"/>
        </w:rPr>
      </w:pPr>
      <w:r>
        <w:rPr>
          <w:noProof/>
        </w:rPr>
        <w:t>5.5</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_Toc170734120 \h </w:instrText>
      </w:r>
      <w:r>
        <w:rPr>
          <w:noProof/>
        </w:rPr>
      </w:r>
      <w:r>
        <w:rPr>
          <w:noProof/>
        </w:rPr>
        <w:fldChar w:fldCharType="separate"/>
      </w:r>
      <w:r>
        <w:rPr>
          <w:noProof/>
        </w:rPr>
        <w:t>13</w:t>
      </w:r>
      <w:r>
        <w:rPr>
          <w:noProof/>
        </w:rPr>
        <w:fldChar w:fldCharType="end"/>
      </w:r>
    </w:p>
    <w:p w14:paraId="14E62B51" w14:textId="35F74F3B" w:rsidR="00873A7D" w:rsidRDefault="00873A7D">
      <w:pPr>
        <w:pStyle w:val="TOC3"/>
        <w:rPr>
          <w:rFonts w:asciiTheme="minorHAnsi" w:eastAsiaTheme="minorEastAsia" w:hAnsiTheme="minorHAnsi" w:cstheme="minorBidi"/>
          <w:noProof/>
          <w:sz w:val="22"/>
          <w:lang w:val="en-AU" w:eastAsia="en-AU"/>
        </w:rPr>
      </w:pPr>
      <w:r>
        <w:rPr>
          <w:noProof/>
        </w:rPr>
        <w:t>5.6</w:t>
      </w:r>
      <w:r>
        <w:rPr>
          <w:rFonts w:asciiTheme="minorHAnsi" w:eastAsiaTheme="minorEastAsia" w:hAnsiTheme="minorHAnsi" w:cstheme="minorBidi"/>
          <w:noProof/>
          <w:sz w:val="22"/>
          <w:lang w:val="en-AU" w:eastAsia="en-AU"/>
        </w:rPr>
        <w:tab/>
      </w:r>
      <w:r>
        <w:rPr>
          <w:noProof/>
        </w:rPr>
        <w:t>A. Job creation</w:t>
      </w:r>
      <w:r>
        <w:rPr>
          <w:noProof/>
        </w:rPr>
        <w:tab/>
      </w:r>
      <w:r>
        <w:rPr>
          <w:noProof/>
        </w:rPr>
        <w:fldChar w:fldCharType="begin"/>
      </w:r>
      <w:r>
        <w:rPr>
          <w:noProof/>
        </w:rPr>
        <w:instrText xml:space="preserve"> PAGEREF _Toc170734121 \h </w:instrText>
      </w:r>
      <w:r>
        <w:rPr>
          <w:noProof/>
        </w:rPr>
      </w:r>
      <w:r>
        <w:rPr>
          <w:noProof/>
        </w:rPr>
        <w:fldChar w:fldCharType="separate"/>
      </w:r>
      <w:r>
        <w:rPr>
          <w:noProof/>
        </w:rPr>
        <w:t>14</w:t>
      </w:r>
      <w:r>
        <w:rPr>
          <w:noProof/>
        </w:rPr>
        <w:fldChar w:fldCharType="end"/>
      </w:r>
    </w:p>
    <w:p w14:paraId="5D189080" w14:textId="78813BD9" w:rsidR="00873A7D" w:rsidRDefault="00873A7D">
      <w:pPr>
        <w:pStyle w:val="TOC3"/>
        <w:rPr>
          <w:rFonts w:asciiTheme="minorHAnsi" w:eastAsiaTheme="minorEastAsia" w:hAnsiTheme="minorHAnsi" w:cstheme="minorBidi"/>
          <w:noProof/>
          <w:sz w:val="22"/>
          <w:lang w:val="en-AU" w:eastAsia="en-AU"/>
        </w:rPr>
      </w:pPr>
      <w:r>
        <w:rPr>
          <w:noProof/>
        </w:rPr>
        <w:t>5.7</w:t>
      </w:r>
      <w:r>
        <w:rPr>
          <w:rFonts w:asciiTheme="minorHAnsi" w:eastAsiaTheme="minorEastAsia" w:hAnsiTheme="minorHAnsi" w:cstheme="minorBidi"/>
          <w:noProof/>
          <w:sz w:val="22"/>
          <w:lang w:val="en-AU" w:eastAsia="en-AU"/>
        </w:rPr>
        <w:tab/>
      </w:r>
      <w:r>
        <w:rPr>
          <w:noProof/>
        </w:rPr>
        <w:t xml:space="preserve">B. Community Jobs and Business Fund (CJBF) </w:t>
      </w:r>
      <w:r w:rsidRPr="00524CA2">
        <w:rPr>
          <w:noProof/>
          <w:color w:val="FF0000"/>
        </w:rPr>
        <w:t>SUBJECT TO CHANGE</w:t>
      </w:r>
      <w:r>
        <w:rPr>
          <w:noProof/>
        </w:rPr>
        <w:tab/>
      </w:r>
      <w:r>
        <w:rPr>
          <w:noProof/>
        </w:rPr>
        <w:fldChar w:fldCharType="begin"/>
      </w:r>
      <w:r>
        <w:rPr>
          <w:noProof/>
        </w:rPr>
        <w:instrText xml:space="preserve"> PAGEREF _Toc170734122 \h </w:instrText>
      </w:r>
      <w:r>
        <w:rPr>
          <w:noProof/>
        </w:rPr>
      </w:r>
      <w:r>
        <w:rPr>
          <w:noProof/>
        </w:rPr>
        <w:fldChar w:fldCharType="separate"/>
      </w:r>
      <w:r>
        <w:rPr>
          <w:noProof/>
        </w:rPr>
        <w:t>14</w:t>
      </w:r>
      <w:r>
        <w:rPr>
          <w:noProof/>
        </w:rPr>
        <w:fldChar w:fldCharType="end"/>
      </w:r>
    </w:p>
    <w:p w14:paraId="126C62AF" w14:textId="59454CAB" w:rsidR="00873A7D" w:rsidRDefault="00873A7D">
      <w:pPr>
        <w:pStyle w:val="TOC3"/>
        <w:rPr>
          <w:rFonts w:asciiTheme="minorHAnsi" w:eastAsiaTheme="minorEastAsia" w:hAnsiTheme="minorHAnsi" w:cstheme="minorBidi"/>
          <w:noProof/>
          <w:sz w:val="22"/>
          <w:lang w:val="en-AU" w:eastAsia="en-AU"/>
        </w:rPr>
      </w:pPr>
      <w:r>
        <w:rPr>
          <w:noProof/>
        </w:rPr>
        <w:t>5.8</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_Toc170734123 \h </w:instrText>
      </w:r>
      <w:r>
        <w:rPr>
          <w:noProof/>
        </w:rPr>
      </w:r>
      <w:r>
        <w:rPr>
          <w:noProof/>
        </w:rPr>
        <w:fldChar w:fldCharType="separate"/>
      </w:r>
      <w:r>
        <w:rPr>
          <w:noProof/>
        </w:rPr>
        <w:t>16</w:t>
      </w:r>
      <w:r>
        <w:rPr>
          <w:noProof/>
        </w:rPr>
        <w:fldChar w:fldCharType="end"/>
      </w:r>
    </w:p>
    <w:p w14:paraId="6312816E" w14:textId="30198BEE" w:rsidR="00873A7D" w:rsidRDefault="00873A7D">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_Toc170734124 \h </w:instrText>
      </w:r>
      <w:r>
        <w:rPr>
          <w:noProof/>
        </w:rPr>
      </w:r>
      <w:r>
        <w:rPr>
          <w:noProof/>
        </w:rPr>
        <w:fldChar w:fldCharType="separate"/>
      </w:r>
      <w:r>
        <w:rPr>
          <w:noProof/>
        </w:rPr>
        <w:t>17</w:t>
      </w:r>
      <w:r>
        <w:rPr>
          <w:noProof/>
        </w:rPr>
        <w:fldChar w:fldCharType="end"/>
      </w:r>
    </w:p>
    <w:p w14:paraId="57FC3918" w14:textId="72428ECF" w:rsidR="00873A7D" w:rsidRDefault="00873A7D">
      <w:pPr>
        <w:pStyle w:val="TOC3"/>
        <w:rPr>
          <w:rFonts w:asciiTheme="minorHAnsi" w:eastAsiaTheme="minorEastAsia" w:hAnsiTheme="minorHAnsi" w:cstheme="minorBidi"/>
          <w:noProof/>
          <w:sz w:val="22"/>
          <w:lang w:val="en-AU" w:eastAsia="en-AU"/>
        </w:rPr>
      </w:pPr>
      <w:r>
        <w:rPr>
          <w:noProof/>
        </w:rPr>
        <w:t>6.1</w:t>
      </w:r>
      <w:r>
        <w:rPr>
          <w:rFonts w:asciiTheme="minorHAnsi" w:eastAsiaTheme="minorEastAsia" w:hAnsiTheme="minorHAnsi" w:cstheme="minorBidi"/>
          <w:noProof/>
          <w:sz w:val="22"/>
          <w:lang w:val="en-AU" w:eastAsia="en-AU"/>
        </w:rPr>
        <w:tab/>
      </w:r>
      <w:r>
        <w:rPr>
          <w:noProof/>
        </w:rPr>
        <w:t>Criterion 1: Creating new jobs (5 points)</w:t>
      </w:r>
      <w:r>
        <w:rPr>
          <w:noProof/>
        </w:rPr>
        <w:tab/>
      </w:r>
      <w:r>
        <w:rPr>
          <w:noProof/>
        </w:rPr>
        <w:fldChar w:fldCharType="begin"/>
      </w:r>
      <w:r>
        <w:rPr>
          <w:noProof/>
        </w:rPr>
        <w:instrText xml:space="preserve"> PAGEREF _Toc170734125 \h </w:instrText>
      </w:r>
      <w:r>
        <w:rPr>
          <w:noProof/>
        </w:rPr>
      </w:r>
      <w:r>
        <w:rPr>
          <w:noProof/>
        </w:rPr>
        <w:fldChar w:fldCharType="separate"/>
      </w:r>
      <w:r>
        <w:rPr>
          <w:noProof/>
        </w:rPr>
        <w:t>17</w:t>
      </w:r>
      <w:r>
        <w:rPr>
          <w:noProof/>
        </w:rPr>
        <w:fldChar w:fldCharType="end"/>
      </w:r>
    </w:p>
    <w:p w14:paraId="02272949" w14:textId="1FB4967D" w:rsidR="00873A7D" w:rsidRDefault="00873A7D">
      <w:pPr>
        <w:pStyle w:val="TOC3"/>
        <w:rPr>
          <w:rFonts w:asciiTheme="minorHAnsi" w:eastAsiaTheme="minorEastAsia" w:hAnsiTheme="minorHAnsi" w:cstheme="minorBidi"/>
          <w:noProof/>
          <w:sz w:val="22"/>
          <w:lang w:val="en-AU" w:eastAsia="en-AU"/>
        </w:rPr>
      </w:pPr>
      <w:r>
        <w:rPr>
          <w:noProof/>
        </w:rPr>
        <w:t>6.2</w:t>
      </w:r>
      <w:r>
        <w:rPr>
          <w:rFonts w:asciiTheme="minorHAnsi" w:eastAsiaTheme="minorEastAsia" w:hAnsiTheme="minorHAnsi" w:cstheme="minorBidi"/>
          <w:noProof/>
          <w:sz w:val="22"/>
          <w:lang w:val="en-AU" w:eastAsia="en-AU"/>
        </w:rPr>
        <w:tab/>
      </w:r>
      <w:r>
        <w:rPr>
          <w:noProof/>
        </w:rPr>
        <w:t>Criterion 2: Community need (5 points)</w:t>
      </w:r>
      <w:r>
        <w:rPr>
          <w:noProof/>
        </w:rPr>
        <w:tab/>
      </w:r>
      <w:r>
        <w:rPr>
          <w:noProof/>
        </w:rPr>
        <w:fldChar w:fldCharType="begin"/>
      </w:r>
      <w:r>
        <w:rPr>
          <w:noProof/>
        </w:rPr>
        <w:instrText xml:space="preserve"> PAGEREF _Toc170734126 \h </w:instrText>
      </w:r>
      <w:r>
        <w:rPr>
          <w:noProof/>
        </w:rPr>
      </w:r>
      <w:r>
        <w:rPr>
          <w:noProof/>
        </w:rPr>
        <w:fldChar w:fldCharType="separate"/>
      </w:r>
      <w:r>
        <w:rPr>
          <w:noProof/>
        </w:rPr>
        <w:t>18</w:t>
      </w:r>
      <w:r>
        <w:rPr>
          <w:noProof/>
        </w:rPr>
        <w:fldChar w:fldCharType="end"/>
      </w:r>
    </w:p>
    <w:p w14:paraId="336787A6" w14:textId="210925A4" w:rsidR="00873A7D" w:rsidRDefault="00873A7D">
      <w:pPr>
        <w:pStyle w:val="TOC3"/>
        <w:rPr>
          <w:rFonts w:asciiTheme="minorHAnsi" w:eastAsiaTheme="minorEastAsia" w:hAnsiTheme="minorHAnsi" w:cstheme="minorBidi"/>
          <w:noProof/>
          <w:sz w:val="22"/>
          <w:lang w:val="en-AU" w:eastAsia="en-AU"/>
        </w:rPr>
      </w:pPr>
      <w:r>
        <w:rPr>
          <w:noProof/>
        </w:rPr>
        <w:t>6.3</w:t>
      </w:r>
      <w:r>
        <w:rPr>
          <w:rFonts w:asciiTheme="minorHAnsi" w:eastAsiaTheme="minorEastAsia" w:hAnsiTheme="minorHAnsi" w:cstheme="minorBidi"/>
          <w:noProof/>
          <w:sz w:val="22"/>
          <w:lang w:val="en-AU" w:eastAsia="en-AU"/>
        </w:rPr>
        <w:tab/>
      </w:r>
      <w:r>
        <w:rPr>
          <w:noProof/>
        </w:rPr>
        <w:t>Criterion 3: Organisation Capability and Delivery (5 points)</w:t>
      </w:r>
      <w:r>
        <w:rPr>
          <w:noProof/>
        </w:rPr>
        <w:tab/>
      </w:r>
      <w:r>
        <w:rPr>
          <w:noProof/>
        </w:rPr>
        <w:fldChar w:fldCharType="begin"/>
      </w:r>
      <w:r>
        <w:rPr>
          <w:noProof/>
        </w:rPr>
        <w:instrText xml:space="preserve"> PAGEREF _Toc170734127 \h </w:instrText>
      </w:r>
      <w:r>
        <w:rPr>
          <w:noProof/>
        </w:rPr>
      </w:r>
      <w:r>
        <w:rPr>
          <w:noProof/>
        </w:rPr>
        <w:fldChar w:fldCharType="separate"/>
      </w:r>
      <w:r>
        <w:rPr>
          <w:noProof/>
        </w:rPr>
        <w:t>18</w:t>
      </w:r>
      <w:r>
        <w:rPr>
          <w:noProof/>
        </w:rPr>
        <w:fldChar w:fldCharType="end"/>
      </w:r>
    </w:p>
    <w:p w14:paraId="25CBB2A4" w14:textId="711E09FD" w:rsidR="00873A7D" w:rsidRDefault="00873A7D">
      <w:pPr>
        <w:pStyle w:val="TOC3"/>
        <w:rPr>
          <w:rFonts w:asciiTheme="minorHAnsi" w:eastAsiaTheme="minorEastAsia" w:hAnsiTheme="minorHAnsi" w:cstheme="minorBidi"/>
          <w:noProof/>
          <w:sz w:val="22"/>
          <w:lang w:val="en-AU" w:eastAsia="en-AU"/>
        </w:rPr>
      </w:pPr>
      <w:r>
        <w:rPr>
          <w:noProof/>
        </w:rPr>
        <w:t>6.4</w:t>
      </w:r>
      <w:r>
        <w:rPr>
          <w:rFonts w:asciiTheme="minorHAnsi" w:eastAsiaTheme="minorEastAsia" w:hAnsiTheme="minorHAnsi" w:cstheme="minorBidi"/>
          <w:noProof/>
          <w:sz w:val="22"/>
          <w:lang w:val="en-AU" w:eastAsia="en-AU"/>
        </w:rPr>
        <w:tab/>
      </w:r>
      <w:r>
        <w:rPr>
          <w:noProof/>
        </w:rPr>
        <w:t>Criterion 4: Delivering Outcomes and Economic Benefits to the community (only required for applicants seeking funding from Community Jobs and Business Fund)</w:t>
      </w:r>
      <w:r>
        <w:rPr>
          <w:noProof/>
        </w:rPr>
        <w:tab/>
      </w:r>
      <w:r>
        <w:rPr>
          <w:noProof/>
        </w:rPr>
        <w:fldChar w:fldCharType="begin"/>
      </w:r>
      <w:r>
        <w:rPr>
          <w:noProof/>
        </w:rPr>
        <w:instrText xml:space="preserve"> PAGEREF _Toc170734128 \h </w:instrText>
      </w:r>
      <w:r>
        <w:rPr>
          <w:noProof/>
        </w:rPr>
      </w:r>
      <w:r>
        <w:rPr>
          <w:noProof/>
        </w:rPr>
        <w:fldChar w:fldCharType="separate"/>
      </w:r>
      <w:r>
        <w:rPr>
          <w:noProof/>
        </w:rPr>
        <w:t>19</w:t>
      </w:r>
      <w:r>
        <w:rPr>
          <w:noProof/>
        </w:rPr>
        <w:fldChar w:fldCharType="end"/>
      </w:r>
    </w:p>
    <w:p w14:paraId="12910510" w14:textId="592BBAA7" w:rsidR="00873A7D" w:rsidRDefault="00873A7D">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_Toc170734129 \h </w:instrText>
      </w:r>
      <w:r>
        <w:rPr>
          <w:noProof/>
        </w:rPr>
      </w:r>
      <w:r>
        <w:rPr>
          <w:noProof/>
        </w:rPr>
        <w:fldChar w:fldCharType="separate"/>
      </w:r>
      <w:r>
        <w:rPr>
          <w:noProof/>
        </w:rPr>
        <w:t>19</w:t>
      </w:r>
      <w:r>
        <w:rPr>
          <w:noProof/>
        </w:rPr>
        <w:fldChar w:fldCharType="end"/>
      </w:r>
    </w:p>
    <w:p w14:paraId="607BF53A" w14:textId="64D7C4FC" w:rsidR="00873A7D" w:rsidRDefault="00873A7D">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_Toc170734130 \h </w:instrText>
      </w:r>
      <w:r>
        <w:rPr>
          <w:noProof/>
        </w:rPr>
      </w:r>
      <w:r>
        <w:rPr>
          <w:noProof/>
        </w:rPr>
        <w:fldChar w:fldCharType="separate"/>
      </w:r>
      <w:r>
        <w:rPr>
          <w:noProof/>
        </w:rPr>
        <w:t>20</w:t>
      </w:r>
      <w:r>
        <w:rPr>
          <w:noProof/>
        </w:rPr>
        <w:fldChar w:fldCharType="end"/>
      </w:r>
    </w:p>
    <w:p w14:paraId="0E7B97AD" w14:textId="46810BB9" w:rsidR="00873A7D" w:rsidRDefault="00873A7D">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_Toc170734131 \h </w:instrText>
      </w:r>
      <w:r>
        <w:rPr>
          <w:noProof/>
        </w:rPr>
      </w:r>
      <w:r>
        <w:rPr>
          <w:noProof/>
        </w:rPr>
        <w:fldChar w:fldCharType="separate"/>
      </w:r>
      <w:r>
        <w:rPr>
          <w:noProof/>
        </w:rPr>
        <w:t>21</w:t>
      </w:r>
      <w:r>
        <w:rPr>
          <w:noProof/>
        </w:rPr>
        <w:fldChar w:fldCharType="end"/>
      </w:r>
    </w:p>
    <w:p w14:paraId="36768703" w14:textId="53B46CC9" w:rsidR="00873A7D" w:rsidRDefault="00873A7D">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Trust applications</w:t>
      </w:r>
      <w:r>
        <w:rPr>
          <w:noProof/>
        </w:rPr>
        <w:tab/>
      </w:r>
      <w:r>
        <w:rPr>
          <w:noProof/>
        </w:rPr>
        <w:fldChar w:fldCharType="begin"/>
      </w:r>
      <w:r>
        <w:rPr>
          <w:noProof/>
        </w:rPr>
        <w:instrText xml:space="preserve"> PAGEREF _Toc170734132 \h </w:instrText>
      </w:r>
      <w:r>
        <w:rPr>
          <w:noProof/>
        </w:rPr>
      </w:r>
      <w:r>
        <w:rPr>
          <w:noProof/>
        </w:rPr>
        <w:fldChar w:fldCharType="separate"/>
      </w:r>
      <w:r>
        <w:rPr>
          <w:noProof/>
        </w:rPr>
        <w:t>22</w:t>
      </w:r>
      <w:r>
        <w:rPr>
          <w:noProof/>
        </w:rPr>
        <w:fldChar w:fldCharType="end"/>
      </w:r>
    </w:p>
    <w:p w14:paraId="7C265CA5" w14:textId="65206F12" w:rsidR="00873A7D" w:rsidRDefault="00873A7D">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_Toc170734133 \h </w:instrText>
      </w:r>
      <w:r>
        <w:rPr>
          <w:noProof/>
        </w:rPr>
      </w:r>
      <w:r>
        <w:rPr>
          <w:noProof/>
        </w:rPr>
        <w:fldChar w:fldCharType="separate"/>
      </w:r>
      <w:r>
        <w:rPr>
          <w:noProof/>
        </w:rPr>
        <w:t>22</w:t>
      </w:r>
      <w:r>
        <w:rPr>
          <w:noProof/>
        </w:rPr>
        <w:fldChar w:fldCharType="end"/>
      </w:r>
    </w:p>
    <w:p w14:paraId="66BD2EFC" w14:textId="450EAB42" w:rsidR="00873A7D" w:rsidRDefault="00873A7D">
      <w:pPr>
        <w:pStyle w:val="TOC3"/>
        <w:rPr>
          <w:rFonts w:asciiTheme="minorHAnsi" w:eastAsiaTheme="minorEastAsia" w:hAnsiTheme="minorHAnsi" w:cstheme="minorBidi"/>
          <w:noProof/>
          <w:sz w:val="22"/>
          <w:lang w:val="en-AU" w:eastAsia="en-AU"/>
        </w:rPr>
      </w:pPr>
      <w:r>
        <w:rPr>
          <w:noProof/>
        </w:rPr>
        <w:t>7.5</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_Toc170734134 \h </w:instrText>
      </w:r>
      <w:r>
        <w:rPr>
          <w:noProof/>
        </w:rPr>
      </w:r>
      <w:r>
        <w:rPr>
          <w:noProof/>
        </w:rPr>
        <w:fldChar w:fldCharType="separate"/>
      </w:r>
      <w:r>
        <w:rPr>
          <w:noProof/>
        </w:rPr>
        <w:t>22</w:t>
      </w:r>
      <w:r>
        <w:rPr>
          <w:noProof/>
        </w:rPr>
        <w:fldChar w:fldCharType="end"/>
      </w:r>
    </w:p>
    <w:p w14:paraId="02C05BEF" w14:textId="6875EC04" w:rsidR="00873A7D" w:rsidRDefault="00873A7D">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_Toc170734135 \h </w:instrText>
      </w:r>
      <w:r>
        <w:rPr>
          <w:noProof/>
        </w:rPr>
      </w:r>
      <w:r>
        <w:rPr>
          <w:noProof/>
        </w:rPr>
        <w:fldChar w:fldCharType="separate"/>
      </w:r>
      <w:r>
        <w:rPr>
          <w:noProof/>
        </w:rPr>
        <w:t>22</w:t>
      </w:r>
      <w:r>
        <w:rPr>
          <w:noProof/>
        </w:rPr>
        <w:fldChar w:fldCharType="end"/>
      </w:r>
    </w:p>
    <w:p w14:paraId="28937FE5" w14:textId="437432F4" w:rsidR="00873A7D" w:rsidRDefault="00873A7D">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_Toc170734136 \h </w:instrText>
      </w:r>
      <w:r>
        <w:rPr>
          <w:noProof/>
        </w:rPr>
      </w:r>
      <w:r>
        <w:rPr>
          <w:noProof/>
        </w:rPr>
        <w:fldChar w:fldCharType="separate"/>
      </w:r>
      <w:r>
        <w:rPr>
          <w:noProof/>
        </w:rPr>
        <w:t>22</w:t>
      </w:r>
      <w:r>
        <w:rPr>
          <w:noProof/>
        </w:rPr>
        <w:fldChar w:fldCharType="end"/>
      </w:r>
    </w:p>
    <w:p w14:paraId="3D9E4425" w14:textId="756DC558" w:rsidR="00873A7D" w:rsidRDefault="00873A7D">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Indigenous Grants Preferencing Policy</w:t>
      </w:r>
      <w:r>
        <w:rPr>
          <w:noProof/>
        </w:rPr>
        <w:tab/>
      </w:r>
      <w:r>
        <w:rPr>
          <w:noProof/>
        </w:rPr>
        <w:fldChar w:fldCharType="begin"/>
      </w:r>
      <w:r>
        <w:rPr>
          <w:noProof/>
        </w:rPr>
        <w:instrText xml:space="preserve"> PAGEREF _Toc170734137 \h </w:instrText>
      </w:r>
      <w:r>
        <w:rPr>
          <w:noProof/>
        </w:rPr>
      </w:r>
      <w:r>
        <w:rPr>
          <w:noProof/>
        </w:rPr>
        <w:fldChar w:fldCharType="separate"/>
      </w:r>
      <w:r>
        <w:rPr>
          <w:noProof/>
        </w:rPr>
        <w:t>23</w:t>
      </w:r>
      <w:r>
        <w:rPr>
          <w:noProof/>
        </w:rPr>
        <w:fldChar w:fldCharType="end"/>
      </w:r>
    </w:p>
    <w:p w14:paraId="7BA902A6" w14:textId="7CFC0FB0" w:rsidR="00873A7D" w:rsidRDefault="00873A7D">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applications?</w:t>
      </w:r>
      <w:r>
        <w:rPr>
          <w:noProof/>
        </w:rPr>
        <w:tab/>
      </w:r>
      <w:r>
        <w:rPr>
          <w:noProof/>
        </w:rPr>
        <w:fldChar w:fldCharType="begin"/>
      </w:r>
      <w:r>
        <w:rPr>
          <w:noProof/>
        </w:rPr>
        <w:instrText xml:space="preserve"> PAGEREF _Toc170734138 \h </w:instrText>
      </w:r>
      <w:r>
        <w:rPr>
          <w:noProof/>
        </w:rPr>
      </w:r>
      <w:r>
        <w:rPr>
          <w:noProof/>
        </w:rPr>
        <w:fldChar w:fldCharType="separate"/>
      </w:r>
      <w:r>
        <w:rPr>
          <w:noProof/>
        </w:rPr>
        <w:t>23</w:t>
      </w:r>
      <w:r>
        <w:rPr>
          <w:noProof/>
        </w:rPr>
        <w:fldChar w:fldCharType="end"/>
      </w:r>
    </w:p>
    <w:p w14:paraId="1DD797E3" w14:textId="1BD2E414" w:rsidR="00873A7D" w:rsidRDefault="00873A7D">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_Toc170734139 \h </w:instrText>
      </w:r>
      <w:r>
        <w:rPr>
          <w:noProof/>
        </w:rPr>
      </w:r>
      <w:r>
        <w:rPr>
          <w:noProof/>
        </w:rPr>
        <w:fldChar w:fldCharType="separate"/>
      </w:r>
      <w:r>
        <w:rPr>
          <w:noProof/>
        </w:rPr>
        <w:t>23</w:t>
      </w:r>
      <w:r>
        <w:rPr>
          <w:noProof/>
        </w:rPr>
        <w:fldChar w:fldCharType="end"/>
      </w:r>
    </w:p>
    <w:p w14:paraId="72EAA36C" w14:textId="575A1CDB" w:rsidR="00873A7D" w:rsidRDefault="00873A7D">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_Toc170734140 \h </w:instrText>
      </w:r>
      <w:r>
        <w:rPr>
          <w:noProof/>
        </w:rPr>
      </w:r>
      <w:r>
        <w:rPr>
          <w:noProof/>
        </w:rPr>
        <w:fldChar w:fldCharType="separate"/>
      </w:r>
      <w:r>
        <w:rPr>
          <w:noProof/>
        </w:rPr>
        <w:t>24</w:t>
      </w:r>
      <w:r>
        <w:rPr>
          <w:noProof/>
        </w:rPr>
        <w:fldChar w:fldCharType="end"/>
      </w:r>
    </w:p>
    <w:p w14:paraId="2E8C5CC6" w14:textId="01AA8EE7" w:rsidR="00873A7D" w:rsidRDefault="00873A7D">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_Toc170734141 \h </w:instrText>
      </w:r>
      <w:r>
        <w:rPr>
          <w:noProof/>
        </w:rPr>
      </w:r>
      <w:r>
        <w:rPr>
          <w:noProof/>
        </w:rPr>
        <w:fldChar w:fldCharType="separate"/>
      </w:r>
      <w:r>
        <w:rPr>
          <w:noProof/>
        </w:rPr>
        <w:t>24</w:t>
      </w:r>
      <w:r>
        <w:rPr>
          <w:noProof/>
        </w:rPr>
        <w:fldChar w:fldCharType="end"/>
      </w:r>
    </w:p>
    <w:p w14:paraId="59CFD931" w14:textId="2B92AECF" w:rsidR="00873A7D" w:rsidRDefault="00873A7D">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Further grant opportunities</w:t>
      </w:r>
      <w:r>
        <w:rPr>
          <w:noProof/>
        </w:rPr>
        <w:tab/>
      </w:r>
      <w:r>
        <w:rPr>
          <w:noProof/>
        </w:rPr>
        <w:fldChar w:fldCharType="begin"/>
      </w:r>
      <w:r>
        <w:rPr>
          <w:noProof/>
        </w:rPr>
        <w:instrText xml:space="preserve"> PAGEREF _Toc170734142 \h </w:instrText>
      </w:r>
      <w:r>
        <w:rPr>
          <w:noProof/>
        </w:rPr>
      </w:r>
      <w:r>
        <w:rPr>
          <w:noProof/>
        </w:rPr>
        <w:fldChar w:fldCharType="separate"/>
      </w:r>
      <w:r>
        <w:rPr>
          <w:noProof/>
        </w:rPr>
        <w:t>24</w:t>
      </w:r>
      <w:r>
        <w:rPr>
          <w:noProof/>
        </w:rPr>
        <w:fldChar w:fldCharType="end"/>
      </w:r>
    </w:p>
    <w:p w14:paraId="15CC0EA9" w14:textId="3683DF60" w:rsidR="00873A7D" w:rsidRDefault="00873A7D">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_Toc170734143 \h </w:instrText>
      </w:r>
      <w:r>
        <w:rPr>
          <w:noProof/>
        </w:rPr>
      </w:r>
      <w:r>
        <w:rPr>
          <w:noProof/>
        </w:rPr>
        <w:fldChar w:fldCharType="separate"/>
      </w:r>
      <w:r>
        <w:rPr>
          <w:noProof/>
        </w:rPr>
        <w:t>24</w:t>
      </w:r>
      <w:r>
        <w:rPr>
          <w:noProof/>
        </w:rPr>
        <w:fldChar w:fldCharType="end"/>
      </w:r>
    </w:p>
    <w:p w14:paraId="505B2569" w14:textId="666CE0C2" w:rsidR="00873A7D" w:rsidRDefault="00873A7D">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_Toc170734144 \h </w:instrText>
      </w:r>
      <w:r>
        <w:rPr>
          <w:noProof/>
        </w:rPr>
      </w:r>
      <w:r>
        <w:rPr>
          <w:noProof/>
        </w:rPr>
        <w:fldChar w:fldCharType="separate"/>
      </w:r>
      <w:r>
        <w:rPr>
          <w:noProof/>
        </w:rPr>
        <w:t>24</w:t>
      </w:r>
      <w:r>
        <w:rPr>
          <w:noProof/>
        </w:rPr>
        <w:fldChar w:fldCharType="end"/>
      </w:r>
    </w:p>
    <w:p w14:paraId="53B719F1" w14:textId="3D4EBB09" w:rsidR="00873A7D" w:rsidRDefault="00873A7D">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Management of Debt and Underspend</w:t>
      </w:r>
      <w:r>
        <w:rPr>
          <w:noProof/>
        </w:rPr>
        <w:tab/>
      </w:r>
      <w:r>
        <w:rPr>
          <w:noProof/>
        </w:rPr>
        <w:fldChar w:fldCharType="begin"/>
      </w:r>
      <w:r>
        <w:rPr>
          <w:noProof/>
        </w:rPr>
        <w:instrText xml:space="preserve"> PAGEREF _Toc170734145 \h </w:instrText>
      </w:r>
      <w:r>
        <w:rPr>
          <w:noProof/>
        </w:rPr>
      </w:r>
      <w:r>
        <w:rPr>
          <w:noProof/>
        </w:rPr>
        <w:fldChar w:fldCharType="separate"/>
      </w:r>
      <w:r>
        <w:rPr>
          <w:noProof/>
        </w:rPr>
        <w:t>25</w:t>
      </w:r>
      <w:r>
        <w:rPr>
          <w:noProof/>
        </w:rPr>
        <w:fldChar w:fldCharType="end"/>
      </w:r>
    </w:p>
    <w:p w14:paraId="326B0280" w14:textId="0B04DF12" w:rsidR="00873A7D" w:rsidRDefault="00873A7D">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Negotiation of funded activities</w:t>
      </w:r>
      <w:r>
        <w:rPr>
          <w:noProof/>
        </w:rPr>
        <w:tab/>
      </w:r>
      <w:r>
        <w:rPr>
          <w:noProof/>
        </w:rPr>
        <w:fldChar w:fldCharType="begin"/>
      </w:r>
      <w:r>
        <w:rPr>
          <w:noProof/>
        </w:rPr>
        <w:instrText xml:space="preserve"> PAGEREF _Toc170734146 \h </w:instrText>
      </w:r>
      <w:r>
        <w:rPr>
          <w:noProof/>
        </w:rPr>
      </w:r>
      <w:r>
        <w:rPr>
          <w:noProof/>
        </w:rPr>
        <w:fldChar w:fldCharType="separate"/>
      </w:r>
      <w:r>
        <w:rPr>
          <w:noProof/>
        </w:rPr>
        <w:t>25</w:t>
      </w:r>
      <w:r>
        <w:rPr>
          <w:noProof/>
        </w:rPr>
        <w:fldChar w:fldCharType="end"/>
      </w:r>
    </w:p>
    <w:p w14:paraId="4E4BBB12" w14:textId="7BFF66FD" w:rsidR="00873A7D" w:rsidRDefault="00873A7D">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Execution of the grant agreement</w:t>
      </w:r>
      <w:r>
        <w:rPr>
          <w:noProof/>
        </w:rPr>
        <w:tab/>
      </w:r>
      <w:r>
        <w:rPr>
          <w:noProof/>
        </w:rPr>
        <w:fldChar w:fldCharType="begin"/>
      </w:r>
      <w:r>
        <w:rPr>
          <w:noProof/>
        </w:rPr>
        <w:instrText xml:space="preserve"> PAGEREF _Toc170734147 \h </w:instrText>
      </w:r>
      <w:r>
        <w:rPr>
          <w:noProof/>
        </w:rPr>
      </w:r>
      <w:r>
        <w:rPr>
          <w:noProof/>
        </w:rPr>
        <w:fldChar w:fldCharType="separate"/>
      </w:r>
      <w:r>
        <w:rPr>
          <w:noProof/>
        </w:rPr>
        <w:t>25</w:t>
      </w:r>
      <w:r>
        <w:rPr>
          <w:noProof/>
        </w:rPr>
        <w:fldChar w:fldCharType="end"/>
      </w:r>
    </w:p>
    <w:p w14:paraId="4A5481D2" w14:textId="4702112F" w:rsidR="00873A7D" w:rsidRDefault="00873A7D">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_Toc170734148 \h </w:instrText>
      </w:r>
      <w:r>
        <w:rPr>
          <w:noProof/>
        </w:rPr>
      </w:r>
      <w:r>
        <w:rPr>
          <w:noProof/>
        </w:rPr>
        <w:fldChar w:fldCharType="separate"/>
      </w:r>
      <w:r>
        <w:rPr>
          <w:noProof/>
        </w:rPr>
        <w:t>25</w:t>
      </w:r>
      <w:r>
        <w:rPr>
          <w:noProof/>
        </w:rPr>
        <w:fldChar w:fldCharType="end"/>
      </w:r>
    </w:p>
    <w:p w14:paraId="27053ECA" w14:textId="32998290" w:rsidR="00873A7D" w:rsidRDefault="00873A7D">
      <w:pPr>
        <w:pStyle w:val="TOC3"/>
        <w:tabs>
          <w:tab w:val="left" w:pos="1077"/>
        </w:tabs>
        <w:rPr>
          <w:rFonts w:asciiTheme="minorHAnsi" w:eastAsiaTheme="minorEastAsia" w:hAnsiTheme="minorHAnsi" w:cstheme="minorBidi"/>
          <w:noProof/>
          <w:sz w:val="22"/>
          <w:lang w:val="en-AU" w:eastAsia="en-AU"/>
        </w:rPr>
      </w:pPr>
      <w:r>
        <w:rPr>
          <w:noProof/>
        </w:rPr>
        <w:t>10.6</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_Toc170734149 \h </w:instrText>
      </w:r>
      <w:r>
        <w:rPr>
          <w:noProof/>
        </w:rPr>
      </w:r>
      <w:r>
        <w:rPr>
          <w:noProof/>
        </w:rPr>
        <w:fldChar w:fldCharType="separate"/>
      </w:r>
      <w:r>
        <w:rPr>
          <w:noProof/>
        </w:rPr>
        <w:t>26</w:t>
      </w:r>
      <w:r>
        <w:rPr>
          <w:noProof/>
        </w:rPr>
        <w:fldChar w:fldCharType="end"/>
      </w:r>
    </w:p>
    <w:p w14:paraId="0F469BA2" w14:textId="1A0F804A" w:rsidR="00873A7D" w:rsidRDefault="00873A7D">
      <w:pPr>
        <w:pStyle w:val="TOC3"/>
        <w:tabs>
          <w:tab w:val="left" w:pos="1077"/>
        </w:tabs>
        <w:rPr>
          <w:rFonts w:asciiTheme="minorHAnsi" w:eastAsiaTheme="minorEastAsia" w:hAnsiTheme="minorHAnsi" w:cstheme="minorBidi"/>
          <w:noProof/>
          <w:sz w:val="22"/>
          <w:lang w:val="en-AU" w:eastAsia="en-AU"/>
        </w:rPr>
      </w:pPr>
      <w:r>
        <w:rPr>
          <w:noProof/>
        </w:rPr>
        <w:t>10.7</w:t>
      </w:r>
      <w:r>
        <w:rPr>
          <w:rFonts w:asciiTheme="minorHAnsi" w:eastAsiaTheme="minorEastAsia" w:hAnsiTheme="minorHAnsi" w:cstheme="minorBidi"/>
          <w:noProof/>
          <w:sz w:val="22"/>
          <w:lang w:val="en-AU" w:eastAsia="en-AU"/>
        </w:rPr>
        <w:tab/>
      </w:r>
      <w:r>
        <w:rPr>
          <w:noProof/>
        </w:rPr>
        <w:t>Grants Payments and GST</w:t>
      </w:r>
      <w:r>
        <w:rPr>
          <w:noProof/>
        </w:rPr>
        <w:tab/>
      </w:r>
      <w:r>
        <w:rPr>
          <w:noProof/>
        </w:rPr>
        <w:fldChar w:fldCharType="begin"/>
      </w:r>
      <w:r>
        <w:rPr>
          <w:noProof/>
        </w:rPr>
        <w:instrText xml:space="preserve"> PAGEREF _Toc170734150 \h </w:instrText>
      </w:r>
      <w:r>
        <w:rPr>
          <w:noProof/>
        </w:rPr>
      </w:r>
      <w:r>
        <w:rPr>
          <w:noProof/>
        </w:rPr>
        <w:fldChar w:fldCharType="separate"/>
      </w:r>
      <w:r>
        <w:rPr>
          <w:noProof/>
        </w:rPr>
        <w:t>26</w:t>
      </w:r>
      <w:r>
        <w:rPr>
          <w:noProof/>
        </w:rPr>
        <w:fldChar w:fldCharType="end"/>
      </w:r>
    </w:p>
    <w:p w14:paraId="22CD5DEF" w14:textId="0EF2F70C" w:rsidR="00873A7D" w:rsidRDefault="00873A7D">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_Toc170734151 \h </w:instrText>
      </w:r>
      <w:r>
        <w:rPr>
          <w:noProof/>
        </w:rPr>
      </w:r>
      <w:r>
        <w:rPr>
          <w:noProof/>
        </w:rPr>
        <w:fldChar w:fldCharType="separate"/>
      </w:r>
      <w:r>
        <w:rPr>
          <w:noProof/>
        </w:rPr>
        <w:t>26</w:t>
      </w:r>
      <w:r>
        <w:rPr>
          <w:noProof/>
        </w:rPr>
        <w:fldChar w:fldCharType="end"/>
      </w:r>
    </w:p>
    <w:p w14:paraId="3B9969A0" w14:textId="46A7F38B" w:rsidR="00873A7D" w:rsidRDefault="00873A7D">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_Toc170734152 \h </w:instrText>
      </w:r>
      <w:r>
        <w:rPr>
          <w:noProof/>
        </w:rPr>
      </w:r>
      <w:r>
        <w:rPr>
          <w:noProof/>
        </w:rPr>
        <w:fldChar w:fldCharType="separate"/>
      </w:r>
      <w:r>
        <w:rPr>
          <w:noProof/>
        </w:rPr>
        <w:t>26</w:t>
      </w:r>
      <w:r>
        <w:rPr>
          <w:noProof/>
        </w:rPr>
        <w:fldChar w:fldCharType="end"/>
      </w:r>
    </w:p>
    <w:p w14:paraId="0775E3C3" w14:textId="65C8AB57" w:rsidR="00873A7D" w:rsidRDefault="00873A7D">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_Toc170734153 \h </w:instrText>
      </w:r>
      <w:r>
        <w:rPr>
          <w:noProof/>
        </w:rPr>
      </w:r>
      <w:r>
        <w:rPr>
          <w:noProof/>
        </w:rPr>
        <w:fldChar w:fldCharType="separate"/>
      </w:r>
      <w:r>
        <w:rPr>
          <w:noProof/>
        </w:rPr>
        <w:t>27</w:t>
      </w:r>
      <w:r>
        <w:rPr>
          <w:noProof/>
        </w:rPr>
        <w:fldChar w:fldCharType="end"/>
      </w:r>
    </w:p>
    <w:p w14:paraId="50AF7200" w14:textId="5EBDBD0A" w:rsidR="00873A7D" w:rsidRDefault="00873A7D">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_Toc170734154 \h </w:instrText>
      </w:r>
      <w:r>
        <w:rPr>
          <w:noProof/>
        </w:rPr>
      </w:r>
      <w:r>
        <w:rPr>
          <w:noProof/>
        </w:rPr>
        <w:fldChar w:fldCharType="separate"/>
      </w:r>
      <w:r>
        <w:rPr>
          <w:noProof/>
        </w:rPr>
        <w:t>27</w:t>
      </w:r>
      <w:r>
        <w:rPr>
          <w:noProof/>
        </w:rPr>
        <w:fldChar w:fldCharType="end"/>
      </w:r>
    </w:p>
    <w:p w14:paraId="75B552BF" w14:textId="24E3EED1" w:rsidR="00873A7D" w:rsidRDefault="00873A7D">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Audited financial acquittal report</w:t>
      </w:r>
      <w:r>
        <w:rPr>
          <w:noProof/>
        </w:rPr>
        <w:tab/>
      </w:r>
      <w:r>
        <w:rPr>
          <w:noProof/>
        </w:rPr>
        <w:fldChar w:fldCharType="begin"/>
      </w:r>
      <w:r>
        <w:rPr>
          <w:noProof/>
        </w:rPr>
        <w:instrText xml:space="preserve"> PAGEREF _Toc170734155 \h </w:instrText>
      </w:r>
      <w:r>
        <w:rPr>
          <w:noProof/>
        </w:rPr>
      </w:r>
      <w:r>
        <w:rPr>
          <w:noProof/>
        </w:rPr>
        <w:fldChar w:fldCharType="separate"/>
      </w:r>
      <w:r>
        <w:rPr>
          <w:noProof/>
        </w:rPr>
        <w:t>28</w:t>
      </w:r>
      <w:r>
        <w:rPr>
          <w:noProof/>
        </w:rPr>
        <w:fldChar w:fldCharType="end"/>
      </w:r>
    </w:p>
    <w:p w14:paraId="4834670B" w14:textId="694DB264" w:rsidR="00873A7D" w:rsidRDefault="00873A7D">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_Toc170734156 \h </w:instrText>
      </w:r>
      <w:r>
        <w:rPr>
          <w:noProof/>
        </w:rPr>
      </w:r>
      <w:r>
        <w:rPr>
          <w:noProof/>
        </w:rPr>
        <w:fldChar w:fldCharType="separate"/>
      </w:r>
      <w:r>
        <w:rPr>
          <w:noProof/>
        </w:rPr>
        <w:t>28</w:t>
      </w:r>
      <w:r>
        <w:rPr>
          <w:noProof/>
        </w:rPr>
        <w:fldChar w:fldCharType="end"/>
      </w:r>
    </w:p>
    <w:p w14:paraId="1D61DC00" w14:textId="2C6D19CD" w:rsidR="00873A7D" w:rsidRDefault="00873A7D">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_Toc170734157 \h </w:instrText>
      </w:r>
      <w:r>
        <w:rPr>
          <w:noProof/>
        </w:rPr>
      </w:r>
      <w:r>
        <w:rPr>
          <w:noProof/>
        </w:rPr>
        <w:fldChar w:fldCharType="separate"/>
      </w:r>
      <w:r>
        <w:rPr>
          <w:noProof/>
        </w:rPr>
        <w:t>29</w:t>
      </w:r>
      <w:r>
        <w:rPr>
          <w:noProof/>
        </w:rPr>
        <w:fldChar w:fldCharType="end"/>
      </w:r>
    </w:p>
    <w:p w14:paraId="4E41BF05" w14:textId="5C349475" w:rsidR="00873A7D" w:rsidRDefault="00873A7D">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_Toc170734158 \h </w:instrText>
      </w:r>
      <w:r>
        <w:rPr>
          <w:noProof/>
        </w:rPr>
      </w:r>
      <w:r>
        <w:rPr>
          <w:noProof/>
        </w:rPr>
        <w:fldChar w:fldCharType="separate"/>
      </w:r>
      <w:r>
        <w:rPr>
          <w:noProof/>
        </w:rPr>
        <w:t>29</w:t>
      </w:r>
      <w:r>
        <w:rPr>
          <w:noProof/>
        </w:rPr>
        <w:fldChar w:fldCharType="end"/>
      </w:r>
    </w:p>
    <w:p w14:paraId="4B4A068C" w14:textId="61EE3AB4" w:rsidR="00873A7D" w:rsidRDefault="00873A7D">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Monitoring, evaluation and learning</w:t>
      </w:r>
      <w:r>
        <w:rPr>
          <w:noProof/>
        </w:rPr>
        <w:tab/>
      </w:r>
      <w:r>
        <w:rPr>
          <w:noProof/>
        </w:rPr>
        <w:fldChar w:fldCharType="begin"/>
      </w:r>
      <w:r>
        <w:rPr>
          <w:noProof/>
        </w:rPr>
        <w:instrText xml:space="preserve"> PAGEREF _Toc170734159 \h </w:instrText>
      </w:r>
      <w:r>
        <w:rPr>
          <w:noProof/>
        </w:rPr>
      </w:r>
      <w:r>
        <w:rPr>
          <w:noProof/>
        </w:rPr>
        <w:fldChar w:fldCharType="separate"/>
      </w:r>
      <w:r>
        <w:rPr>
          <w:noProof/>
        </w:rPr>
        <w:t>29</w:t>
      </w:r>
      <w:r>
        <w:rPr>
          <w:noProof/>
        </w:rPr>
        <w:fldChar w:fldCharType="end"/>
      </w:r>
    </w:p>
    <w:p w14:paraId="71E9F9A1" w14:textId="370CFFD6" w:rsidR="00873A7D" w:rsidRDefault="00873A7D">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_Toc170734160 \h </w:instrText>
      </w:r>
      <w:r>
        <w:rPr>
          <w:noProof/>
        </w:rPr>
      </w:r>
      <w:r>
        <w:rPr>
          <w:noProof/>
        </w:rPr>
        <w:fldChar w:fldCharType="separate"/>
      </w:r>
      <w:r>
        <w:rPr>
          <w:noProof/>
        </w:rPr>
        <w:t>29</w:t>
      </w:r>
      <w:r>
        <w:rPr>
          <w:noProof/>
        </w:rPr>
        <w:fldChar w:fldCharType="end"/>
      </w:r>
    </w:p>
    <w:p w14:paraId="381A8E59" w14:textId="4CEC00D6" w:rsidR="00873A7D" w:rsidRDefault="00873A7D">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_Toc170734161 \h </w:instrText>
      </w:r>
      <w:r>
        <w:rPr>
          <w:noProof/>
        </w:rPr>
      </w:r>
      <w:r>
        <w:rPr>
          <w:noProof/>
        </w:rPr>
        <w:fldChar w:fldCharType="separate"/>
      </w:r>
      <w:r>
        <w:rPr>
          <w:noProof/>
        </w:rPr>
        <w:t>29</w:t>
      </w:r>
      <w:r>
        <w:rPr>
          <w:noProof/>
        </w:rPr>
        <w:fldChar w:fldCharType="end"/>
      </w:r>
    </w:p>
    <w:p w14:paraId="6DD3C5B8" w14:textId="7D9F20A7" w:rsidR="00873A7D" w:rsidRDefault="00873A7D">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_Toc170734162 \h </w:instrText>
      </w:r>
      <w:r>
        <w:rPr>
          <w:noProof/>
        </w:rPr>
      </w:r>
      <w:r>
        <w:rPr>
          <w:noProof/>
        </w:rPr>
        <w:fldChar w:fldCharType="separate"/>
      </w:r>
      <w:r>
        <w:rPr>
          <w:noProof/>
        </w:rPr>
        <w:t>30</w:t>
      </w:r>
      <w:r>
        <w:rPr>
          <w:noProof/>
        </w:rPr>
        <w:fldChar w:fldCharType="end"/>
      </w:r>
    </w:p>
    <w:p w14:paraId="7055186E" w14:textId="238BC5C4" w:rsidR="00873A7D" w:rsidRDefault="00873A7D">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_Toc170734163 \h </w:instrText>
      </w:r>
      <w:r>
        <w:rPr>
          <w:noProof/>
        </w:rPr>
      </w:r>
      <w:r>
        <w:rPr>
          <w:noProof/>
        </w:rPr>
        <w:fldChar w:fldCharType="separate"/>
      </w:r>
      <w:r>
        <w:rPr>
          <w:noProof/>
        </w:rPr>
        <w:t>30</w:t>
      </w:r>
      <w:r>
        <w:rPr>
          <w:noProof/>
        </w:rPr>
        <w:fldChar w:fldCharType="end"/>
      </w:r>
    </w:p>
    <w:p w14:paraId="0B972615" w14:textId="71457627" w:rsidR="00873A7D" w:rsidRDefault="00873A7D">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_Toc170734164 \h </w:instrText>
      </w:r>
      <w:r>
        <w:rPr>
          <w:noProof/>
        </w:rPr>
      </w:r>
      <w:r>
        <w:rPr>
          <w:noProof/>
        </w:rPr>
        <w:fldChar w:fldCharType="separate"/>
      </w:r>
      <w:r>
        <w:rPr>
          <w:noProof/>
        </w:rPr>
        <w:t>30</w:t>
      </w:r>
      <w:r>
        <w:rPr>
          <w:noProof/>
        </w:rPr>
        <w:fldChar w:fldCharType="end"/>
      </w:r>
    </w:p>
    <w:p w14:paraId="409C9951" w14:textId="4553A16E" w:rsidR="00873A7D" w:rsidRDefault="00873A7D">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_Toc170734165 \h </w:instrText>
      </w:r>
      <w:r>
        <w:rPr>
          <w:noProof/>
        </w:rPr>
      </w:r>
      <w:r>
        <w:rPr>
          <w:noProof/>
        </w:rPr>
        <w:fldChar w:fldCharType="separate"/>
      </w:r>
      <w:r>
        <w:rPr>
          <w:noProof/>
        </w:rPr>
        <w:t>31</w:t>
      </w:r>
      <w:r>
        <w:rPr>
          <w:noProof/>
        </w:rPr>
        <w:fldChar w:fldCharType="end"/>
      </w:r>
    </w:p>
    <w:p w14:paraId="52B2A047" w14:textId="4045FDC5" w:rsidR="00873A7D" w:rsidRDefault="00873A7D">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_Toc170734166 \h </w:instrText>
      </w:r>
      <w:r>
        <w:rPr>
          <w:noProof/>
        </w:rPr>
      </w:r>
      <w:r>
        <w:rPr>
          <w:noProof/>
        </w:rPr>
        <w:fldChar w:fldCharType="separate"/>
      </w:r>
      <w:r>
        <w:rPr>
          <w:noProof/>
        </w:rPr>
        <w:t>32</w:t>
      </w:r>
      <w:r>
        <w:rPr>
          <w:noProof/>
        </w:rPr>
        <w:fldChar w:fldCharType="end"/>
      </w:r>
    </w:p>
    <w:p w14:paraId="29BB9431" w14:textId="2906FA2C" w:rsidR="00873A7D" w:rsidRDefault="00873A7D">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Consultation</w:t>
      </w:r>
      <w:r>
        <w:rPr>
          <w:noProof/>
        </w:rPr>
        <w:tab/>
      </w:r>
      <w:r>
        <w:rPr>
          <w:noProof/>
        </w:rPr>
        <w:fldChar w:fldCharType="begin"/>
      </w:r>
      <w:r>
        <w:rPr>
          <w:noProof/>
        </w:rPr>
        <w:instrText xml:space="preserve"> PAGEREF _Toc170734167 \h </w:instrText>
      </w:r>
      <w:r>
        <w:rPr>
          <w:noProof/>
        </w:rPr>
      </w:r>
      <w:r>
        <w:rPr>
          <w:noProof/>
        </w:rPr>
        <w:fldChar w:fldCharType="separate"/>
      </w:r>
      <w:r>
        <w:rPr>
          <w:noProof/>
        </w:rPr>
        <w:t>32</w:t>
      </w:r>
      <w:r>
        <w:rPr>
          <w:noProof/>
        </w:rPr>
        <w:fldChar w:fldCharType="end"/>
      </w:r>
    </w:p>
    <w:p w14:paraId="1C30F1D2" w14:textId="39BE71B1" w:rsidR="00873A7D" w:rsidRDefault="00873A7D">
      <w:pPr>
        <w:pStyle w:val="TOC2"/>
        <w:rPr>
          <w:rFonts w:asciiTheme="minorHAnsi" w:eastAsiaTheme="minorEastAsia" w:hAnsiTheme="minorHAnsi" w:cstheme="minorBidi"/>
          <w:b w:val="0"/>
          <w:noProof/>
          <w:sz w:val="22"/>
          <w:lang w:val="en-AU" w:eastAsia="en-AU"/>
        </w:rPr>
      </w:pPr>
      <w:r>
        <w:rPr>
          <w:noProof/>
        </w:rPr>
        <w:t>Glossary</w:t>
      </w:r>
      <w:r>
        <w:rPr>
          <w:noProof/>
        </w:rPr>
        <w:tab/>
      </w:r>
      <w:r>
        <w:rPr>
          <w:noProof/>
        </w:rPr>
        <w:fldChar w:fldCharType="begin"/>
      </w:r>
      <w:r>
        <w:rPr>
          <w:noProof/>
        </w:rPr>
        <w:instrText xml:space="preserve"> PAGEREF _Toc170734168 \h </w:instrText>
      </w:r>
      <w:r>
        <w:rPr>
          <w:noProof/>
        </w:rPr>
      </w:r>
      <w:r>
        <w:rPr>
          <w:noProof/>
        </w:rPr>
        <w:fldChar w:fldCharType="separate"/>
      </w:r>
      <w:r>
        <w:rPr>
          <w:noProof/>
        </w:rPr>
        <w:t>33</w:t>
      </w:r>
      <w:r>
        <w:rPr>
          <w:noProof/>
        </w:rPr>
        <w:fldChar w:fldCharType="end"/>
      </w:r>
    </w:p>
    <w:p w14:paraId="1CB9CCD9" w14:textId="294B96DD" w:rsidR="00873A7D" w:rsidRDefault="00873A7D">
      <w:pPr>
        <w:pStyle w:val="TOC2"/>
        <w:rPr>
          <w:rFonts w:asciiTheme="minorHAnsi" w:eastAsiaTheme="minorEastAsia" w:hAnsiTheme="minorHAnsi" w:cstheme="minorBidi"/>
          <w:b w:val="0"/>
          <w:noProof/>
          <w:sz w:val="22"/>
          <w:lang w:val="en-AU" w:eastAsia="en-AU"/>
        </w:rPr>
      </w:pPr>
      <w:r>
        <w:rPr>
          <w:noProof/>
        </w:rPr>
        <w:t>Appendix A. Indigenous Advancement Strategy (IAS) Program Information</w:t>
      </w:r>
      <w:r>
        <w:rPr>
          <w:noProof/>
        </w:rPr>
        <w:tab/>
      </w:r>
      <w:r>
        <w:rPr>
          <w:noProof/>
        </w:rPr>
        <w:fldChar w:fldCharType="begin"/>
      </w:r>
      <w:r>
        <w:rPr>
          <w:noProof/>
        </w:rPr>
        <w:instrText xml:space="preserve"> PAGEREF _Toc170734169 \h </w:instrText>
      </w:r>
      <w:r>
        <w:rPr>
          <w:noProof/>
        </w:rPr>
      </w:r>
      <w:r>
        <w:rPr>
          <w:noProof/>
        </w:rPr>
        <w:fldChar w:fldCharType="separate"/>
      </w:r>
      <w:r>
        <w:rPr>
          <w:noProof/>
        </w:rPr>
        <w:t>39</w:t>
      </w:r>
      <w:r>
        <w:rPr>
          <w:noProof/>
        </w:rPr>
        <w:fldChar w:fldCharType="end"/>
      </w:r>
    </w:p>
    <w:p w14:paraId="1EF46638" w14:textId="040BFEA0" w:rsidR="00873A7D" w:rsidRDefault="00873A7D">
      <w:pPr>
        <w:pStyle w:val="TOC2"/>
        <w:rPr>
          <w:rFonts w:asciiTheme="minorHAnsi" w:eastAsiaTheme="minorEastAsia" w:hAnsiTheme="minorHAnsi" w:cstheme="minorBidi"/>
          <w:b w:val="0"/>
          <w:noProof/>
          <w:sz w:val="22"/>
          <w:lang w:val="en-AU" w:eastAsia="en-AU"/>
        </w:rPr>
      </w:pPr>
      <w:r>
        <w:rPr>
          <w:noProof/>
        </w:rPr>
        <w:t>Program 1.1 Jobs, Land and Economy</w:t>
      </w:r>
      <w:r>
        <w:rPr>
          <w:noProof/>
        </w:rPr>
        <w:tab/>
      </w:r>
      <w:r>
        <w:rPr>
          <w:noProof/>
        </w:rPr>
        <w:fldChar w:fldCharType="begin"/>
      </w:r>
      <w:r>
        <w:rPr>
          <w:noProof/>
        </w:rPr>
        <w:instrText xml:space="preserve"> PAGEREF _Toc170734170 \h </w:instrText>
      </w:r>
      <w:r>
        <w:rPr>
          <w:noProof/>
        </w:rPr>
      </w:r>
      <w:r>
        <w:rPr>
          <w:noProof/>
        </w:rPr>
        <w:fldChar w:fldCharType="separate"/>
      </w:r>
      <w:r>
        <w:rPr>
          <w:noProof/>
        </w:rPr>
        <w:t>39</w:t>
      </w:r>
      <w:r>
        <w:rPr>
          <w:noProof/>
        </w:rPr>
        <w:fldChar w:fldCharType="end"/>
      </w:r>
    </w:p>
    <w:p w14:paraId="21022D77" w14:textId="13D3F4C5" w:rsidR="00873A7D" w:rsidRDefault="00873A7D">
      <w:pPr>
        <w:pStyle w:val="TOC3"/>
        <w:tabs>
          <w:tab w:val="left" w:pos="1077"/>
        </w:tabs>
        <w:rPr>
          <w:rFonts w:asciiTheme="minorHAnsi" w:eastAsiaTheme="minorEastAsia" w:hAnsiTheme="minorHAnsi" w:cstheme="minorBidi"/>
          <w:noProof/>
          <w:sz w:val="22"/>
          <w:lang w:val="en-AU" w:eastAsia="en-AU"/>
        </w:rPr>
      </w:pPr>
      <w:r>
        <w:rPr>
          <w:noProof/>
        </w:rPr>
        <w:t>14.1</w:t>
      </w:r>
      <w:r>
        <w:rPr>
          <w:rFonts w:asciiTheme="minorHAnsi" w:eastAsiaTheme="minorEastAsia" w:hAnsiTheme="minorHAnsi" w:cstheme="minorBidi"/>
          <w:noProof/>
          <w:sz w:val="22"/>
          <w:lang w:val="en-AU" w:eastAsia="en-AU"/>
        </w:rPr>
        <w:tab/>
      </w:r>
      <w:r>
        <w:rPr>
          <w:noProof/>
        </w:rPr>
        <w:t>Program objectives</w:t>
      </w:r>
      <w:r>
        <w:rPr>
          <w:noProof/>
        </w:rPr>
        <w:tab/>
      </w:r>
      <w:r>
        <w:rPr>
          <w:noProof/>
        </w:rPr>
        <w:fldChar w:fldCharType="begin"/>
      </w:r>
      <w:r>
        <w:rPr>
          <w:noProof/>
        </w:rPr>
        <w:instrText xml:space="preserve"> PAGEREF _Toc170734171 \h </w:instrText>
      </w:r>
      <w:r>
        <w:rPr>
          <w:noProof/>
        </w:rPr>
      </w:r>
      <w:r>
        <w:rPr>
          <w:noProof/>
        </w:rPr>
        <w:fldChar w:fldCharType="separate"/>
      </w:r>
      <w:r>
        <w:rPr>
          <w:noProof/>
        </w:rPr>
        <w:t>39</w:t>
      </w:r>
      <w:r>
        <w:rPr>
          <w:noProof/>
        </w:rPr>
        <w:fldChar w:fldCharType="end"/>
      </w:r>
    </w:p>
    <w:p w14:paraId="6B96EDC4" w14:textId="5D5E3032" w:rsidR="00873A7D" w:rsidRDefault="00873A7D">
      <w:pPr>
        <w:pStyle w:val="TOC3"/>
        <w:tabs>
          <w:tab w:val="left" w:pos="1077"/>
        </w:tabs>
        <w:rPr>
          <w:rFonts w:asciiTheme="minorHAnsi" w:eastAsiaTheme="minorEastAsia" w:hAnsiTheme="minorHAnsi" w:cstheme="minorBidi"/>
          <w:noProof/>
          <w:sz w:val="22"/>
          <w:lang w:val="en-AU" w:eastAsia="en-AU"/>
        </w:rPr>
      </w:pPr>
      <w:r>
        <w:rPr>
          <w:noProof/>
        </w:rPr>
        <w:t>14.2</w:t>
      </w:r>
      <w:r>
        <w:rPr>
          <w:rFonts w:asciiTheme="minorHAnsi" w:eastAsiaTheme="minorEastAsia" w:hAnsiTheme="minorHAnsi" w:cstheme="minorBidi"/>
          <w:noProof/>
          <w:sz w:val="22"/>
          <w:lang w:val="en-AU" w:eastAsia="en-AU"/>
        </w:rPr>
        <w:tab/>
      </w:r>
      <w:r>
        <w:rPr>
          <w:noProof/>
        </w:rPr>
        <w:t>Description</w:t>
      </w:r>
      <w:r>
        <w:rPr>
          <w:noProof/>
        </w:rPr>
        <w:tab/>
      </w:r>
      <w:r>
        <w:rPr>
          <w:noProof/>
        </w:rPr>
        <w:fldChar w:fldCharType="begin"/>
      </w:r>
      <w:r>
        <w:rPr>
          <w:noProof/>
        </w:rPr>
        <w:instrText xml:space="preserve"> PAGEREF _Toc170734172 \h </w:instrText>
      </w:r>
      <w:r>
        <w:rPr>
          <w:noProof/>
        </w:rPr>
      </w:r>
      <w:r>
        <w:rPr>
          <w:noProof/>
        </w:rPr>
        <w:fldChar w:fldCharType="separate"/>
      </w:r>
      <w:r>
        <w:rPr>
          <w:noProof/>
        </w:rPr>
        <w:t>39</w:t>
      </w:r>
      <w:r>
        <w:rPr>
          <w:noProof/>
        </w:rPr>
        <w:fldChar w:fldCharType="end"/>
      </w:r>
    </w:p>
    <w:p w14:paraId="182C799B" w14:textId="648ECF11" w:rsidR="00873A7D" w:rsidRDefault="00873A7D">
      <w:pPr>
        <w:pStyle w:val="TOC3"/>
        <w:tabs>
          <w:tab w:val="left" w:pos="1077"/>
        </w:tabs>
        <w:rPr>
          <w:rFonts w:asciiTheme="minorHAnsi" w:eastAsiaTheme="minorEastAsia" w:hAnsiTheme="minorHAnsi" w:cstheme="minorBidi"/>
          <w:noProof/>
          <w:sz w:val="22"/>
          <w:lang w:val="en-AU" w:eastAsia="en-AU"/>
        </w:rPr>
      </w:pPr>
      <w:r>
        <w:rPr>
          <w:noProof/>
        </w:rPr>
        <w:t>14.3</w:t>
      </w:r>
      <w:r>
        <w:rPr>
          <w:rFonts w:asciiTheme="minorHAnsi" w:eastAsiaTheme="minorEastAsia" w:hAnsiTheme="minorHAnsi" w:cstheme="minorBidi"/>
          <w:noProof/>
          <w:sz w:val="22"/>
          <w:lang w:val="en-AU" w:eastAsia="en-AU"/>
        </w:rPr>
        <w:tab/>
      </w:r>
      <w:r>
        <w:rPr>
          <w:noProof/>
        </w:rPr>
        <w:t>Program outcomes</w:t>
      </w:r>
      <w:r>
        <w:rPr>
          <w:noProof/>
        </w:rPr>
        <w:tab/>
      </w:r>
      <w:r>
        <w:rPr>
          <w:noProof/>
        </w:rPr>
        <w:fldChar w:fldCharType="begin"/>
      </w:r>
      <w:r>
        <w:rPr>
          <w:noProof/>
        </w:rPr>
        <w:instrText xml:space="preserve"> PAGEREF _Toc170734173 \h </w:instrText>
      </w:r>
      <w:r>
        <w:rPr>
          <w:noProof/>
        </w:rPr>
      </w:r>
      <w:r>
        <w:rPr>
          <w:noProof/>
        </w:rPr>
        <w:fldChar w:fldCharType="separate"/>
      </w:r>
      <w:r>
        <w:rPr>
          <w:noProof/>
        </w:rPr>
        <w:t>40</w:t>
      </w:r>
      <w:r>
        <w:rPr>
          <w:noProof/>
        </w:rPr>
        <w:fldChar w:fldCharType="end"/>
      </w:r>
    </w:p>
    <w:p w14:paraId="7D41FD75" w14:textId="147FC412" w:rsidR="00873A7D" w:rsidRDefault="00873A7D">
      <w:pPr>
        <w:pStyle w:val="TOC3"/>
        <w:tabs>
          <w:tab w:val="left" w:pos="1077"/>
        </w:tabs>
        <w:rPr>
          <w:rFonts w:asciiTheme="minorHAnsi" w:eastAsiaTheme="minorEastAsia" w:hAnsiTheme="minorHAnsi" w:cstheme="minorBidi"/>
          <w:noProof/>
          <w:sz w:val="22"/>
          <w:lang w:val="en-AU" w:eastAsia="en-AU"/>
        </w:rPr>
      </w:pPr>
      <w:r>
        <w:rPr>
          <w:noProof/>
        </w:rPr>
        <w:t>14.4</w:t>
      </w:r>
      <w:r>
        <w:rPr>
          <w:rFonts w:asciiTheme="minorHAnsi" w:eastAsiaTheme="minorEastAsia" w:hAnsiTheme="minorHAnsi" w:cstheme="minorBidi"/>
          <w:noProof/>
          <w:sz w:val="22"/>
          <w:lang w:val="en-AU" w:eastAsia="en-AU"/>
        </w:rPr>
        <w:tab/>
      </w:r>
      <w:r>
        <w:rPr>
          <w:noProof/>
        </w:rPr>
        <w:t>Activities that contribute to program outcomes</w:t>
      </w:r>
      <w:r>
        <w:rPr>
          <w:noProof/>
        </w:rPr>
        <w:tab/>
      </w:r>
      <w:r>
        <w:rPr>
          <w:noProof/>
        </w:rPr>
        <w:fldChar w:fldCharType="begin"/>
      </w:r>
      <w:r>
        <w:rPr>
          <w:noProof/>
        </w:rPr>
        <w:instrText xml:space="preserve"> PAGEREF _Toc170734174 \h </w:instrText>
      </w:r>
      <w:r>
        <w:rPr>
          <w:noProof/>
        </w:rPr>
      </w:r>
      <w:r>
        <w:rPr>
          <w:noProof/>
        </w:rPr>
        <w:fldChar w:fldCharType="separate"/>
      </w:r>
      <w:r>
        <w:rPr>
          <w:noProof/>
        </w:rPr>
        <w:t>40</w:t>
      </w:r>
      <w:r>
        <w:rPr>
          <w:noProof/>
        </w:rPr>
        <w:fldChar w:fldCharType="end"/>
      </w:r>
    </w:p>
    <w:p w14:paraId="67A55CA6" w14:textId="06E14093" w:rsidR="00873A7D" w:rsidRDefault="00873A7D">
      <w:pPr>
        <w:pStyle w:val="TOC4"/>
        <w:rPr>
          <w:rFonts w:asciiTheme="minorHAnsi" w:eastAsiaTheme="minorEastAsia" w:hAnsiTheme="minorHAnsi" w:cstheme="minorBidi"/>
          <w:sz w:val="22"/>
          <w:szCs w:val="22"/>
          <w:lang w:eastAsia="en-AU"/>
        </w:rPr>
      </w:pPr>
      <w:r>
        <w:t>1. Economic Development</w:t>
      </w:r>
      <w:r>
        <w:tab/>
      </w:r>
      <w:r>
        <w:fldChar w:fldCharType="begin"/>
      </w:r>
      <w:r>
        <w:instrText xml:space="preserve"> PAGEREF _Toc170734175 \h </w:instrText>
      </w:r>
      <w:r>
        <w:fldChar w:fldCharType="separate"/>
      </w:r>
      <w:r>
        <w:t>40</w:t>
      </w:r>
      <w:r>
        <w:fldChar w:fldCharType="end"/>
      </w:r>
    </w:p>
    <w:p w14:paraId="4DE042EA" w14:textId="343E143A" w:rsidR="00873A7D" w:rsidRDefault="00873A7D">
      <w:pPr>
        <w:pStyle w:val="TOC4"/>
        <w:rPr>
          <w:rFonts w:asciiTheme="minorHAnsi" w:eastAsiaTheme="minorEastAsia" w:hAnsiTheme="minorHAnsi" w:cstheme="minorBidi"/>
          <w:sz w:val="22"/>
          <w:szCs w:val="22"/>
          <w:lang w:eastAsia="en-AU"/>
        </w:rPr>
      </w:pPr>
      <w:r>
        <w:t>2. Employment</w:t>
      </w:r>
      <w:r>
        <w:tab/>
      </w:r>
      <w:r>
        <w:fldChar w:fldCharType="begin"/>
      </w:r>
      <w:r>
        <w:instrText xml:space="preserve"> PAGEREF _Toc170734176 \h </w:instrText>
      </w:r>
      <w:r>
        <w:fldChar w:fldCharType="separate"/>
      </w:r>
      <w:r>
        <w:t>40</w:t>
      </w:r>
      <w:r>
        <w:fldChar w:fldCharType="end"/>
      </w:r>
    </w:p>
    <w:p w14:paraId="2F73F974" w14:textId="12095033" w:rsidR="00873A7D" w:rsidRDefault="00873A7D">
      <w:pPr>
        <w:pStyle w:val="TOC4"/>
        <w:rPr>
          <w:rFonts w:asciiTheme="minorHAnsi" w:eastAsiaTheme="minorEastAsia" w:hAnsiTheme="minorHAnsi" w:cstheme="minorBidi"/>
          <w:sz w:val="22"/>
          <w:szCs w:val="22"/>
          <w:lang w:eastAsia="en-AU"/>
        </w:rPr>
      </w:pPr>
      <w:r>
        <w:t>3. Community Development Program</w:t>
      </w:r>
      <w:r>
        <w:tab/>
      </w:r>
      <w:r>
        <w:fldChar w:fldCharType="begin"/>
      </w:r>
      <w:r>
        <w:instrText xml:space="preserve"> PAGEREF _Toc170734177 \h </w:instrText>
      </w:r>
      <w:r>
        <w:fldChar w:fldCharType="separate"/>
      </w:r>
      <w:r>
        <w:t>41</w:t>
      </w:r>
      <w:r>
        <w:fldChar w:fldCharType="end"/>
      </w:r>
    </w:p>
    <w:p w14:paraId="0F35A6F1" w14:textId="19599C91" w:rsidR="00873A7D" w:rsidRDefault="00873A7D">
      <w:pPr>
        <w:pStyle w:val="TOC4"/>
        <w:rPr>
          <w:rFonts w:asciiTheme="minorHAnsi" w:eastAsiaTheme="minorEastAsia" w:hAnsiTheme="minorHAnsi" w:cstheme="minorBidi"/>
          <w:sz w:val="22"/>
          <w:szCs w:val="22"/>
          <w:lang w:eastAsia="en-AU"/>
        </w:rPr>
      </w:pPr>
      <w:r>
        <w:t>4. Recognition of Native Title and maximising economic and social benefit from the use of native title rights</w:t>
      </w:r>
      <w:r>
        <w:tab/>
      </w:r>
      <w:r>
        <w:fldChar w:fldCharType="begin"/>
      </w:r>
      <w:r>
        <w:instrText xml:space="preserve"> PAGEREF _Toc170734178 \h </w:instrText>
      </w:r>
      <w:r>
        <w:fldChar w:fldCharType="separate"/>
      </w:r>
      <w:r>
        <w:t>41</w:t>
      </w:r>
      <w:r>
        <w:fldChar w:fldCharType="end"/>
      </w:r>
    </w:p>
    <w:p w14:paraId="18523030" w14:textId="0FD6DCFC" w:rsidR="00873A7D" w:rsidRDefault="00873A7D">
      <w:pPr>
        <w:pStyle w:val="TOC2"/>
        <w:rPr>
          <w:rFonts w:asciiTheme="minorHAnsi" w:eastAsiaTheme="minorEastAsia" w:hAnsiTheme="minorHAnsi" w:cstheme="minorBidi"/>
          <w:b w:val="0"/>
          <w:noProof/>
          <w:sz w:val="22"/>
          <w:lang w:val="en-AU" w:eastAsia="en-AU"/>
        </w:rPr>
      </w:pPr>
      <w:r>
        <w:rPr>
          <w:noProof/>
        </w:rPr>
        <w:t>Appendix B: Incorporation requirements</w:t>
      </w:r>
      <w:r>
        <w:rPr>
          <w:noProof/>
        </w:rPr>
        <w:tab/>
      </w:r>
      <w:r>
        <w:rPr>
          <w:noProof/>
        </w:rPr>
        <w:fldChar w:fldCharType="begin"/>
      </w:r>
      <w:r>
        <w:rPr>
          <w:noProof/>
        </w:rPr>
        <w:instrText xml:space="preserve"> PAGEREF _Toc170734179 \h </w:instrText>
      </w:r>
      <w:r>
        <w:rPr>
          <w:noProof/>
        </w:rPr>
      </w:r>
      <w:r>
        <w:rPr>
          <w:noProof/>
        </w:rPr>
        <w:fldChar w:fldCharType="separate"/>
      </w:r>
      <w:r>
        <w:rPr>
          <w:noProof/>
        </w:rPr>
        <w:t>43</w:t>
      </w:r>
      <w:r>
        <w:rPr>
          <w:noProof/>
        </w:rPr>
        <w:fldChar w:fldCharType="end"/>
      </w:r>
    </w:p>
    <w:p w14:paraId="240F639A" w14:textId="79E38BF8" w:rsidR="00873A7D" w:rsidRDefault="00873A7D">
      <w:pPr>
        <w:pStyle w:val="TOC2"/>
        <w:rPr>
          <w:rFonts w:asciiTheme="minorHAnsi" w:eastAsiaTheme="minorEastAsia" w:hAnsiTheme="minorHAnsi" w:cstheme="minorBidi"/>
          <w:b w:val="0"/>
          <w:noProof/>
          <w:sz w:val="22"/>
          <w:lang w:val="en-AU" w:eastAsia="en-AU"/>
        </w:rPr>
      </w:pPr>
      <w:r>
        <w:rPr>
          <w:noProof/>
        </w:rPr>
        <w:t>Appendix C: Application checklist</w:t>
      </w:r>
      <w:r>
        <w:rPr>
          <w:noProof/>
        </w:rPr>
        <w:tab/>
      </w:r>
      <w:r>
        <w:rPr>
          <w:noProof/>
        </w:rPr>
        <w:fldChar w:fldCharType="begin"/>
      </w:r>
      <w:r>
        <w:rPr>
          <w:noProof/>
        </w:rPr>
        <w:instrText xml:space="preserve"> PAGEREF _Toc170734180 \h </w:instrText>
      </w:r>
      <w:r>
        <w:rPr>
          <w:noProof/>
        </w:rPr>
      </w:r>
      <w:r>
        <w:rPr>
          <w:noProof/>
        </w:rPr>
        <w:fldChar w:fldCharType="separate"/>
      </w:r>
      <w:r>
        <w:rPr>
          <w:noProof/>
        </w:rPr>
        <w:t>45</w:t>
      </w:r>
      <w:r>
        <w:rPr>
          <w:noProof/>
        </w:rPr>
        <w:fldChar w:fldCharType="end"/>
      </w:r>
    </w:p>
    <w:p w14:paraId="7D6CCD54" w14:textId="2125375D" w:rsidR="00873A7D" w:rsidRDefault="00873A7D">
      <w:pPr>
        <w:pStyle w:val="TOC2"/>
        <w:rPr>
          <w:rFonts w:asciiTheme="minorHAnsi" w:eastAsiaTheme="minorEastAsia" w:hAnsiTheme="minorHAnsi" w:cstheme="minorBidi"/>
          <w:b w:val="0"/>
          <w:noProof/>
          <w:sz w:val="22"/>
          <w:lang w:val="en-AU" w:eastAsia="en-AU"/>
        </w:rPr>
      </w:pPr>
      <w:r>
        <w:rPr>
          <w:noProof/>
        </w:rPr>
        <w:t>Before applying</w:t>
      </w:r>
      <w:r>
        <w:rPr>
          <w:noProof/>
        </w:rPr>
        <w:tab/>
      </w:r>
      <w:r>
        <w:rPr>
          <w:noProof/>
        </w:rPr>
        <w:fldChar w:fldCharType="begin"/>
      </w:r>
      <w:r>
        <w:rPr>
          <w:noProof/>
        </w:rPr>
        <w:instrText xml:space="preserve"> PAGEREF _Toc170734181 \h </w:instrText>
      </w:r>
      <w:r>
        <w:rPr>
          <w:noProof/>
        </w:rPr>
      </w:r>
      <w:r>
        <w:rPr>
          <w:noProof/>
        </w:rPr>
        <w:fldChar w:fldCharType="separate"/>
      </w:r>
      <w:r>
        <w:rPr>
          <w:noProof/>
        </w:rPr>
        <w:t>45</w:t>
      </w:r>
      <w:r>
        <w:rPr>
          <w:noProof/>
        </w:rPr>
        <w:fldChar w:fldCharType="end"/>
      </w:r>
    </w:p>
    <w:p w14:paraId="520E0D2B" w14:textId="206F7298" w:rsidR="00873A7D" w:rsidRDefault="00873A7D">
      <w:pPr>
        <w:pStyle w:val="TOC2"/>
        <w:rPr>
          <w:rFonts w:asciiTheme="minorHAnsi" w:eastAsiaTheme="minorEastAsia" w:hAnsiTheme="minorHAnsi" w:cstheme="minorBidi"/>
          <w:b w:val="0"/>
          <w:noProof/>
          <w:sz w:val="22"/>
          <w:lang w:val="en-AU" w:eastAsia="en-AU"/>
        </w:rPr>
      </w:pPr>
      <w:r>
        <w:rPr>
          <w:noProof/>
        </w:rPr>
        <w:t>Filling in the application form</w:t>
      </w:r>
      <w:r>
        <w:rPr>
          <w:noProof/>
        </w:rPr>
        <w:tab/>
      </w:r>
      <w:r>
        <w:rPr>
          <w:noProof/>
        </w:rPr>
        <w:fldChar w:fldCharType="begin"/>
      </w:r>
      <w:r>
        <w:rPr>
          <w:noProof/>
        </w:rPr>
        <w:instrText xml:space="preserve"> PAGEREF _Toc170734182 \h </w:instrText>
      </w:r>
      <w:r>
        <w:rPr>
          <w:noProof/>
        </w:rPr>
      </w:r>
      <w:r>
        <w:rPr>
          <w:noProof/>
        </w:rPr>
        <w:fldChar w:fldCharType="separate"/>
      </w:r>
      <w:r>
        <w:rPr>
          <w:noProof/>
        </w:rPr>
        <w:t>45</w:t>
      </w:r>
      <w:r>
        <w:rPr>
          <w:noProof/>
        </w:rPr>
        <w:fldChar w:fldCharType="end"/>
      </w:r>
    </w:p>
    <w:p w14:paraId="001C1BFE" w14:textId="59039018" w:rsidR="00873A7D" w:rsidRDefault="00873A7D">
      <w:pPr>
        <w:pStyle w:val="TOC2"/>
        <w:rPr>
          <w:rFonts w:asciiTheme="minorHAnsi" w:eastAsiaTheme="minorEastAsia" w:hAnsiTheme="minorHAnsi" w:cstheme="minorBidi"/>
          <w:b w:val="0"/>
          <w:noProof/>
          <w:sz w:val="22"/>
          <w:lang w:val="en-AU" w:eastAsia="en-AU"/>
        </w:rPr>
      </w:pPr>
      <w:r>
        <w:rPr>
          <w:noProof/>
        </w:rPr>
        <w:t>Attachments to the application form</w:t>
      </w:r>
      <w:r>
        <w:rPr>
          <w:noProof/>
        </w:rPr>
        <w:tab/>
      </w:r>
      <w:r>
        <w:rPr>
          <w:noProof/>
        </w:rPr>
        <w:fldChar w:fldCharType="begin"/>
      </w:r>
      <w:r>
        <w:rPr>
          <w:noProof/>
        </w:rPr>
        <w:instrText xml:space="preserve"> PAGEREF _Toc170734183 \h </w:instrText>
      </w:r>
      <w:r>
        <w:rPr>
          <w:noProof/>
        </w:rPr>
      </w:r>
      <w:r>
        <w:rPr>
          <w:noProof/>
        </w:rPr>
        <w:fldChar w:fldCharType="separate"/>
      </w:r>
      <w:r>
        <w:rPr>
          <w:noProof/>
        </w:rPr>
        <w:t>45</w:t>
      </w:r>
      <w:r>
        <w:rPr>
          <w:noProof/>
        </w:rPr>
        <w:fldChar w:fldCharType="end"/>
      </w:r>
    </w:p>
    <w:p w14:paraId="516A8BEE" w14:textId="359AE366" w:rsidR="00873A7D" w:rsidRDefault="00873A7D">
      <w:pPr>
        <w:pStyle w:val="TOC2"/>
        <w:rPr>
          <w:rFonts w:asciiTheme="minorHAnsi" w:eastAsiaTheme="minorEastAsia" w:hAnsiTheme="minorHAnsi" w:cstheme="minorBidi"/>
          <w:b w:val="0"/>
          <w:noProof/>
          <w:sz w:val="22"/>
          <w:lang w:val="en-AU" w:eastAsia="en-AU"/>
        </w:rPr>
      </w:pPr>
      <w:r>
        <w:rPr>
          <w:noProof/>
        </w:rPr>
        <w:t>Applicants who do not have an existing grant agreement with the NIAA – Additional requirements (this does not apply to government applicants)</w:t>
      </w:r>
      <w:r>
        <w:rPr>
          <w:noProof/>
        </w:rPr>
        <w:tab/>
      </w:r>
      <w:r>
        <w:rPr>
          <w:noProof/>
        </w:rPr>
        <w:fldChar w:fldCharType="begin"/>
      </w:r>
      <w:r>
        <w:rPr>
          <w:noProof/>
        </w:rPr>
        <w:instrText xml:space="preserve"> PAGEREF _Toc170734184 \h </w:instrText>
      </w:r>
      <w:r>
        <w:rPr>
          <w:noProof/>
        </w:rPr>
      </w:r>
      <w:r>
        <w:rPr>
          <w:noProof/>
        </w:rPr>
        <w:fldChar w:fldCharType="separate"/>
      </w:r>
      <w:r>
        <w:rPr>
          <w:noProof/>
        </w:rPr>
        <w:t>46</w:t>
      </w:r>
      <w:r>
        <w:rPr>
          <w:noProof/>
        </w:rPr>
        <w:fldChar w:fldCharType="end"/>
      </w:r>
    </w:p>
    <w:p w14:paraId="7F870D30" w14:textId="61F8D34E" w:rsidR="00873A7D" w:rsidRDefault="00873A7D">
      <w:pPr>
        <w:pStyle w:val="TOC2"/>
        <w:rPr>
          <w:rFonts w:asciiTheme="minorHAnsi" w:eastAsiaTheme="minorEastAsia" w:hAnsiTheme="minorHAnsi" w:cstheme="minorBidi"/>
          <w:b w:val="0"/>
          <w:noProof/>
          <w:sz w:val="22"/>
          <w:lang w:val="en-AU" w:eastAsia="en-AU"/>
        </w:rPr>
      </w:pPr>
      <w:r>
        <w:rPr>
          <w:noProof/>
        </w:rPr>
        <w:t>Joint (consortia) applicants – Additional requirements</w:t>
      </w:r>
      <w:r>
        <w:rPr>
          <w:noProof/>
        </w:rPr>
        <w:tab/>
      </w:r>
      <w:r>
        <w:rPr>
          <w:noProof/>
        </w:rPr>
        <w:fldChar w:fldCharType="begin"/>
      </w:r>
      <w:r>
        <w:rPr>
          <w:noProof/>
        </w:rPr>
        <w:instrText xml:space="preserve"> PAGEREF _Toc170734185 \h </w:instrText>
      </w:r>
      <w:r>
        <w:rPr>
          <w:noProof/>
        </w:rPr>
      </w:r>
      <w:r>
        <w:rPr>
          <w:noProof/>
        </w:rPr>
        <w:fldChar w:fldCharType="separate"/>
      </w:r>
      <w:r>
        <w:rPr>
          <w:noProof/>
        </w:rPr>
        <w:t>46</w:t>
      </w:r>
      <w:r>
        <w:rPr>
          <w:noProof/>
        </w:rPr>
        <w:fldChar w:fldCharType="end"/>
      </w:r>
    </w:p>
    <w:p w14:paraId="0B20B230" w14:textId="71FDC441" w:rsidR="00DD3C0D" w:rsidRDefault="004A238A" w:rsidP="00DD3C0D">
      <w:pPr>
        <w:sectPr w:rsidR="00DD3C0D" w:rsidSect="0002331D">
          <w:headerReference w:type="even" r:id="rId17"/>
          <w:headerReference w:type="default" r:id="rId18"/>
          <w:footerReference w:type="default" r:id="rId19"/>
          <w:headerReference w:type="first" r:id="rId20"/>
          <w:footerReference w:type="first" r:id="rId21"/>
          <w:pgSz w:w="11907" w:h="16840" w:code="9"/>
          <w:pgMar w:top="1418" w:right="1418" w:bottom="1276" w:left="1701" w:header="709" w:footer="709" w:gutter="0"/>
          <w:cols w:space="720"/>
          <w:docGrid w:linePitch="360"/>
        </w:sectPr>
      </w:pPr>
      <w:r>
        <w:rPr>
          <w:rFonts w:eastAsia="Calibri"/>
          <w:szCs w:val="28"/>
          <w:lang w:val="en-US"/>
        </w:rPr>
        <w:fldChar w:fldCharType="end"/>
      </w:r>
    </w:p>
    <w:p w14:paraId="0060A087" w14:textId="77777777" w:rsidR="00280F2D" w:rsidRPr="00451A8D" w:rsidRDefault="00280F2D">
      <w:pPr>
        <w:spacing w:before="0" w:after="0" w:line="240" w:lineRule="auto"/>
      </w:pPr>
      <w:bookmarkStart w:id="0" w:name="_[Program_name]:_[Grant"/>
      <w:bookmarkStart w:id="1" w:name="_Toc458420391"/>
      <w:bookmarkStart w:id="2" w:name="_Toc462824846"/>
      <w:bookmarkEnd w:id="0"/>
    </w:p>
    <w:p w14:paraId="15FAFA4A" w14:textId="2E725902" w:rsidR="00D00456" w:rsidRPr="00031193" w:rsidRDefault="003E57CB" w:rsidP="00A4685F">
      <w:pPr>
        <w:pStyle w:val="Heading4"/>
      </w:pPr>
      <w:bookmarkStart w:id="3" w:name="_Toc170734102"/>
      <w:r w:rsidRPr="00031193">
        <w:t>IAS</w:t>
      </w:r>
      <w:r w:rsidR="00D14A4E" w:rsidRPr="00031193">
        <w:t xml:space="preserve">: </w:t>
      </w:r>
      <w:r w:rsidR="00B47605" w:rsidRPr="00031193">
        <w:t>Remote Jobs and Economic Development Program</w:t>
      </w:r>
      <w:r w:rsidR="00D14A4E" w:rsidRPr="00031193">
        <w:t xml:space="preserve"> </w:t>
      </w:r>
      <w:r w:rsidR="005447D1" w:rsidRPr="00031193">
        <w:t>p</w:t>
      </w:r>
      <w:r w:rsidR="00D00456" w:rsidRPr="00031193">
        <w:t>rocess</w:t>
      </w:r>
      <w:r w:rsidR="009F2B71" w:rsidRPr="00031193">
        <w:t>es</w:t>
      </w:r>
      <w:bookmarkEnd w:id="3"/>
    </w:p>
    <w:bookmarkEnd w:id="1"/>
    <w:bookmarkEnd w:id="2"/>
    <w:p w14:paraId="5860B8E8" w14:textId="77777777" w:rsidR="00CE6D9D" w:rsidRDefault="00CE6D9D" w:rsidP="003E57CB">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sidR="003E57CB">
        <w:rPr>
          <w:b/>
        </w:rPr>
        <w:t xml:space="preserve">IAS </w:t>
      </w:r>
      <w:r w:rsidRPr="00F40BDA">
        <w:rPr>
          <w:b/>
        </w:rPr>
        <w:t>is</w:t>
      </w:r>
      <w:r w:rsidR="00181A24">
        <w:rPr>
          <w:b/>
        </w:rPr>
        <w:t xml:space="preserve"> </w:t>
      </w:r>
      <w:r w:rsidRPr="00F40BDA">
        <w:rPr>
          <w:b/>
        </w:rPr>
        <w:t xml:space="preserve">designed to </w:t>
      </w:r>
      <w:r>
        <w:rPr>
          <w:b/>
        </w:rPr>
        <w:t>achieve</w:t>
      </w:r>
      <w:r w:rsidRPr="00F40BDA">
        <w:rPr>
          <w:b/>
        </w:rPr>
        <w:t xml:space="preserve"> Australian Government </w:t>
      </w:r>
      <w:r>
        <w:rPr>
          <w:b/>
        </w:rPr>
        <w:t>objectives</w:t>
      </w:r>
      <w:r w:rsidRPr="00F40BDA">
        <w:rPr>
          <w:b/>
        </w:rPr>
        <w:t xml:space="preserve"> </w:t>
      </w:r>
    </w:p>
    <w:p w14:paraId="11A28431" w14:textId="77777777" w:rsidR="00FA5A51" w:rsidRDefault="00E52373" w:rsidP="003E57CB">
      <w:pPr>
        <w:pBdr>
          <w:top w:val="single" w:sz="4" w:space="1" w:color="auto"/>
          <w:left w:val="single" w:sz="4" w:space="4" w:color="auto"/>
          <w:bottom w:val="single" w:sz="4" w:space="1" w:color="auto"/>
          <w:right w:val="single" w:sz="4" w:space="4" w:color="auto"/>
        </w:pBdr>
        <w:spacing w:before="0" w:after="0" w:line="240" w:lineRule="auto"/>
        <w:jc w:val="center"/>
      </w:pPr>
      <w:r>
        <w:t>This grant opportunity i</w:t>
      </w:r>
      <w:r w:rsidRPr="00D164B1">
        <w:t xml:space="preserve">s part of the </w:t>
      </w:r>
      <w:r w:rsidR="00E860AC">
        <w:t>IAS</w:t>
      </w:r>
      <w:r w:rsidRPr="00D164B1">
        <w:t xml:space="preserve"> which contributes to </w:t>
      </w:r>
      <w:r w:rsidR="003E57CB">
        <w:t>NIAA</w:t>
      </w:r>
      <w:r w:rsidRPr="00D164B1">
        <w:t xml:space="preserve">’s Outcome </w:t>
      </w:r>
      <w:r w:rsidR="003E57CB">
        <w:t>1</w:t>
      </w:r>
      <w:r w:rsidR="003B3761">
        <w:t xml:space="preserve"> </w:t>
      </w:r>
      <w:r w:rsidR="003B3761">
        <w:rPr>
          <w:rFonts w:cs="Arial"/>
          <w:color w:val="213242"/>
          <w:shd w:val="clear" w:color="auto" w:fill="FFFFFF"/>
        </w:rPr>
        <w:t>to support economic development in remote Australia</w:t>
      </w:r>
      <w:r w:rsidRPr="00D164B1">
        <w:t xml:space="preserve">. The </w:t>
      </w:r>
      <w:r w:rsidR="003E57CB">
        <w:t>NIAA</w:t>
      </w:r>
      <w:r>
        <w:t xml:space="preserve"> works with stakeholders to plan and design the grant program according to the</w:t>
      </w:r>
    </w:p>
    <w:p w14:paraId="22B604AC" w14:textId="77777777" w:rsidR="00FA5A51" w:rsidRPr="00FA5A51" w:rsidRDefault="00FA5A51" w:rsidP="003E57CB">
      <w:pPr>
        <w:pBdr>
          <w:top w:val="single" w:sz="4" w:space="1" w:color="auto"/>
          <w:left w:val="single" w:sz="4" w:space="4" w:color="auto"/>
          <w:bottom w:val="single" w:sz="4" w:space="1" w:color="auto"/>
          <w:right w:val="single" w:sz="4" w:space="4" w:color="auto"/>
        </w:pBdr>
        <w:spacing w:before="0" w:after="0" w:line="240" w:lineRule="auto"/>
        <w:jc w:val="center"/>
      </w:pPr>
      <w:r>
        <w:t xml:space="preserve"> </w:t>
      </w:r>
      <w:hyperlink r:id="rId22" w:history="1">
        <w:r w:rsidR="006F145A" w:rsidRPr="006F145A">
          <w:rPr>
            <w:rStyle w:val="Hyperlink"/>
            <w:i/>
          </w:rPr>
          <w:t>Commonwealth Grants Rules and Guidelines</w:t>
        </w:r>
        <w:r w:rsidR="006F145A" w:rsidRPr="00B359CF">
          <w:rPr>
            <w:rStyle w:val="Hyperlink"/>
            <w:i/>
          </w:rPr>
          <w:t xml:space="preserve"> (CGRGs)</w:t>
        </w:r>
        <w:r w:rsidRPr="006F145A">
          <w:rPr>
            <w:rStyle w:val="Hyperlink"/>
            <w:i/>
          </w:rPr>
          <w:t>.</w:t>
        </w:r>
      </w:hyperlink>
    </w:p>
    <w:p w14:paraId="3BDE0F27" w14:textId="77777777" w:rsidR="00CE6D9D" w:rsidRPr="00F40BDA" w:rsidRDefault="00CE6D9D" w:rsidP="003E57CB">
      <w:pPr>
        <w:spacing w:after="0"/>
        <w:jc w:val="center"/>
        <w:rPr>
          <w:rFonts w:ascii="Wingdings" w:hAnsi="Wingdings"/>
        </w:rPr>
      </w:pPr>
      <w:r w:rsidRPr="00F40BDA">
        <w:rPr>
          <w:rFonts w:ascii="Wingdings" w:hAnsi="Wingdings"/>
        </w:rPr>
        <w:t></w:t>
      </w:r>
    </w:p>
    <w:p w14:paraId="50F82EBF" w14:textId="77777777"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5C263E96" w14:textId="77777777" w:rsidR="00C70C37" w:rsidRDefault="00E860AC" w:rsidP="009E283B">
      <w:pPr>
        <w:pBdr>
          <w:top w:val="single" w:sz="2" w:space="1" w:color="auto"/>
          <w:left w:val="single" w:sz="2" w:space="4" w:color="auto"/>
          <w:bottom w:val="single" w:sz="2" w:space="0" w:color="auto"/>
          <w:right w:val="single" w:sz="2" w:space="4" w:color="auto"/>
        </w:pBdr>
        <w:spacing w:after="0"/>
        <w:jc w:val="center"/>
        <w:rPr>
          <w:b/>
        </w:rPr>
      </w:pPr>
      <w:r>
        <w:t>NIAA</w:t>
      </w:r>
      <w:r w:rsidR="00C70C37" w:rsidRPr="009E283B">
        <w:t xml:space="preserve"> publish</w:t>
      </w:r>
      <w:r>
        <w:t>es</w:t>
      </w:r>
      <w:r w:rsidR="00C70C37" w:rsidRPr="009E283B">
        <w:t xml:space="preserve"> the grant guidelines on </w:t>
      </w:r>
      <w:hyperlink r:id="rId23" w:history="1">
        <w:r w:rsidR="008D123A" w:rsidRPr="00452C26">
          <w:rPr>
            <w:rStyle w:val="Hyperlink"/>
          </w:rPr>
          <w:t>GrantConnect</w:t>
        </w:r>
      </w:hyperlink>
      <w:r>
        <w:rPr>
          <w:rStyle w:val="Hyperlink"/>
        </w:rPr>
        <w:t>.</w:t>
      </w:r>
      <w:r w:rsidR="00C70C37" w:rsidRPr="009E283B">
        <w:t xml:space="preserve"> </w:t>
      </w:r>
    </w:p>
    <w:p w14:paraId="423BDB3B" w14:textId="77777777" w:rsidR="00CE6D9D" w:rsidRPr="00F40BDA" w:rsidRDefault="00CE6D9D" w:rsidP="00CE6D9D">
      <w:pPr>
        <w:spacing w:after="0"/>
        <w:jc w:val="center"/>
        <w:rPr>
          <w:rFonts w:ascii="Wingdings" w:hAnsi="Wingdings"/>
        </w:rPr>
      </w:pPr>
      <w:r w:rsidRPr="00F40BDA">
        <w:rPr>
          <w:rFonts w:ascii="Wingdings" w:hAnsi="Wingdings"/>
        </w:rPr>
        <w:t></w:t>
      </w:r>
    </w:p>
    <w:p w14:paraId="0D563F01" w14:textId="77777777" w:rsidR="00C70C37" w:rsidRDefault="00DE211D" w:rsidP="00CE6D9D">
      <w:pPr>
        <w:pBdr>
          <w:top w:val="single" w:sz="2" w:space="1" w:color="auto"/>
          <w:left w:val="single" w:sz="2" w:space="4" w:color="auto"/>
          <w:bottom w:val="single" w:sz="2" w:space="1" w:color="auto"/>
          <w:right w:val="single" w:sz="2" w:space="4" w:color="auto"/>
        </w:pBdr>
        <w:spacing w:after="0"/>
        <w:jc w:val="center"/>
        <w:rPr>
          <w:b/>
        </w:rPr>
      </w:pPr>
      <w:r>
        <w:rPr>
          <w:b/>
        </w:rPr>
        <w:t>Grant application</w:t>
      </w:r>
      <w:r w:rsidR="00CE6D9D" w:rsidRPr="00947729">
        <w:rPr>
          <w:b/>
        </w:rPr>
        <w:t xml:space="preserve"> complete</w:t>
      </w:r>
      <w:r>
        <w:rPr>
          <w:b/>
        </w:rPr>
        <w:t>d</w:t>
      </w:r>
      <w:r w:rsidR="00CE6D9D" w:rsidRPr="00947729">
        <w:rPr>
          <w:b/>
        </w:rPr>
        <w:t xml:space="preserve"> and submit</w:t>
      </w:r>
      <w:r>
        <w:rPr>
          <w:b/>
        </w:rPr>
        <w:t>ted</w:t>
      </w:r>
    </w:p>
    <w:p w14:paraId="40BBB14D" w14:textId="77777777"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You complete the application form</w:t>
      </w:r>
      <w:r w:rsidR="00E860AC">
        <w:t xml:space="preserve">, including </w:t>
      </w:r>
      <w:r w:rsidRPr="00EF2B08">
        <w:t>address</w:t>
      </w:r>
      <w:r w:rsidR="00E860AC">
        <w:t xml:space="preserve">ing </w:t>
      </w:r>
      <w:r w:rsidRPr="00EF2B08">
        <w:t>all eligibility and assessment criteria.</w:t>
      </w:r>
      <w:r w:rsidR="00E96FB9" w:rsidRPr="00EF2B08">
        <w:t xml:space="preserve"> </w:t>
      </w:r>
    </w:p>
    <w:p w14:paraId="7B8DA9B1" w14:textId="77777777" w:rsidR="00CE6D9D" w:rsidRPr="00F40BDA" w:rsidRDefault="00CE6D9D" w:rsidP="00CE6D9D">
      <w:pPr>
        <w:spacing w:after="0"/>
        <w:jc w:val="center"/>
        <w:rPr>
          <w:rFonts w:ascii="Wingdings" w:hAnsi="Wingdings"/>
        </w:rPr>
      </w:pPr>
      <w:r w:rsidRPr="00F40BDA">
        <w:rPr>
          <w:rFonts w:ascii="Wingdings" w:hAnsi="Wingdings"/>
        </w:rPr>
        <w:t></w:t>
      </w:r>
    </w:p>
    <w:p w14:paraId="04B3D986" w14:textId="77777777" w:rsidR="00CE6D9D" w:rsidRDefault="00DE211D" w:rsidP="00CE6D9D">
      <w:pPr>
        <w:pBdr>
          <w:top w:val="single" w:sz="2" w:space="1" w:color="auto"/>
          <w:left w:val="single" w:sz="2" w:space="4" w:color="auto"/>
          <w:bottom w:val="single" w:sz="2" w:space="1" w:color="auto"/>
          <w:right w:val="single" w:sz="2" w:space="4" w:color="auto"/>
        </w:pBdr>
        <w:spacing w:after="0"/>
        <w:jc w:val="center"/>
        <w:rPr>
          <w:bCs/>
        </w:rPr>
      </w:pPr>
      <w:r>
        <w:rPr>
          <w:b/>
        </w:rPr>
        <w:t>Application</w:t>
      </w:r>
      <w:r w:rsidR="00CE6D9D">
        <w:rPr>
          <w:b/>
        </w:rPr>
        <w:t xml:space="preserve"> assess</w:t>
      </w:r>
      <w:r>
        <w:rPr>
          <w:b/>
        </w:rPr>
        <w:t>ed</w:t>
      </w:r>
      <w:r w:rsidR="00CE6D9D">
        <w:rPr>
          <w:b/>
        </w:rPr>
        <w:t xml:space="preserve"> </w:t>
      </w:r>
    </w:p>
    <w:p w14:paraId="02ACA4A7" w14:textId="77777777" w:rsidR="00E52373" w:rsidRDefault="00E860AC" w:rsidP="00E52373">
      <w:pPr>
        <w:pBdr>
          <w:top w:val="single" w:sz="2" w:space="1" w:color="auto"/>
          <w:left w:val="single" w:sz="2" w:space="4" w:color="auto"/>
          <w:bottom w:val="single" w:sz="2" w:space="1" w:color="auto"/>
          <w:right w:val="single" w:sz="2" w:space="4" w:color="auto"/>
        </w:pBdr>
        <w:spacing w:after="0"/>
        <w:jc w:val="center"/>
      </w:pPr>
      <w:r>
        <w:t>NIAA</w:t>
      </w:r>
      <w:r w:rsidR="00E52373">
        <w:t xml:space="preserve"> assess</w:t>
      </w:r>
      <w:r>
        <w:t>es</w:t>
      </w:r>
      <w:r w:rsidR="00E52373">
        <w:t xml:space="preserve"> </w:t>
      </w:r>
      <w:r>
        <w:t xml:space="preserve">your </w:t>
      </w:r>
      <w:r w:rsidR="00E52373">
        <w:t>application against eligibility criteria</w:t>
      </w:r>
      <w:r>
        <w:t>, and if e</w:t>
      </w:r>
      <w:r w:rsidR="00BC0AC9">
        <w:t>ligible</w:t>
      </w:r>
      <w:r>
        <w:t xml:space="preserve">, </w:t>
      </w:r>
      <w:r w:rsidR="00E52373">
        <w:t>against the assessment criteria</w:t>
      </w:r>
      <w:r>
        <w:t>,</w:t>
      </w:r>
      <w:r w:rsidR="00E52373">
        <w:t xml:space="preserve"> including an overall consideration of value </w:t>
      </w:r>
      <w:r w:rsidR="007D71E7">
        <w:t xml:space="preserve">for </w:t>
      </w:r>
      <w:r w:rsidR="00BD2810">
        <w:t xml:space="preserve">relevant </w:t>
      </w:r>
      <w:r w:rsidR="00E52373">
        <w:t>money</w:t>
      </w:r>
      <w:r w:rsidR="00BA4CD0">
        <w:t>.</w:t>
      </w:r>
      <w:r w:rsidRPr="00B1243A">
        <w:rPr>
          <w:rStyle w:val="highlightedtextChar"/>
          <w:rFonts w:ascii="Arial" w:hAnsi="Arial" w:cs="Arial"/>
          <w:b w:val="0"/>
          <w:color w:val="FF0000"/>
          <w:sz w:val="20"/>
          <w:szCs w:val="20"/>
        </w:rPr>
        <w:t xml:space="preserve"> </w:t>
      </w:r>
      <w:r w:rsidRPr="00BF29D1">
        <w:t xml:space="preserve">Your application will then be </w:t>
      </w:r>
      <w:r w:rsidR="006530B0" w:rsidRPr="00BF29D1">
        <w:t xml:space="preserve">ranked against </w:t>
      </w:r>
      <w:r w:rsidR="00E52373" w:rsidRPr="00BF29D1">
        <w:t>other applications</w:t>
      </w:r>
      <w:r w:rsidR="006530B0" w:rsidRPr="00BF29D1">
        <w:t xml:space="preserve"> for the same region</w:t>
      </w:r>
      <w:r w:rsidR="00E52373" w:rsidRPr="00BF29D1">
        <w:t xml:space="preserve">. </w:t>
      </w:r>
    </w:p>
    <w:p w14:paraId="34354C46" w14:textId="77777777" w:rsidR="00CE6D9D" w:rsidRPr="00C659C4" w:rsidRDefault="00CE6D9D" w:rsidP="00CE6D9D">
      <w:pPr>
        <w:spacing w:after="0"/>
        <w:jc w:val="center"/>
        <w:rPr>
          <w:rFonts w:ascii="Wingdings" w:hAnsi="Wingdings"/>
        </w:rPr>
      </w:pPr>
      <w:r w:rsidRPr="00C659C4">
        <w:rPr>
          <w:rFonts w:ascii="Wingdings" w:hAnsi="Wingdings"/>
        </w:rPr>
        <w:t></w:t>
      </w:r>
    </w:p>
    <w:p w14:paraId="7BBBD658" w14:textId="77777777" w:rsidR="00CE6D9D" w:rsidRPr="00C659C4" w:rsidRDefault="00DE2AD0" w:rsidP="00CE6D9D">
      <w:pPr>
        <w:pBdr>
          <w:top w:val="single" w:sz="2" w:space="1" w:color="auto"/>
          <w:left w:val="single" w:sz="2" w:space="4" w:color="auto"/>
          <w:bottom w:val="single" w:sz="2" w:space="1" w:color="auto"/>
          <w:right w:val="single" w:sz="2" w:space="4" w:color="auto"/>
        </w:pBdr>
        <w:spacing w:after="0"/>
        <w:jc w:val="center"/>
        <w:rPr>
          <w:b/>
        </w:rPr>
      </w:pPr>
      <w:r>
        <w:rPr>
          <w:b/>
        </w:rPr>
        <w:t>G</w:t>
      </w:r>
      <w:r w:rsidR="00CE6D9D" w:rsidRPr="00C659C4">
        <w:rPr>
          <w:b/>
        </w:rPr>
        <w:t>rant recommendations</w:t>
      </w:r>
      <w:r>
        <w:rPr>
          <w:b/>
        </w:rPr>
        <w:t xml:space="preserve"> made</w:t>
      </w:r>
    </w:p>
    <w:p w14:paraId="701AF8A9" w14:textId="77777777" w:rsidR="00CE6D9D" w:rsidRPr="00C659C4" w:rsidRDefault="00DE2AD0" w:rsidP="00CE6D9D">
      <w:pPr>
        <w:pBdr>
          <w:top w:val="single" w:sz="2" w:space="1" w:color="auto"/>
          <w:left w:val="single" w:sz="2" w:space="4" w:color="auto"/>
          <w:bottom w:val="single" w:sz="2" w:space="1" w:color="auto"/>
          <w:right w:val="single" w:sz="2" w:space="4" w:color="auto"/>
        </w:pBdr>
        <w:spacing w:after="0"/>
        <w:jc w:val="center"/>
      </w:pPr>
      <w:r>
        <w:t>NIAA</w:t>
      </w:r>
      <w:r w:rsidRPr="00C659C4">
        <w:t xml:space="preserve"> </w:t>
      </w:r>
      <w:r w:rsidR="00CE6D9D" w:rsidRPr="00C659C4">
        <w:t>provide</w:t>
      </w:r>
      <w:r w:rsidR="007D71E7">
        <w:t>s</w:t>
      </w:r>
      <w:r w:rsidR="00CE6D9D" w:rsidRPr="00C659C4">
        <w:t xml:space="preserve"> advice to the decision maker on the </w:t>
      </w:r>
      <w:r w:rsidR="006530B0">
        <w:t xml:space="preserve">ranking and </w:t>
      </w:r>
      <w:r w:rsidR="00CE6D9D" w:rsidRPr="00C659C4">
        <w:t xml:space="preserve">merits of each application. </w:t>
      </w:r>
    </w:p>
    <w:p w14:paraId="55C24DA0" w14:textId="77777777" w:rsidR="00CE6D9D" w:rsidRPr="00C659C4" w:rsidRDefault="00CE6D9D" w:rsidP="00CE6D9D">
      <w:pPr>
        <w:spacing w:after="0"/>
        <w:jc w:val="center"/>
        <w:rPr>
          <w:rFonts w:ascii="Wingdings" w:hAnsi="Wingdings"/>
        </w:rPr>
      </w:pPr>
      <w:r w:rsidRPr="00C659C4">
        <w:rPr>
          <w:rFonts w:ascii="Wingdings" w:hAnsi="Wingdings"/>
        </w:rPr>
        <w:t></w:t>
      </w:r>
    </w:p>
    <w:p w14:paraId="1A28D210"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made</w:t>
      </w:r>
    </w:p>
    <w:p w14:paraId="2B0F689C" w14:textId="77777777" w:rsidR="00CE6D9D" w:rsidRPr="00C659C4" w:rsidRDefault="00DE2AD0" w:rsidP="00CE6D9D">
      <w:pPr>
        <w:pBdr>
          <w:top w:val="single" w:sz="2" w:space="1" w:color="auto"/>
          <w:left w:val="single" w:sz="2" w:space="4" w:color="auto"/>
          <w:bottom w:val="single" w:sz="2" w:space="1" w:color="auto"/>
          <w:right w:val="single" w:sz="2" w:space="4" w:color="auto"/>
        </w:pBdr>
        <w:spacing w:after="0"/>
        <w:jc w:val="center"/>
      </w:pPr>
      <w:r>
        <w:t>D</w:t>
      </w:r>
      <w:r w:rsidR="00CE6D9D" w:rsidRPr="00C659C4">
        <w:t>ecision maker</w:t>
      </w:r>
      <w:r w:rsidR="00DA43F0">
        <w:t xml:space="preserve"> </w:t>
      </w:r>
      <w:r w:rsidR="00CE6D9D" w:rsidRPr="00C659C4">
        <w:t>decides which applications are successful.</w:t>
      </w:r>
    </w:p>
    <w:p w14:paraId="092CF660" w14:textId="77777777" w:rsidR="00CE6D9D" w:rsidRPr="00C659C4" w:rsidRDefault="00CE6D9D" w:rsidP="00CE6D9D">
      <w:pPr>
        <w:spacing w:after="0"/>
        <w:jc w:val="center"/>
        <w:rPr>
          <w:rFonts w:ascii="Wingdings" w:hAnsi="Wingdings"/>
        </w:rPr>
      </w:pPr>
      <w:r w:rsidRPr="00C659C4">
        <w:rPr>
          <w:rFonts w:ascii="Wingdings" w:hAnsi="Wingdings"/>
        </w:rPr>
        <w:t></w:t>
      </w:r>
    </w:p>
    <w:p w14:paraId="1CF48237" w14:textId="77777777" w:rsidR="00CE6D9D" w:rsidRPr="00C659C4" w:rsidRDefault="00DE2AD0" w:rsidP="00CE6D9D">
      <w:pPr>
        <w:pBdr>
          <w:top w:val="single" w:sz="2" w:space="1" w:color="auto"/>
          <w:left w:val="single" w:sz="2" w:space="4" w:color="auto"/>
          <w:bottom w:val="single" w:sz="2" w:space="1" w:color="auto"/>
          <w:right w:val="single" w:sz="2" w:space="4" w:color="auto"/>
        </w:pBdr>
        <w:spacing w:after="0"/>
        <w:jc w:val="center"/>
        <w:rPr>
          <w:b/>
        </w:rPr>
      </w:pPr>
      <w:r>
        <w:rPr>
          <w:b/>
        </w:rPr>
        <w:t>N</w:t>
      </w:r>
      <w:r w:rsidR="00CE6D9D" w:rsidRPr="00C659C4">
        <w:rPr>
          <w:b/>
        </w:rPr>
        <w:t>otif</w:t>
      </w:r>
      <w:r>
        <w:rPr>
          <w:b/>
        </w:rPr>
        <w:t>ied</w:t>
      </w:r>
      <w:r w:rsidR="00CE6D9D" w:rsidRPr="00C659C4">
        <w:rPr>
          <w:b/>
        </w:rPr>
        <w:t xml:space="preserve"> of outcome</w:t>
      </w:r>
      <w:r>
        <w:rPr>
          <w:b/>
        </w:rPr>
        <w:t>s</w:t>
      </w:r>
    </w:p>
    <w:p w14:paraId="6B343A71" w14:textId="77777777" w:rsidR="00CE6D9D" w:rsidRPr="00C659C4" w:rsidRDefault="00DE2AD0" w:rsidP="00CE6D9D">
      <w:pPr>
        <w:pBdr>
          <w:top w:val="single" w:sz="2" w:space="1" w:color="auto"/>
          <w:left w:val="single" w:sz="2" w:space="4" w:color="auto"/>
          <w:bottom w:val="single" w:sz="2" w:space="1" w:color="auto"/>
          <w:right w:val="single" w:sz="2" w:space="4" w:color="auto"/>
        </w:pBdr>
        <w:spacing w:after="0"/>
        <w:jc w:val="center"/>
      </w:pPr>
      <w:r>
        <w:t>NIAA</w:t>
      </w:r>
      <w:r w:rsidR="00CE6D9D" w:rsidRPr="00C659C4">
        <w:t xml:space="preserve"> advise</w:t>
      </w:r>
      <w:r w:rsidR="00BD2810">
        <w:t>s</w:t>
      </w:r>
      <w:r w:rsidR="00CE6D9D" w:rsidRPr="00C659C4">
        <w:t xml:space="preserve"> you of the outcome of your application. </w:t>
      </w:r>
      <w:r w:rsidRPr="005C484C">
        <w:t>U</w:t>
      </w:r>
      <w:r w:rsidR="00CE6D9D" w:rsidRPr="00C659C4">
        <w:t xml:space="preserve">nsuccessful applicants </w:t>
      </w:r>
      <w:r>
        <w:t>may not be notified until</w:t>
      </w:r>
      <w:r w:rsidR="00CE6D9D" w:rsidRPr="00C659C4">
        <w:t xml:space="preserve"> grant agreements have been executed with successful applicants.</w:t>
      </w:r>
    </w:p>
    <w:p w14:paraId="4DB2DF4F" w14:textId="77777777" w:rsidR="00CE6D9D" w:rsidRPr="00C659C4" w:rsidRDefault="00CE6D9D" w:rsidP="00CE6D9D">
      <w:pPr>
        <w:spacing w:after="0"/>
        <w:jc w:val="center"/>
        <w:rPr>
          <w:rFonts w:ascii="Wingdings" w:hAnsi="Wingdings"/>
        </w:rPr>
      </w:pPr>
      <w:r w:rsidRPr="00C659C4">
        <w:rPr>
          <w:rFonts w:ascii="Wingdings" w:hAnsi="Wingdings"/>
        </w:rPr>
        <w:t></w:t>
      </w:r>
    </w:p>
    <w:p w14:paraId="622DC705" w14:textId="77777777" w:rsidR="00CE6D9D" w:rsidRPr="00C659C4" w:rsidRDefault="00DE2AD0" w:rsidP="00CE6D9D">
      <w:pPr>
        <w:pBdr>
          <w:top w:val="single" w:sz="2" w:space="1" w:color="auto"/>
          <w:left w:val="single" w:sz="2" w:space="4" w:color="auto"/>
          <w:bottom w:val="single" w:sz="2" w:space="1" w:color="auto"/>
          <w:right w:val="single" w:sz="2" w:space="4" w:color="auto"/>
        </w:pBdr>
        <w:spacing w:after="0"/>
        <w:jc w:val="center"/>
        <w:rPr>
          <w:b/>
        </w:rPr>
      </w:pPr>
      <w:r>
        <w:rPr>
          <w:b/>
        </w:rPr>
        <w:t>G</w:t>
      </w:r>
      <w:r w:rsidR="00CE6D9D" w:rsidRPr="00C659C4">
        <w:rPr>
          <w:b/>
        </w:rPr>
        <w:t>rant agreement</w:t>
      </w:r>
      <w:r>
        <w:rPr>
          <w:b/>
        </w:rPr>
        <w:t xml:space="preserve">s </w:t>
      </w:r>
      <w:r w:rsidR="00280F2D">
        <w:rPr>
          <w:b/>
        </w:rPr>
        <w:t>signed</w:t>
      </w:r>
    </w:p>
    <w:p w14:paraId="1138E52F" w14:textId="77777777" w:rsidR="00CE6D9D" w:rsidRPr="00C659C4" w:rsidRDefault="00280F2D" w:rsidP="00CE6D9D">
      <w:pPr>
        <w:pBdr>
          <w:top w:val="single" w:sz="2" w:space="1" w:color="auto"/>
          <w:left w:val="single" w:sz="2" w:space="4" w:color="auto"/>
          <w:bottom w:val="single" w:sz="2" w:space="1" w:color="auto"/>
          <w:right w:val="single" w:sz="2" w:space="4" w:color="auto"/>
        </w:pBdr>
        <w:spacing w:after="0"/>
        <w:jc w:val="center"/>
        <w:rPr>
          <w:b/>
          <w:bCs/>
        </w:rPr>
      </w:pPr>
      <w:r>
        <w:t>If you</w:t>
      </w:r>
      <w:r w:rsidR="007F54D3">
        <w:t>r</w:t>
      </w:r>
      <w:r>
        <w:t xml:space="preserve"> application is successful, the NIAA</w:t>
      </w:r>
      <w:r w:rsidRPr="00C659C4">
        <w:t xml:space="preserve"> </w:t>
      </w:r>
      <w:r>
        <w:t xml:space="preserve">will </w:t>
      </w:r>
      <w:r w:rsidR="00CE6D9D" w:rsidRPr="00C659C4">
        <w:t>ente</w:t>
      </w:r>
      <w:r>
        <w:t>r</w:t>
      </w:r>
      <w:r w:rsidR="00CE6D9D" w:rsidRPr="00C659C4">
        <w:t xml:space="preserve"> into a grant agreement with</w:t>
      </w:r>
      <w:r w:rsidR="00D676ED">
        <w:t xml:space="preserve"> you.</w:t>
      </w:r>
      <w:r w:rsidR="00CE6D9D" w:rsidRPr="00C659C4">
        <w:t xml:space="preserve"> The</w:t>
      </w:r>
      <w:r>
        <w:t xml:space="preserve"> type of</w:t>
      </w:r>
      <w:r w:rsidR="00CE6D9D" w:rsidRPr="00C659C4">
        <w:t xml:space="preserve"> grant agreement </w:t>
      </w:r>
      <w:r>
        <w:t xml:space="preserve">type will </w:t>
      </w:r>
      <w:r w:rsidR="006530B0">
        <w:t>depend</w:t>
      </w:r>
      <w:r w:rsidR="00CE6D9D" w:rsidRPr="00C659C4">
        <w:t xml:space="preserve"> on the nature of the grant and</w:t>
      </w:r>
      <w:r w:rsidR="001B4EAA">
        <w:t xml:space="preserve"> </w:t>
      </w:r>
      <w:r w:rsidR="007D71E7">
        <w:t xml:space="preserve">will be </w:t>
      </w:r>
      <w:r w:rsidR="00CE6D9D" w:rsidRPr="00C659C4">
        <w:t>proportional to the risks involved.</w:t>
      </w:r>
    </w:p>
    <w:p w14:paraId="4EBCF1CC" w14:textId="77777777" w:rsidR="00CE6D9D" w:rsidRPr="00C659C4" w:rsidRDefault="00CE6D9D" w:rsidP="00CE6D9D">
      <w:pPr>
        <w:spacing w:after="0"/>
        <w:jc w:val="center"/>
        <w:rPr>
          <w:rFonts w:ascii="Wingdings" w:hAnsi="Wingdings"/>
        </w:rPr>
      </w:pPr>
      <w:r w:rsidRPr="00C659C4">
        <w:rPr>
          <w:rFonts w:ascii="Wingdings" w:hAnsi="Wingdings"/>
        </w:rPr>
        <w:t></w:t>
      </w:r>
    </w:p>
    <w:p w14:paraId="41950204"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0C7B244E"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280F2D">
        <w:rPr>
          <w:bCs/>
        </w:rPr>
        <w:t>NIAA</w:t>
      </w:r>
      <w:r w:rsidRPr="00C659C4">
        <w:rPr>
          <w:bCs/>
        </w:rPr>
        <w:t xml:space="preserve"> manage the grant by working with you, monitoring your progress and making payments.</w:t>
      </w:r>
    </w:p>
    <w:p w14:paraId="6B2C776F" w14:textId="77777777" w:rsidR="00CE6D9D" w:rsidRPr="00C659C4" w:rsidRDefault="00CE6D9D" w:rsidP="00CE6D9D">
      <w:pPr>
        <w:spacing w:after="0"/>
        <w:jc w:val="center"/>
        <w:rPr>
          <w:rFonts w:ascii="Wingdings" w:hAnsi="Wingdings"/>
        </w:rPr>
      </w:pPr>
      <w:r w:rsidRPr="00C659C4">
        <w:rPr>
          <w:rFonts w:ascii="Wingdings" w:hAnsi="Wingdings"/>
        </w:rPr>
        <w:t></w:t>
      </w:r>
    </w:p>
    <w:p w14:paraId="23EED8E2" w14:textId="77777777" w:rsidR="00CE6D9D" w:rsidRPr="00C659C4" w:rsidRDefault="00B47605" w:rsidP="00CE6D9D">
      <w:pPr>
        <w:pBdr>
          <w:top w:val="single" w:sz="2" w:space="1" w:color="auto"/>
          <w:left w:val="single" w:sz="2" w:space="4" w:color="auto"/>
          <w:bottom w:val="single" w:sz="2" w:space="1" w:color="auto"/>
          <w:right w:val="single" w:sz="2" w:space="4" w:color="auto"/>
        </w:pBdr>
        <w:spacing w:after="0"/>
        <w:jc w:val="center"/>
        <w:rPr>
          <w:b/>
        </w:rPr>
      </w:pPr>
      <w:r>
        <w:rPr>
          <w:b/>
        </w:rPr>
        <w:t>Evaluation</w:t>
      </w:r>
      <w:r w:rsidR="00C0046A">
        <w:rPr>
          <w:b/>
        </w:rPr>
        <w:t xml:space="preserve"> of the RJED grant opportunity</w:t>
      </w:r>
    </w:p>
    <w:p w14:paraId="1D031DCF" w14:textId="77777777" w:rsidR="00CE6D9D" w:rsidRDefault="00280F2D" w:rsidP="00CE6D9D">
      <w:pPr>
        <w:pBdr>
          <w:top w:val="single" w:sz="2" w:space="1" w:color="auto"/>
          <w:left w:val="single" w:sz="2" w:space="4" w:color="auto"/>
          <w:bottom w:val="single" w:sz="2" w:space="1" w:color="auto"/>
          <w:right w:val="single" w:sz="2" w:space="4" w:color="auto"/>
        </w:pBdr>
        <w:spacing w:after="0"/>
        <w:jc w:val="center"/>
      </w:pPr>
      <w:r>
        <w:t>NIAA</w:t>
      </w:r>
      <w:r w:rsidRPr="00C659C4">
        <w:t xml:space="preserve"> </w:t>
      </w:r>
      <w:r w:rsidR="00063F67">
        <w:t xml:space="preserve">may </w:t>
      </w:r>
      <w:r w:rsidR="00CE6D9D" w:rsidRPr="00C659C4">
        <w:t xml:space="preserve">evaluate </w:t>
      </w:r>
      <w:r w:rsidR="005A1754">
        <w:t>RJED</w:t>
      </w:r>
      <w:r w:rsidR="00CE6D9D" w:rsidRPr="00C659C4">
        <w:t xml:space="preserve"> as a whole</w:t>
      </w:r>
      <w:r>
        <w:t xml:space="preserve">, based </w:t>
      </w:r>
      <w:r w:rsidR="00CE6D9D" w:rsidRPr="00C659C4">
        <w:t xml:space="preserve">on information you provide and </w:t>
      </w:r>
      <w:r w:rsidR="006530B0">
        <w:t xml:space="preserve">which </w:t>
      </w:r>
      <w:r>
        <w:t>the NIAA</w:t>
      </w:r>
      <w:r w:rsidR="00CE6D9D" w:rsidRPr="00C659C4">
        <w:t xml:space="preserve"> collect</w:t>
      </w:r>
      <w:r>
        <w:t>s</w:t>
      </w:r>
      <w:r w:rsidR="00CE6D9D" w:rsidRPr="00C659C4">
        <w:t xml:space="preserve"> from various sources.</w:t>
      </w:r>
      <w:r w:rsidR="00CE6D9D" w:rsidRPr="00F40BDA">
        <w:t xml:space="preserve"> </w:t>
      </w:r>
    </w:p>
    <w:p w14:paraId="1B9B6186" w14:textId="77777777" w:rsidR="00843AFD" w:rsidRDefault="00843AFD">
      <w:pPr>
        <w:spacing w:before="0" w:after="0" w:line="240" w:lineRule="auto"/>
      </w:pPr>
      <w:r>
        <w:br w:type="page"/>
      </w:r>
    </w:p>
    <w:p w14:paraId="32F9048F" w14:textId="77777777" w:rsidR="00E00BAF" w:rsidRPr="00181A24" w:rsidRDefault="00E00BAF" w:rsidP="001C0F78">
      <w:pPr>
        <w:pStyle w:val="Heading3"/>
        <w:ind w:left="1134"/>
      </w:pPr>
      <w:bookmarkStart w:id="4" w:name="_Toc170734103"/>
      <w:r w:rsidRPr="00ED2F08">
        <w:t>Introduction</w:t>
      </w:r>
      <w:bookmarkEnd w:id="4"/>
    </w:p>
    <w:p w14:paraId="1630A23E" w14:textId="77777777" w:rsidR="00D3694B" w:rsidRDefault="00D3694B" w:rsidP="00D3694B">
      <w:r>
        <w:t xml:space="preserve">These guidelines contain information for the </w:t>
      </w:r>
      <w:r w:rsidR="00B47605">
        <w:t>Remote Jobs and Economic Development Program</w:t>
      </w:r>
      <w:r>
        <w:t xml:space="preserve"> </w:t>
      </w:r>
      <w:r w:rsidR="00D176FF">
        <w:t xml:space="preserve">(RJED) </w:t>
      </w:r>
      <w:r>
        <w:t xml:space="preserve">grants. </w:t>
      </w:r>
    </w:p>
    <w:p w14:paraId="62CCD227" w14:textId="77777777" w:rsidR="00E00BAF" w:rsidRPr="00E00BAF" w:rsidRDefault="00D3694B" w:rsidP="00D3694B">
      <w:r>
        <w:t>You must read these guidelines befo</w:t>
      </w:r>
      <w:r w:rsidR="0022237C">
        <w:t xml:space="preserve">re filling out an application. </w:t>
      </w:r>
      <w:r w:rsidR="00E00BAF" w:rsidRPr="00E00BAF">
        <w:t>This document sets out:</w:t>
      </w:r>
    </w:p>
    <w:p w14:paraId="66A713C2"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purpose of the grant program/grant opportunity</w:t>
      </w:r>
    </w:p>
    <w:p w14:paraId="32ADE167"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53AD03C9"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2F7707EB"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sidR="007114A2">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04778A4E"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r w:rsidR="00BD2810">
        <w:rPr>
          <w:rStyle w:val="highlightedtextChar"/>
          <w:rFonts w:ascii="Arial" w:hAnsi="Arial" w:cs="Arial"/>
          <w:b w:val="0"/>
          <w:color w:val="auto"/>
          <w:sz w:val="20"/>
          <w:szCs w:val="20"/>
        </w:rPr>
        <w:t xml:space="preserve"> and</w:t>
      </w:r>
    </w:p>
    <w:p w14:paraId="79019432" w14:textId="77777777" w:rsidR="00D176FF" w:rsidRPr="00D176FF" w:rsidRDefault="00E00BAF" w:rsidP="00D176FF">
      <w:pPr>
        <w:pStyle w:val="ListBullet"/>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 </w:t>
      </w:r>
    </w:p>
    <w:p w14:paraId="4C9F3567" w14:textId="31F07B9C" w:rsidR="00D176FF" w:rsidRDefault="00D176FF" w:rsidP="00D176FF">
      <w:pPr>
        <w:pStyle w:val="ListBullet"/>
        <w:numPr>
          <w:ilvl w:val="0"/>
          <w:numId w:val="0"/>
        </w:numPr>
        <w:ind w:left="360" w:hanging="360"/>
      </w:pPr>
      <w:r w:rsidRPr="00D176FF">
        <w:t>Any alterations and addenda</w:t>
      </w:r>
      <w:r w:rsidRPr="00D176FF">
        <w:rPr>
          <w:rStyle w:val="FootnoteReference"/>
        </w:rPr>
        <w:footnoteReference w:id="2"/>
      </w:r>
      <w:r w:rsidRPr="00D176FF">
        <w:t xml:space="preserve"> to these guidelines will be published on </w:t>
      </w:r>
      <w:hyperlink r:id="rId24" w:history="1">
        <w:r w:rsidRPr="00D176FF">
          <w:rPr>
            <w:rStyle w:val="Hyperlink"/>
          </w:rPr>
          <w:t>GrantConnect</w:t>
        </w:r>
      </w:hyperlink>
      <w:r w:rsidRPr="00D176FF">
        <w:t>.</w:t>
      </w:r>
      <w:r>
        <w:t xml:space="preserve"> </w:t>
      </w:r>
    </w:p>
    <w:p w14:paraId="2CE37D79" w14:textId="05BDF5BC" w:rsidR="00EC007F" w:rsidRPr="00901E5B" w:rsidRDefault="00EC007F" w:rsidP="00A4685F">
      <w:pPr>
        <w:pStyle w:val="Heading2"/>
        <w:numPr>
          <w:ilvl w:val="0"/>
          <w:numId w:val="8"/>
        </w:numPr>
      </w:pPr>
      <w:bookmarkStart w:id="5" w:name="_Toc170734104"/>
      <w:r w:rsidRPr="00901E5B">
        <w:t xml:space="preserve">About the </w:t>
      </w:r>
      <w:r>
        <w:t xml:space="preserve">RJED </w:t>
      </w:r>
      <w:r w:rsidRPr="00901E5B">
        <w:t>grant program</w:t>
      </w:r>
      <w:bookmarkEnd w:id="5"/>
    </w:p>
    <w:p w14:paraId="67713F55" w14:textId="3CA4A264" w:rsidR="00C0046A" w:rsidRPr="00A0201A" w:rsidRDefault="005A2004" w:rsidP="00C0046A">
      <w:pPr>
        <w:rPr>
          <w:rFonts w:cs="Arial"/>
        </w:rPr>
      </w:pPr>
      <w:bookmarkStart w:id="6" w:name="_Toc80776761"/>
      <w:r w:rsidRPr="00A0201A">
        <w:rPr>
          <w:rFonts w:cs="Arial"/>
        </w:rPr>
        <w:t xml:space="preserve">This opportunity is available under </w:t>
      </w:r>
      <w:r w:rsidRPr="00164415">
        <w:rPr>
          <w:rFonts w:cs="Arial"/>
        </w:rPr>
        <w:t xml:space="preserve">Program 1.1 </w:t>
      </w:r>
      <w:r w:rsidRPr="00311C2C">
        <w:rPr>
          <w:rFonts w:cs="Arial"/>
        </w:rPr>
        <w:t>- Jobs, Land and Econom</w:t>
      </w:r>
      <w:r>
        <w:rPr>
          <w:rFonts w:cs="Arial"/>
        </w:rPr>
        <w:t>y</w:t>
      </w:r>
      <w:r w:rsidRPr="00164415">
        <w:rPr>
          <w:rFonts w:cs="Arial"/>
        </w:rPr>
        <w:t xml:space="preserve"> of the </w:t>
      </w:r>
      <w:r w:rsidR="00C0046A" w:rsidRPr="00A0201A">
        <w:rPr>
          <w:rFonts w:cs="Arial"/>
        </w:rPr>
        <w:t>Indigenous Advancement Strategy (IAS)</w:t>
      </w:r>
      <w:r w:rsidRPr="00164415">
        <w:rPr>
          <w:rFonts w:cs="Arial"/>
        </w:rPr>
        <w:t xml:space="preserve">. The objectives and outcomes of this Program are available at </w:t>
      </w:r>
      <w:r w:rsidRPr="00164415">
        <w:rPr>
          <w:rFonts w:cs="Arial"/>
          <w:u w:val="single"/>
        </w:rPr>
        <w:t xml:space="preserve">Appendix </w:t>
      </w:r>
      <w:r>
        <w:rPr>
          <w:rFonts w:cs="Arial"/>
          <w:u w:val="single"/>
        </w:rPr>
        <w:t>A</w:t>
      </w:r>
      <w:r w:rsidRPr="00D15783">
        <w:t xml:space="preserve">. </w:t>
      </w:r>
      <w:r w:rsidR="00C0046A" w:rsidRPr="00A0201A">
        <w:rPr>
          <w:rFonts w:cs="Arial"/>
        </w:rPr>
        <w:t>The</w:t>
      </w:r>
      <w:r w:rsidR="00C0046A">
        <w:rPr>
          <w:rFonts w:cs="Arial"/>
        </w:rPr>
        <w:t xml:space="preserve"> IAS provides grant funding for activities that address areas of need for First Nations people that aligns with targets agreed under the </w:t>
      </w:r>
      <w:r w:rsidR="00C0046A" w:rsidRPr="00A0201A">
        <w:t>National Agreement on Closing the Gap</w:t>
      </w:r>
      <w:r w:rsidR="00C0046A">
        <w:t xml:space="preserve"> (CtG). For more information about CtG, see the </w:t>
      </w:r>
      <w:hyperlink r:id="rId25" w:history="1">
        <w:r w:rsidR="00C0046A" w:rsidRPr="00C0046A">
          <w:rPr>
            <w:rStyle w:val="Hyperlink"/>
          </w:rPr>
          <w:t>NIAA website</w:t>
        </w:r>
      </w:hyperlink>
      <w:r w:rsidR="00C0046A" w:rsidRPr="00C0046A">
        <w:t>.</w:t>
      </w:r>
    </w:p>
    <w:p w14:paraId="7E979823" w14:textId="77777777" w:rsidR="005A2004" w:rsidRPr="00A0201A" w:rsidRDefault="005A2004" w:rsidP="005A2004">
      <w:pPr>
        <w:rPr>
          <w:rFonts w:cs="Arial"/>
        </w:rPr>
      </w:pPr>
      <w:r w:rsidRPr="00A0201A">
        <w:rPr>
          <w:rFonts w:cs="Arial"/>
        </w:rPr>
        <w:t>The Agency administers the IAS according to the Commonwealth Grants Rules and Guidelines (</w:t>
      </w:r>
      <w:hyperlink r:id="rId26" w:history="1">
        <w:r w:rsidRPr="00E03F1D">
          <w:rPr>
            <w:rStyle w:val="Hyperlink"/>
          </w:rPr>
          <w:t>CGRGs</w:t>
        </w:r>
      </w:hyperlink>
      <w:r w:rsidRPr="00A0201A">
        <w:rPr>
          <w:rFonts w:cs="Arial"/>
        </w:rPr>
        <w:t>).</w:t>
      </w:r>
    </w:p>
    <w:p w14:paraId="18B46503" w14:textId="77777777" w:rsidR="00C0046A" w:rsidRDefault="005A2004" w:rsidP="005A2004">
      <w:r>
        <w:t xml:space="preserve">The Remote Jobs and Economic Development Program </w:t>
      </w:r>
      <w:r w:rsidRPr="005C7FE4">
        <w:t>(</w:t>
      </w:r>
      <w:r>
        <w:t>RJED, ‘</w:t>
      </w:r>
      <w:r w:rsidRPr="005C7FE4">
        <w:t>the</w:t>
      </w:r>
      <w:r w:rsidRPr="00045933">
        <w:t xml:space="preserve"> </w:t>
      </w:r>
      <w:r>
        <w:t>P</w:t>
      </w:r>
      <w:r w:rsidRPr="00045933">
        <w:t>rogram</w:t>
      </w:r>
      <w:r>
        <w:t>’</w:t>
      </w:r>
      <w:r w:rsidRPr="00045933">
        <w:t xml:space="preserve">) </w:t>
      </w:r>
      <w:r w:rsidR="00C0046A">
        <w:t>is a $707 million investment announced by the Government in February 2024</w:t>
      </w:r>
      <w:r w:rsidR="00095626">
        <w:t>.</w:t>
      </w:r>
      <w:r w:rsidR="00C0046A">
        <w:t xml:space="preserve"> </w:t>
      </w:r>
      <w:r w:rsidR="00095626">
        <w:t xml:space="preserve"> RJED is comprised of 2 elements</w:t>
      </w:r>
      <w:r w:rsidR="00C71712">
        <w:t>;</w:t>
      </w:r>
      <w:r w:rsidR="00095626">
        <w:t xml:space="preserve"> </w:t>
      </w:r>
      <w:r w:rsidR="00C71712">
        <w:t xml:space="preserve">Job Creation and the Community Business Fund. </w:t>
      </w:r>
      <w:r w:rsidR="00095626">
        <w:t xml:space="preserve">Under the Job </w:t>
      </w:r>
      <w:r w:rsidR="00C71712">
        <w:t xml:space="preserve">Creation element, RJED </w:t>
      </w:r>
      <w:r w:rsidR="00095626">
        <w:t>will</w:t>
      </w:r>
      <w:r w:rsidR="00C0046A">
        <w:t xml:space="preserve"> </w:t>
      </w:r>
      <w:r w:rsidR="003A277E">
        <w:t xml:space="preserve">initially </w:t>
      </w:r>
      <w:r w:rsidR="00792FBB">
        <w:t xml:space="preserve">fund </w:t>
      </w:r>
      <w:r w:rsidR="00DE5E90">
        <w:t xml:space="preserve">3,000 jobs to </w:t>
      </w:r>
      <w:r w:rsidR="00C0046A" w:rsidRPr="00C0046A">
        <w:t>provide people in remote communities with real jobs, proper wages and decent conditions</w:t>
      </w:r>
      <w:r w:rsidR="00C0046A">
        <w:t>.</w:t>
      </w:r>
      <w:r w:rsidR="00792FBB">
        <w:t xml:space="preserve"> </w:t>
      </w:r>
      <w:r w:rsidR="00C71712">
        <w:t>The</w:t>
      </w:r>
      <w:r w:rsidR="001F58E2">
        <w:t xml:space="preserve"> Community Jobs and Business Fund (CJBF) element </w:t>
      </w:r>
      <w:r w:rsidR="00C71712">
        <w:t>provides</w:t>
      </w:r>
      <w:r w:rsidR="001F58E2">
        <w:rPr>
          <w:lang w:val="en-US"/>
        </w:rPr>
        <w:t xml:space="preserve"> </w:t>
      </w:r>
      <w:r w:rsidR="00792FBB">
        <w:rPr>
          <w:lang w:val="en-US"/>
        </w:rPr>
        <w:t>funding for</w:t>
      </w:r>
      <w:r w:rsidR="00792FBB" w:rsidRPr="00B75D8E">
        <w:rPr>
          <w:lang w:val="en-US"/>
        </w:rPr>
        <w:t xml:space="preserve"> </w:t>
      </w:r>
      <w:r w:rsidR="00792FBB">
        <w:rPr>
          <w:lang w:val="en-US"/>
        </w:rPr>
        <w:t>minor</w:t>
      </w:r>
      <w:r w:rsidR="00792FBB" w:rsidRPr="00B75D8E">
        <w:rPr>
          <w:lang w:val="en-US"/>
        </w:rPr>
        <w:t xml:space="preserve"> </w:t>
      </w:r>
      <w:r w:rsidR="00792FBB">
        <w:rPr>
          <w:lang w:val="en-US"/>
        </w:rPr>
        <w:t>capital, equipment and capacity</w:t>
      </w:r>
      <w:r w:rsidR="00792FBB" w:rsidRPr="00B75D8E">
        <w:rPr>
          <w:lang w:val="en-US"/>
        </w:rPr>
        <w:t xml:space="preserve"> </w:t>
      </w:r>
      <w:r w:rsidR="00792FBB">
        <w:rPr>
          <w:lang w:val="en-US"/>
        </w:rPr>
        <w:t>building</w:t>
      </w:r>
      <w:r w:rsidR="003A277E">
        <w:rPr>
          <w:lang w:val="en-US"/>
        </w:rPr>
        <w:t xml:space="preserve"> directly supporting the new jobs</w:t>
      </w:r>
      <w:r w:rsidR="001F58E2">
        <w:t>.</w:t>
      </w:r>
    </w:p>
    <w:p w14:paraId="5B93E5F3" w14:textId="77777777" w:rsidR="00C0046A" w:rsidRDefault="00DE5E90" w:rsidP="005A2004">
      <w:r>
        <w:rPr>
          <w:rFonts w:cstheme="minorHAnsi"/>
        </w:rPr>
        <w:t>RJED is</w:t>
      </w:r>
      <w:r w:rsidRPr="0054703F">
        <w:rPr>
          <w:rFonts w:cstheme="minorHAnsi"/>
        </w:rPr>
        <w:t xml:space="preserve"> part of the Government’s phased approach towards replacing the Community De</w:t>
      </w:r>
      <w:r>
        <w:rPr>
          <w:rFonts w:cstheme="minorHAnsi"/>
        </w:rPr>
        <w:t>velopment Program (CDP)</w:t>
      </w:r>
      <w:r w:rsidRPr="0054703F">
        <w:rPr>
          <w:rFonts w:cstheme="minorHAnsi"/>
        </w:rPr>
        <w:t>.</w:t>
      </w:r>
      <w:r>
        <w:rPr>
          <w:rFonts w:cstheme="minorHAnsi"/>
        </w:rPr>
        <w:t xml:space="preserve"> </w:t>
      </w:r>
      <w:r w:rsidR="00C0046A" w:rsidRPr="00C0046A">
        <w:t xml:space="preserve">It will support remote communities </w:t>
      </w:r>
      <w:r w:rsidR="00425E42">
        <w:t xml:space="preserve">across </w:t>
      </w:r>
      <w:hyperlink r:id="rId27" w:history="1">
        <w:r w:rsidR="00425E42" w:rsidRPr="003A277E">
          <w:rPr>
            <w:rStyle w:val="Hyperlink"/>
          </w:rPr>
          <w:t xml:space="preserve">all </w:t>
        </w:r>
        <w:r w:rsidR="00700E12" w:rsidRPr="003A277E">
          <w:rPr>
            <w:rStyle w:val="Hyperlink"/>
          </w:rPr>
          <w:t xml:space="preserve">current </w:t>
        </w:r>
        <w:r w:rsidR="008C3663" w:rsidRPr="003A277E">
          <w:rPr>
            <w:rStyle w:val="Hyperlink"/>
          </w:rPr>
          <w:t xml:space="preserve">60 </w:t>
        </w:r>
        <w:r w:rsidR="00425E42" w:rsidRPr="003A277E">
          <w:rPr>
            <w:rStyle w:val="Hyperlink"/>
          </w:rPr>
          <w:t>CDP</w:t>
        </w:r>
      </w:hyperlink>
      <w:r w:rsidR="00425E42">
        <w:t xml:space="preserve"> regions </w:t>
      </w:r>
      <w:r w:rsidR="00C0046A" w:rsidRPr="00C0046A">
        <w:t xml:space="preserve">to determine local job priorities </w:t>
      </w:r>
      <w:r w:rsidR="00EE71CD">
        <w:t xml:space="preserve">and related projects </w:t>
      </w:r>
      <w:r w:rsidR="00C0046A" w:rsidRPr="00C0046A">
        <w:t xml:space="preserve">to increase economic opportunities in </w:t>
      </w:r>
      <w:r w:rsidR="003A277E">
        <w:t>these</w:t>
      </w:r>
      <w:r w:rsidR="003A277E" w:rsidRPr="00C0046A">
        <w:t xml:space="preserve"> </w:t>
      </w:r>
      <w:r w:rsidR="00C0046A" w:rsidRPr="00C0046A">
        <w:t>areas. </w:t>
      </w:r>
      <w:r>
        <w:t xml:space="preserve"> </w:t>
      </w:r>
    </w:p>
    <w:p w14:paraId="53E98E84" w14:textId="77777777" w:rsidR="00DE5E90" w:rsidRDefault="00DE5E90" w:rsidP="005A2004">
      <w:r>
        <w:t>Grant</w:t>
      </w:r>
      <w:r w:rsidR="005A2004" w:rsidRPr="008D7E4C">
        <w:t xml:space="preserve"> funding </w:t>
      </w:r>
      <w:r>
        <w:t>is</w:t>
      </w:r>
      <w:r w:rsidR="005A2004">
        <w:t xml:space="preserve"> </w:t>
      </w:r>
      <w:r w:rsidR="005A2004" w:rsidRPr="008D7E4C">
        <w:t xml:space="preserve">available to </w:t>
      </w:r>
      <w:r w:rsidR="005A2004" w:rsidRPr="00BA4CD0">
        <w:t>eligible organisations</w:t>
      </w:r>
      <w:r w:rsidR="005A2004" w:rsidRPr="008D7E4C">
        <w:t xml:space="preserve"> </w:t>
      </w:r>
      <w:r w:rsidR="005A2004">
        <w:t xml:space="preserve">in </w:t>
      </w:r>
      <w:r w:rsidR="005A2004" w:rsidRPr="00BA4CD0">
        <w:t>eligible locations</w:t>
      </w:r>
      <w:r w:rsidR="005A2004">
        <w:t xml:space="preserve"> </w:t>
      </w:r>
      <w:r w:rsidR="005A2004" w:rsidRPr="008D7E4C">
        <w:t xml:space="preserve">who </w:t>
      </w:r>
      <w:r w:rsidR="005A2004">
        <w:t>work with communities to</w:t>
      </w:r>
      <w:r w:rsidR="005A2004" w:rsidRPr="008D7E4C">
        <w:t xml:space="preserve"> identify jobs that align with local priorities</w:t>
      </w:r>
      <w:r w:rsidR="005A2004" w:rsidRPr="00BA4CD0">
        <w:t xml:space="preserve">. </w:t>
      </w:r>
    </w:p>
    <w:p w14:paraId="420D45BB" w14:textId="77777777" w:rsidR="00DE5E90" w:rsidRDefault="00EE71CD" w:rsidP="005A2004">
      <w:r>
        <w:t xml:space="preserve">RJED </w:t>
      </w:r>
      <w:r w:rsidR="00DE5E90">
        <w:t>will be delivered in 2024-25 through 2 grant rounds</w:t>
      </w:r>
      <w:r w:rsidR="003A277E">
        <w:t xml:space="preserve"> and support up to 930 jobs over 3 years</w:t>
      </w:r>
      <w:r w:rsidR="00DE5E90">
        <w:t xml:space="preserve">. RJED – Grant Round One </w:t>
      </w:r>
      <w:r>
        <w:t>will commence in September 2024</w:t>
      </w:r>
      <w:r w:rsidR="00DE5E90">
        <w:t xml:space="preserve">. RJED – Grant Round Two will commence in early 2025. </w:t>
      </w:r>
      <w:r>
        <w:t xml:space="preserve">Further </w:t>
      </w:r>
      <w:r w:rsidR="00DE5E90">
        <w:t>grant rounds will be</w:t>
      </w:r>
      <w:r>
        <w:t xml:space="preserve"> considered</w:t>
      </w:r>
      <w:r w:rsidR="00DE5E90">
        <w:t xml:space="preserve"> </w:t>
      </w:r>
      <w:r>
        <w:t xml:space="preserve">for 2025-26 and 2026-27, </w:t>
      </w:r>
      <w:r w:rsidR="00DE5E90">
        <w:t>informed by the outcomes of Round</w:t>
      </w:r>
      <w:r>
        <w:t>s</w:t>
      </w:r>
      <w:r w:rsidR="00DE5E90">
        <w:t xml:space="preserve"> One and Two.</w:t>
      </w:r>
    </w:p>
    <w:p w14:paraId="1238E05E" w14:textId="77777777" w:rsidR="005A2004" w:rsidRDefault="005A2004" w:rsidP="005A2004">
      <w:pPr>
        <w:spacing w:before="60" w:after="60"/>
        <w:rPr>
          <w:rStyle w:val="highlightedtextChar"/>
          <w:rFonts w:ascii="Arial" w:hAnsi="Arial" w:cs="Arial"/>
          <w:b w:val="0"/>
          <w:color w:val="auto"/>
          <w:sz w:val="20"/>
          <w:szCs w:val="20"/>
        </w:rPr>
      </w:pPr>
      <w:r w:rsidRPr="00011DA8">
        <w:rPr>
          <w:rFonts w:cstheme="minorHAnsi"/>
        </w:rPr>
        <w:t xml:space="preserve">The design of </w:t>
      </w:r>
      <w:r w:rsidR="005A1754">
        <w:rPr>
          <w:rFonts w:cstheme="minorHAnsi"/>
        </w:rPr>
        <w:t>RJED</w:t>
      </w:r>
      <w:r>
        <w:rPr>
          <w:rFonts w:cstheme="minorHAnsi"/>
        </w:rPr>
        <w:t xml:space="preserve"> </w:t>
      </w:r>
      <w:r w:rsidRPr="00837B04">
        <w:rPr>
          <w:rFonts w:cstheme="minorHAnsi"/>
        </w:rPr>
        <w:t>has incorporated</w:t>
      </w:r>
      <w:r>
        <w:rPr>
          <w:rFonts w:cstheme="minorHAnsi"/>
        </w:rPr>
        <w:t xml:space="preserve"> </w:t>
      </w:r>
      <w:r w:rsidRPr="00837B04">
        <w:rPr>
          <w:rStyle w:val="highlightedtextChar"/>
          <w:rFonts w:ascii="Arial" w:hAnsi="Arial" w:cs="Arial"/>
          <w:b w:val="0"/>
          <w:color w:val="auto"/>
          <w:sz w:val="20"/>
          <w:szCs w:val="20"/>
        </w:rPr>
        <w:t>learnings and evidence from the New Jobs Program Trial</w:t>
      </w:r>
      <w:r>
        <w:rPr>
          <w:rStyle w:val="highlightedtextChar"/>
          <w:rFonts w:ascii="Arial" w:hAnsi="Arial" w:cs="Arial"/>
          <w:b w:val="0"/>
          <w:color w:val="auto"/>
          <w:sz w:val="20"/>
          <w:szCs w:val="20"/>
        </w:rPr>
        <w:t>, CDP Trials</w:t>
      </w:r>
      <w:r w:rsidRPr="00837B04">
        <w:rPr>
          <w:rStyle w:val="highlightedtextChar"/>
          <w:rFonts w:ascii="Arial" w:hAnsi="Arial" w:cs="Arial"/>
          <w:b w:val="0"/>
          <w:color w:val="auto"/>
          <w:sz w:val="20"/>
          <w:szCs w:val="20"/>
        </w:rPr>
        <w:t xml:space="preserve"> and other relevant employment based programs delivered by NIAA</w:t>
      </w:r>
      <w:r>
        <w:rPr>
          <w:rStyle w:val="highlightedtextChar"/>
          <w:rFonts w:ascii="Arial" w:hAnsi="Arial" w:cs="Arial"/>
          <w:b w:val="0"/>
          <w:color w:val="auto"/>
          <w:sz w:val="20"/>
          <w:szCs w:val="20"/>
        </w:rPr>
        <w:t>. F</w:t>
      </w:r>
      <w:r w:rsidRPr="00837B04">
        <w:rPr>
          <w:rStyle w:val="highlightedtextChar"/>
          <w:rFonts w:ascii="Arial" w:hAnsi="Arial" w:cs="Arial"/>
          <w:b w:val="0"/>
          <w:color w:val="auto"/>
          <w:sz w:val="20"/>
          <w:szCs w:val="20"/>
        </w:rPr>
        <w:t>eedback provided through stakeholder and community consultation undertaken</w:t>
      </w:r>
      <w:r>
        <w:rPr>
          <w:rStyle w:val="highlightedtextChar"/>
          <w:rFonts w:ascii="Arial" w:hAnsi="Arial" w:cs="Arial"/>
          <w:b w:val="0"/>
          <w:color w:val="auto"/>
          <w:sz w:val="20"/>
          <w:szCs w:val="20"/>
        </w:rPr>
        <w:t xml:space="preserve"> in 2023 and 2024 has</w:t>
      </w:r>
      <w:r w:rsidR="00402EA1">
        <w:rPr>
          <w:rStyle w:val="highlightedtextChar"/>
          <w:rFonts w:ascii="Arial" w:hAnsi="Arial" w:cs="Arial"/>
          <w:b w:val="0"/>
          <w:color w:val="auto"/>
          <w:sz w:val="20"/>
          <w:szCs w:val="20"/>
        </w:rPr>
        <w:t xml:space="preserve"> and will continue to inform this grant opportunity and delivery of</w:t>
      </w:r>
      <w:r>
        <w:rPr>
          <w:rStyle w:val="highlightedtextChar"/>
          <w:rFonts w:ascii="Arial" w:hAnsi="Arial" w:cs="Arial"/>
          <w:b w:val="0"/>
          <w:color w:val="auto"/>
          <w:sz w:val="20"/>
          <w:szCs w:val="20"/>
        </w:rPr>
        <w:t xml:space="preserve"> </w:t>
      </w:r>
      <w:r w:rsidR="005A1754">
        <w:rPr>
          <w:rStyle w:val="highlightedtextChar"/>
          <w:rFonts w:ascii="Arial" w:hAnsi="Arial" w:cs="Arial"/>
          <w:b w:val="0"/>
          <w:color w:val="auto"/>
          <w:sz w:val="20"/>
          <w:szCs w:val="20"/>
        </w:rPr>
        <w:t>RJED</w:t>
      </w:r>
      <w:r w:rsidRPr="00837B04">
        <w:rPr>
          <w:rStyle w:val="highlightedtextChar"/>
          <w:rFonts w:ascii="Arial" w:hAnsi="Arial" w:cs="Arial"/>
          <w:b w:val="0"/>
          <w:color w:val="auto"/>
          <w:sz w:val="20"/>
          <w:szCs w:val="20"/>
        </w:rPr>
        <w:t>.</w:t>
      </w:r>
    </w:p>
    <w:p w14:paraId="2B0429ED" w14:textId="77777777" w:rsidR="005A1754" w:rsidRPr="00837B04" w:rsidRDefault="00402EA1" w:rsidP="005A2004">
      <w:pPr>
        <w:spacing w:before="60" w:after="60"/>
        <w:rPr>
          <w:rStyle w:val="highlightedtextChar"/>
          <w:rFonts w:ascii="Arial" w:hAnsi="Arial" w:cs="Arial"/>
          <w:b w:val="0"/>
          <w:color w:val="auto"/>
          <w:sz w:val="20"/>
          <w:szCs w:val="20"/>
        </w:rPr>
      </w:pPr>
      <w:r>
        <w:rPr>
          <w:rStyle w:val="highlightedtextChar"/>
          <w:rFonts w:ascii="Arial" w:hAnsi="Arial" w:cs="Arial"/>
          <w:b w:val="0"/>
          <w:color w:val="auto"/>
          <w:sz w:val="20"/>
          <w:szCs w:val="20"/>
        </w:rPr>
        <w:t>O</w:t>
      </w:r>
      <w:r w:rsidR="005A1754">
        <w:rPr>
          <w:rStyle w:val="highlightedtextChar"/>
          <w:rFonts w:ascii="Arial" w:hAnsi="Arial" w:cs="Arial"/>
          <w:b w:val="0"/>
          <w:color w:val="auto"/>
          <w:sz w:val="20"/>
          <w:szCs w:val="20"/>
        </w:rPr>
        <w:t xml:space="preserve">ngoing consultation </w:t>
      </w:r>
      <w:r>
        <w:rPr>
          <w:rStyle w:val="highlightedtextChar"/>
          <w:rFonts w:ascii="Arial" w:hAnsi="Arial" w:cs="Arial"/>
          <w:b w:val="0"/>
          <w:color w:val="auto"/>
          <w:sz w:val="20"/>
          <w:szCs w:val="20"/>
        </w:rPr>
        <w:t xml:space="preserve">will be conducted </w:t>
      </w:r>
      <w:r w:rsidR="005A1754">
        <w:rPr>
          <w:rStyle w:val="highlightedtextChar"/>
          <w:rFonts w:ascii="Arial" w:hAnsi="Arial" w:cs="Arial"/>
          <w:b w:val="0"/>
          <w:color w:val="auto"/>
          <w:sz w:val="20"/>
          <w:szCs w:val="20"/>
        </w:rPr>
        <w:t xml:space="preserve">with </w:t>
      </w:r>
      <w:r>
        <w:rPr>
          <w:rStyle w:val="highlightedtextChar"/>
          <w:rFonts w:ascii="Arial" w:hAnsi="Arial" w:cs="Arial"/>
          <w:b w:val="0"/>
          <w:color w:val="auto"/>
          <w:sz w:val="20"/>
          <w:szCs w:val="20"/>
        </w:rPr>
        <w:t xml:space="preserve">remote </w:t>
      </w:r>
      <w:r w:rsidR="005A1754">
        <w:rPr>
          <w:rStyle w:val="highlightedtextChar"/>
          <w:rFonts w:ascii="Arial" w:hAnsi="Arial" w:cs="Arial"/>
          <w:b w:val="0"/>
          <w:color w:val="auto"/>
          <w:sz w:val="20"/>
          <w:szCs w:val="20"/>
        </w:rPr>
        <w:t xml:space="preserve">communities </w:t>
      </w:r>
      <w:r>
        <w:rPr>
          <w:rStyle w:val="highlightedtextChar"/>
          <w:rFonts w:ascii="Arial" w:hAnsi="Arial" w:cs="Arial"/>
          <w:b w:val="0"/>
          <w:color w:val="auto"/>
          <w:sz w:val="20"/>
          <w:szCs w:val="20"/>
        </w:rPr>
        <w:t xml:space="preserve">and stakeholders </w:t>
      </w:r>
      <w:r w:rsidR="005A1754">
        <w:rPr>
          <w:rStyle w:val="highlightedtextChar"/>
          <w:rFonts w:ascii="Arial" w:hAnsi="Arial" w:cs="Arial"/>
          <w:b w:val="0"/>
          <w:color w:val="auto"/>
          <w:sz w:val="20"/>
          <w:szCs w:val="20"/>
        </w:rPr>
        <w:t>on RJED with opportunities to revise</w:t>
      </w:r>
      <w:r>
        <w:rPr>
          <w:rStyle w:val="highlightedtextChar"/>
          <w:rFonts w:ascii="Arial" w:hAnsi="Arial" w:cs="Arial"/>
          <w:b w:val="0"/>
          <w:color w:val="auto"/>
          <w:sz w:val="20"/>
          <w:szCs w:val="20"/>
        </w:rPr>
        <w:t xml:space="preserve"> and improve the program through</w:t>
      </w:r>
      <w:r w:rsidR="005A1754">
        <w:rPr>
          <w:rStyle w:val="highlightedtextChar"/>
          <w:rFonts w:ascii="Arial" w:hAnsi="Arial" w:cs="Arial"/>
          <w:b w:val="0"/>
          <w:color w:val="auto"/>
          <w:sz w:val="20"/>
          <w:szCs w:val="20"/>
        </w:rPr>
        <w:t xml:space="preserve"> future grant rounds.</w:t>
      </w:r>
    </w:p>
    <w:p w14:paraId="59C93047" w14:textId="77777777" w:rsidR="005A2004" w:rsidRDefault="005A2004" w:rsidP="005A2004">
      <w:r>
        <w:t xml:space="preserve">This </w:t>
      </w:r>
      <w:r w:rsidR="005A1754">
        <w:t xml:space="preserve">RJED </w:t>
      </w:r>
      <w:r>
        <w:t xml:space="preserve">grant opportunity contributes to the following </w:t>
      </w:r>
      <w:hyperlink r:id="rId28" w:history="1">
        <w:r>
          <w:rPr>
            <w:rStyle w:val="Hyperlink"/>
          </w:rPr>
          <w:t>Closing the Gap</w:t>
        </w:r>
      </w:hyperlink>
      <w:r>
        <w:t xml:space="preserve"> </w:t>
      </w:r>
      <w:r w:rsidRPr="004F7C53">
        <w:rPr>
          <w:b/>
        </w:rPr>
        <w:t>targets</w:t>
      </w:r>
      <w:r>
        <w:rPr>
          <w:b/>
        </w:rPr>
        <w:t xml:space="preserve"> and Priority Reforms</w:t>
      </w:r>
      <w:r>
        <w:t>:</w:t>
      </w:r>
    </w:p>
    <w:p w14:paraId="164E0310" w14:textId="77777777" w:rsidR="005A2004" w:rsidRPr="004F7C53" w:rsidRDefault="005A2004" w:rsidP="005A2004">
      <w:pPr>
        <w:pStyle w:val="ListBullet"/>
        <w:numPr>
          <w:ilvl w:val="0"/>
          <w:numId w:val="7"/>
        </w:numPr>
      </w:pPr>
      <w:r w:rsidRPr="004F7C53">
        <w:t>Target 7</w:t>
      </w:r>
      <w:r>
        <w:t xml:space="preserve"> </w:t>
      </w:r>
      <w:r w:rsidRPr="004F7C53">
        <w:t>–</w:t>
      </w:r>
      <w:r>
        <w:t xml:space="preserve"> </w:t>
      </w:r>
      <w:r w:rsidRPr="004F7C53">
        <w:t>By 2031, increase the proportion of Aboriginal and Torres Strait Islander youth (15-24 years) who are in employment, education or training to 67 per cent.</w:t>
      </w:r>
    </w:p>
    <w:p w14:paraId="49D84C89" w14:textId="77777777" w:rsidR="005A2004" w:rsidRPr="004F7C53" w:rsidRDefault="005A2004" w:rsidP="005A2004">
      <w:pPr>
        <w:pStyle w:val="ListBullet"/>
        <w:numPr>
          <w:ilvl w:val="0"/>
          <w:numId w:val="7"/>
        </w:numPr>
      </w:pPr>
      <w:r w:rsidRPr="004F7C53">
        <w:t>Target 8 –</w:t>
      </w:r>
      <w:r>
        <w:t xml:space="preserve"> </w:t>
      </w:r>
      <w:r w:rsidRPr="004F7C53">
        <w:t>By 2031, increase the proportion of Aboriginal and Torres Strait Islander people aged 25-64 who are employed to 62 per cent. A priority area will be the NT, where a high proportion of Indigenous people live in remote communities and are unemployed.</w:t>
      </w:r>
    </w:p>
    <w:p w14:paraId="09FD07CD" w14:textId="77777777" w:rsidR="005A2004" w:rsidRPr="004F7C53" w:rsidRDefault="005A2004" w:rsidP="005A2004">
      <w:pPr>
        <w:pStyle w:val="ListBullet"/>
        <w:numPr>
          <w:ilvl w:val="0"/>
          <w:numId w:val="7"/>
        </w:numPr>
      </w:pPr>
      <w:r w:rsidRPr="004F7C53">
        <w:t>Priority Reform One – Formal Partnerships and Shared Decision-making</w:t>
      </w:r>
    </w:p>
    <w:p w14:paraId="4B2109C1" w14:textId="77777777" w:rsidR="005A2004" w:rsidRPr="004F7C53" w:rsidRDefault="005A2004" w:rsidP="005A2004">
      <w:pPr>
        <w:pStyle w:val="ListBullet"/>
        <w:numPr>
          <w:ilvl w:val="0"/>
          <w:numId w:val="7"/>
        </w:numPr>
      </w:pPr>
      <w:r w:rsidRPr="004F7C53">
        <w:t>Priority Reform Two – Building the Community Controlled Sector</w:t>
      </w:r>
    </w:p>
    <w:p w14:paraId="4D80197D" w14:textId="77777777" w:rsidR="005A2004" w:rsidRPr="004F7C53" w:rsidRDefault="005A2004" w:rsidP="005A2004">
      <w:pPr>
        <w:pStyle w:val="ListBullet"/>
        <w:numPr>
          <w:ilvl w:val="0"/>
          <w:numId w:val="7"/>
        </w:numPr>
      </w:pPr>
      <w:r w:rsidRPr="004F7C53">
        <w:t>Priority Reform Three – Transforming Government Organisations</w:t>
      </w:r>
    </w:p>
    <w:p w14:paraId="465EAB39" w14:textId="77777777" w:rsidR="005A2004" w:rsidRPr="004F7C53" w:rsidRDefault="005A2004" w:rsidP="005A2004">
      <w:pPr>
        <w:pStyle w:val="ListBullet"/>
        <w:numPr>
          <w:ilvl w:val="0"/>
          <w:numId w:val="7"/>
        </w:numPr>
      </w:pPr>
      <w:r w:rsidRPr="004F7C53">
        <w:t>Priority Reform Four – Shared Access to Data and Information at a Regional Level</w:t>
      </w:r>
    </w:p>
    <w:p w14:paraId="38DB893E" w14:textId="77777777" w:rsidR="005A2004" w:rsidRDefault="005A2004" w:rsidP="005A2004">
      <w:pPr>
        <w:rPr>
          <w:rFonts w:cs="Arial"/>
          <w:b/>
        </w:rPr>
      </w:pPr>
      <w:r w:rsidRPr="00192AA9">
        <w:rPr>
          <w:rFonts w:cs="Arial"/>
        </w:rPr>
        <w:t>Th</w:t>
      </w:r>
      <w:r>
        <w:rPr>
          <w:rFonts w:cs="Arial"/>
        </w:rPr>
        <w:t xml:space="preserve">is grant opportunity will contribute to these targets through the following </w:t>
      </w:r>
      <w:r w:rsidRPr="00D176FF">
        <w:rPr>
          <w:rFonts w:cs="Arial"/>
        </w:rPr>
        <w:t>objectives</w:t>
      </w:r>
      <w:r>
        <w:rPr>
          <w:rFonts w:cs="Arial"/>
        </w:rPr>
        <w:t xml:space="preserve">, </w:t>
      </w:r>
      <w:r w:rsidRPr="003C743F">
        <w:t>which align with the IAS 1.1 program, to</w:t>
      </w:r>
      <w:r w:rsidRPr="003C743F">
        <w:rPr>
          <w:rFonts w:cs="Arial"/>
        </w:rPr>
        <w:t>:</w:t>
      </w:r>
    </w:p>
    <w:p w14:paraId="592CD9B4" w14:textId="77777777" w:rsidR="005A2004" w:rsidRPr="00DD317E" w:rsidRDefault="005A2004" w:rsidP="005A2004">
      <w:pPr>
        <w:pStyle w:val="ListBullet"/>
        <w:numPr>
          <w:ilvl w:val="0"/>
          <w:numId w:val="7"/>
        </w:numPr>
      </w:pPr>
      <w:r w:rsidRPr="00DD317E">
        <w:t>fund the creation of</w:t>
      </w:r>
      <w:r>
        <w:t xml:space="preserve"> 3,000</w:t>
      </w:r>
      <w:r w:rsidRPr="00DD317E">
        <w:t xml:space="preserve"> new jobs </w:t>
      </w:r>
      <w:r w:rsidR="00DE5E90">
        <w:t xml:space="preserve">over 3 years </w:t>
      </w:r>
      <w:r w:rsidRPr="00DD317E">
        <w:t xml:space="preserve">in remote communities </w:t>
      </w:r>
      <w:r>
        <w:t>that are prioritised by local communities, with a pathway to sustainable employment</w:t>
      </w:r>
    </w:p>
    <w:p w14:paraId="28A8A17D" w14:textId="77777777" w:rsidR="005A2004" w:rsidRPr="00AA37D5" w:rsidRDefault="005A2004" w:rsidP="005A2004">
      <w:pPr>
        <w:pStyle w:val="ListBullet"/>
        <w:numPr>
          <w:ilvl w:val="0"/>
          <w:numId w:val="7"/>
        </w:numPr>
        <w:rPr>
          <w:rStyle w:val="highlightedtextChar"/>
          <w:rFonts w:ascii="Arial" w:hAnsi="Arial" w:cs="Arial"/>
          <w:b w:val="0"/>
          <w:color w:val="auto"/>
          <w:sz w:val="20"/>
          <w:szCs w:val="20"/>
        </w:rPr>
      </w:pPr>
      <w:r w:rsidRPr="00AA37D5">
        <w:rPr>
          <w:rStyle w:val="highlightedtextChar"/>
          <w:rFonts w:ascii="Arial" w:hAnsi="Arial" w:cs="Arial"/>
          <w:b w:val="0"/>
          <w:color w:val="auto"/>
          <w:sz w:val="20"/>
          <w:szCs w:val="20"/>
        </w:rPr>
        <w:t xml:space="preserve">support employees </w:t>
      </w:r>
      <w:r>
        <w:rPr>
          <w:rStyle w:val="highlightedtextChar"/>
          <w:rFonts w:ascii="Arial" w:hAnsi="Arial" w:cs="Arial"/>
          <w:b w:val="0"/>
          <w:color w:val="auto"/>
          <w:sz w:val="20"/>
          <w:szCs w:val="20"/>
        </w:rPr>
        <w:t>in</w:t>
      </w:r>
      <w:r w:rsidRPr="00AA37D5">
        <w:rPr>
          <w:rStyle w:val="highlightedtextChar"/>
          <w:rFonts w:ascii="Arial" w:hAnsi="Arial" w:cs="Arial"/>
          <w:b w:val="0"/>
          <w:color w:val="auto"/>
          <w:sz w:val="20"/>
          <w:szCs w:val="20"/>
        </w:rPr>
        <w:t xml:space="preserve"> new jobs to gain relevant work experience and skills for future employment </w:t>
      </w:r>
    </w:p>
    <w:p w14:paraId="6847FCBE" w14:textId="77777777" w:rsidR="005A2004" w:rsidRPr="00AA37D5" w:rsidRDefault="00C71F86" w:rsidP="005A2004">
      <w:pPr>
        <w:pStyle w:val="ListBullet"/>
        <w:numPr>
          <w:ilvl w:val="0"/>
          <w:numId w:val="7"/>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support</w:t>
      </w:r>
      <w:r w:rsidRPr="00AA37D5">
        <w:rPr>
          <w:rStyle w:val="highlightedtextChar"/>
          <w:rFonts w:ascii="Arial" w:hAnsi="Arial" w:cs="Arial"/>
          <w:b w:val="0"/>
          <w:color w:val="auto"/>
          <w:sz w:val="20"/>
          <w:szCs w:val="20"/>
        </w:rPr>
        <w:t xml:space="preserve"> </w:t>
      </w:r>
      <w:r w:rsidR="005A2004">
        <w:rPr>
          <w:rStyle w:val="highlightedtextChar"/>
          <w:rFonts w:ascii="Arial" w:hAnsi="Arial" w:cs="Arial"/>
          <w:b w:val="0"/>
          <w:color w:val="auto"/>
          <w:sz w:val="20"/>
          <w:szCs w:val="20"/>
        </w:rPr>
        <w:t>eligible</w:t>
      </w:r>
      <w:r w:rsidR="005A2004" w:rsidRPr="00AA37D5">
        <w:rPr>
          <w:rStyle w:val="highlightedtextChar"/>
          <w:rFonts w:ascii="Arial" w:hAnsi="Arial" w:cs="Arial"/>
          <w:b w:val="0"/>
          <w:color w:val="auto"/>
          <w:sz w:val="20"/>
          <w:szCs w:val="20"/>
        </w:rPr>
        <w:t xml:space="preserve"> organisations to deliver programs, services and opportunities communities want and need</w:t>
      </w:r>
      <w:r w:rsidR="00EE71CD">
        <w:rPr>
          <w:rStyle w:val="highlightedtextChar"/>
          <w:rFonts w:ascii="Arial" w:hAnsi="Arial" w:cs="Arial"/>
          <w:b w:val="0"/>
          <w:color w:val="auto"/>
          <w:sz w:val="20"/>
          <w:szCs w:val="20"/>
        </w:rPr>
        <w:t xml:space="preserve"> and </w:t>
      </w:r>
    </w:p>
    <w:p w14:paraId="2CB7F80A" w14:textId="77777777" w:rsidR="005A2004" w:rsidRPr="00AA37D5" w:rsidRDefault="005A2004" w:rsidP="005A2004">
      <w:pPr>
        <w:pStyle w:val="ListBullet"/>
        <w:numPr>
          <w:ilvl w:val="0"/>
          <w:numId w:val="7"/>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Properly resource organisations with </w:t>
      </w:r>
      <w:r w:rsidRPr="00AA37D5">
        <w:rPr>
          <w:rStyle w:val="highlightedtextChar"/>
          <w:rFonts w:ascii="Arial" w:hAnsi="Arial" w:cs="Arial"/>
          <w:b w:val="0"/>
          <w:color w:val="auto"/>
          <w:sz w:val="20"/>
          <w:szCs w:val="20"/>
        </w:rPr>
        <w:t>fund</w:t>
      </w:r>
      <w:r>
        <w:rPr>
          <w:rStyle w:val="highlightedtextChar"/>
          <w:rFonts w:ascii="Arial" w:hAnsi="Arial" w:cs="Arial"/>
          <w:b w:val="0"/>
          <w:color w:val="auto"/>
          <w:sz w:val="20"/>
          <w:szCs w:val="20"/>
        </w:rPr>
        <w:t>ing for minor</w:t>
      </w:r>
      <w:r w:rsidRPr="00AA37D5">
        <w:rPr>
          <w:rStyle w:val="highlightedtextChar"/>
          <w:rFonts w:ascii="Arial" w:hAnsi="Arial" w:cs="Arial"/>
          <w:b w:val="0"/>
          <w:color w:val="auto"/>
          <w:sz w:val="20"/>
          <w:szCs w:val="20"/>
        </w:rPr>
        <w:t xml:space="preserve"> capital, equipment and capacity building to complement jobs created through the program</w:t>
      </w:r>
    </w:p>
    <w:p w14:paraId="28B36A81" w14:textId="77777777" w:rsidR="005A2004" w:rsidRDefault="005A2004" w:rsidP="005A2004">
      <w:pPr>
        <w:rPr>
          <w:rStyle w:val="highlightedtextChar"/>
          <w:b w:val="0"/>
          <w:color w:val="auto"/>
        </w:rPr>
      </w:pPr>
      <w:r w:rsidRPr="00AA37D5">
        <w:rPr>
          <w:rStyle w:val="highlightedtextChar"/>
          <w:rFonts w:ascii="Arial" w:hAnsi="Arial" w:cs="Arial"/>
          <w:b w:val="0"/>
          <w:iCs/>
          <w:color w:val="auto"/>
          <w:sz w:val="20"/>
          <w:szCs w:val="20"/>
        </w:rPr>
        <w:t>The</w:t>
      </w:r>
      <w:r w:rsidRPr="00045933">
        <w:t xml:space="preserve"> </w:t>
      </w:r>
      <w:r w:rsidR="00D849FE">
        <w:t xml:space="preserve">purpose of the RJED program and </w:t>
      </w:r>
      <w:r>
        <w:t>intended</w:t>
      </w:r>
      <w:r w:rsidRPr="00045933">
        <w:t xml:space="preserve"> outcomes of </w:t>
      </w:r>
      <w:r>
        <w:t xml:space="preserve">the grant opportunity are: </w:t>
      </w:r>
    </w:p>
    <w:p w14:paraId="0609ACA9" w14:textId="77777777" w:rsidR="005A2004" w:rsidRPr="006F46E9" w:rsidRDefault="005A2004" w:rsidP="005A2004">
      <w:pPr>
        <w:pStyle w:val="ListBullet"/>
        <w:numPr>
          <w:ilvl w:val="0"/>
          <w:numId w:val="7"/>
        </w:numPr>
      </w:pPr>
      <w:r w:rsidRPr="006F46E9">
        <w:t>improving employment outcomes for participants and</w:t>
      </w:r>
      <w:r>
        <w:t xml:space="preserve"> remote</w:t>
      </w:r>
      <w:r w:rsidRPr="006F46E9">
        <w:t xml:space="preserve"> communities</w:t>
      </w:r>
      <w:r>
        <w:t xml:space="preserve"> through the creation of</w:t>
      </w:r>
      <w:r w:rsidRPr="006F46E9">
        <w:t xml:space="preserve"> culturally appropriate and meaningful work</w:t>
      </w:r>
      <w:r>
        <w:t xml:space="preserve"> </w:t>
      </w:r>
    </w:p>
    <w:p w14:paraId="3C31820C" w14:textId="77777777" w:rsidR="005A2004" w:rsidRPr="006F46E9" w:rsidRDefault="005A2004" w:rsidP="005A2004">
      <w:pPr>
        <w:pStyle w:val="ListBullet"/>
        <w:numPr>
          <w:ilvl w:val="0"/>
          <w:numId w:val="7"/>
        </w:numPr>
      </w:pPr>
      <w:r>
        <w:t>i</w:t>
      </w:r>
      <w:r w:rsidRPr="006F46E9">
        <w:t xml:space="preserve">ncreasing the number of </w:t>
      </w:r>
      <w:r>
        <w:t>jobs available</w:t>
      </w:r>
      <w:r w:rsidRPr="006F46E9">
        <w:t xml:space="preserve"> and flow-on effects of direct jobs in community and local business sectors, </w:t>
      </w:r>
      <w:r>
        <w:t xml:space="preserve">including building local economies and </w:t>
      </w:r>
      <w:r w:rsidRPr="006F46E9">
        <w:t>delivering more services in remote communities</w:t>
      </w:r>
    </w:p>
    <w:p w14:paraId="5256D81B" w14:textId="77777777" w:rsidR="005A2004" w:rsidRDefault="005A2004" w:rsidP="005A2004">
      <w:pPr>
        <w:pStyle w:val="ListBullet"/>
        <w:numPr>
          <w:ilvl w:val="0"/>
          <w:numId w:val="7"/>
        </w:numPr>
      </w:pPr>
      <w:r>
        <w:t>i</w:t>
      </w:r>
      <w:r w:rsidRPr="00E41289">
        <w:t>ncreasing opportunities for local businesses and organisati</w:t>
      </w:r>
      <w:r>
        <w:t>ons to train and recruit locals,</w:t>
      </w:r>
    </w:p>
    <w:p w14:paraId="68AD642A" w14:textId="77777777" w:rsidR="005A2004" w:rsidRDefault="005A2004" w:rsidP="005A2004">
      <w:pPr>
        <w:pStyle w:val="ListBullet"/>
        <w:numPr>
          <w:ilvl w:val="0"/>
          <w:numId w:val="7"/>
        </w:numPr>
      </w:pPr>
      <w:r>
        <w:t xml:space="preserve">increasing the number of people employed with connection to country and community </w:t>
      </w:r>
    </w:p>
    <w:p w14:paraId="5EE88FB9" w14:textId="77777777" w:rsidR="005A2004" w:rsidRPr="006F46E9" w:rsidRDefault="005A2004" w:rsidP="005A2004">
      <w:pPr>
        <w:pStyle w:val="ListBullet"/>
        <w:numPr>
          <w:ilvl w:val="0"/>
          <w:numId w:val="7"/>
        </w:numPr>
      </w:pPr>
      <w:r w:rsidRPr="006F46E9">
        <w:t>increasing socio-economic and wellbeing outcomes</w:t>
      </w:r>
      <w:r>
        <w:t xml:space="preserve">, including </w:t>
      </w:r>
      <w:r w:rsidRPr="006F46E9">
        <w:t>increas</w:t>
      </w:r>
      <w:r>
        <w:t>ed</w:t>
      </w:r>
      <w:r w:rsidRPr="006F46E9">
        <w:t xml:space="preserve"> community self-determination</w:t>
      </w:r>
      <w:r>
        <w:t>,</w:t>
      </w:r>
      <w:r w:rsidRPr="006F46E9">
        <w:t xml:space="preserve"> through economic empowerment</w:t>
      </w:r>
      <w:r>
        <w:t>.</w:t>
      </w:r>
    </w:p>
    <w:p w14:paraId="1ADE9EB3" w14:textId="77777777" w:rsidR="00D176FF" w:rsidRPr="001A17C7" w:rsidRDefault="00D176FF" w:rsidP="009F02A2">
      <w:pPr>
        <w:pStyle w:val="Heading3"/>
        <w:numPr>
          <w:ilvl w:val="1"/>
          <w:numId w:val="38"/>
        </w:numPr>
        <w:ind w:left="1134"/>
      </w:pPr>
      <w:bookmarkStart w:id="7" w:name="_Toc170734105"/>
      <w:r w:rsidRPr="001A17C7">
        <w:t>NIAA regional presence and National Office</w:t>
      </w:r>
      <w:bookmarkEnd w:id="6"/>
      <w:bookmarkEnd w:id="7"/>
    </w:p>
    <w:p w14:paraId="697B017B" w14:textId="77777777" w:rsidR="005A2004" w:rsidRPr="001A17C7" w:rsidRDefault="005A2004" w:rsidP="005A2004">
      <w:pPr>
        <w:spacing w:before="0"/>
        <w:rPr>
          <w:rFonts w:cs="Arial"/>
        </w:rPr>
      </w:pPr>
      <w:r w:rsidRPr="001A17C7">
        <w:rPr>
          <w:rFonts w:cs="Arial"/>
        </w:rPr>
        <w:t xml:space="preserve">The Agency has a regional presence (the NIAA Regional Offices) across Australia. We have offices in capital cities, and regional and remote locations. Staff from these offices routinely visit over 400 communities. We also have an Agency officer in residence in nearly 50 Indigenous communities. </w:t>
      </w:r>
    </w:p>
    <w:p w14:paraId="2EF4BE53" w14:textId="77777777" w:rsidR="005A2004" w:rsidRPr="001A17C7" w:rsidRDefault="005A2004" w:rsidP="005A2004">
      <w:pPr>
        <w:rPr>
          <w:rFonts w:cs="Arial"/>
        </w:rPr>
      </w:pPr>
      <w:r w:rsidRPr="001A17C7">
        <w:rPr>
          <w:rFonts w:cs="Arial"/>
        </w:rPr>
        <w:t xml:space="preserve">Agency staff in NIAA Regional Offices can provide information about the IAS, including whether a proposal is or is not consistent with regional priorities. A list of </w:t>
      </w:r>
      <w:r w:rsidRPr="001A17C7">
        <w:t>NIAA Regional Offices</w:t>
      </w:r>
      <w:r w:rsidRPr="001A17C7">
        <w:rPr>
          <w:rFonts w:cs="Arial"/>
        </w:rPr>
        <w:t xml:space="preserve"> and contact details </w:t>
      </w:r>
      <w:r w:rsidRPr="00B12BAC">
        <w:rPr>
          <w:rFonts w:cs="Arial"/>
        </w:rPr>
        <w:t xml:space="preserve">is available </w:t>
      </w:r>
      <w:hyperlink r:id="rId29" w:history="1">
        <w:r w:rsidRPr="00B12BAC">
          <w:rPr>
            <w:rStyle w:val="Hyperlink"/>
            <w:rFonts w:cs="Arial"/>
          </w:rPr>
          <w:t>here</w:t>
        </w:r>
      </w:hyperlink>
      <w:r w:rsidRPr="00B12BAC">
        <w:rPr>
          <w:rFonts w:cs="Arial"/>
        </w:rPr>
        <w:t>.</w:t>
      </w:r>
    </w:p>
    <w:p w14:paraId="7E364C8B" w14:textId="77777777" w:rsidR="005A2004" w:rsidRPr="001A17C7" w:rsidRDefault="005A2004" w:rsidP="005A2004">
      <w:pPr>
        <w:rPr>
          <w:rFonts w:cs="Arial"/>
        </w:rPr>
      </w:pPr>
      <w:r w:rsidRPr="001A17C7">
        <w:rPr>
          <w:rFonts w:cs="Arial"/>
        </w:rPr>
        <w:t xml:space="preserve">The NIAA Regional Offices work in partnership with Indigenous Australians, their communities and other stakeholders to develop solutions tailored to address local need. Solutions may involve the implementation of several complementary activities working together to address a particular issue or challenge. </w:t>
      </w:r>
    </w:p>
    <w:p w14:paraId="04235AE6" w14:textId="77777777" w:rsidR="005A2004" w:rsidRPr="001A17C7" w:rsidRDefault="005A2004" w:rsidP="005A2004">
      <w:pPr>
        <w:spacing w:after="240"/>
        <w:rPr>
          <w:rFonts w:cs="Arial"/>
        </w:rPr>
      </w:pPr>
      <w:r w:rsidRPr="001A17C7">
        <w:rPr>
          <w:rFonts w:cs="Arial"/>
        </w:rPr>
        <w:t>The NIAA Regional Offices have strong relationships with other Australian Government agencies and departments; state; territory and local government, as well as non-government and industry partners. Staff within each region work with these groups to ensure applications complement existing services and leverage local opportunities.</w:t>
      </w:r>
    </w:p>
    <w:p w14:paraId="5B62DA55" w14:textId="77777777" w:rsidR="00D176FF" w:rsidRPr="001A17C7" w:rsidRDefault="005A2004" w:rsidP="005A2004">
      <w:pPr>
        <w:spacing w:after="360"/>
        <w:rPr>
          <w:rFonts w:cs="Arial"/>
        </w:rPr>
      </w:pPr>
      <w:r w:rsidRPr="001A17C7">
        <w:rPr>
          <w:rFonts w:cs="Arial"/>
        </w:rPr>
        <w:t>The NIAA National Office, based in Canberra, provides national oversight, policy advice and program management and support to the NIAA Regional Offices in the implementation of the IAS</w:t>
      </w:r>
      <w:r w:rsidR="00D176FF" w:rsidRPr="001A17C7">
        <w:rPr>
          <w:rFonts w:cs="Arial"/>
        </w:rPr>
        <w:t>.</w:t>
      </w:r>
    </w:p>
    <w:p w14:paraId="7A5ED23B" w14:textId="3190C25F" w:rsidR="000E08D0" w:rsidRPr="00901E5B" w:rsidRDefault="000E08D0" w:rsidP="009F02A2">
      <w:pPr>
        <w:pStyle w:val="Heading2"/>
        <w:numPr>
          <w:ilvl w:val="0"/>
          <w:numId w:val="38"/>
        </w:numPr>
      </w:pPr>
      <w:bookmarkStart w:id="8" w:name="_Toc170734106"/>
      <w:r w:rsidRPr="00901E5B">
        <w:t>Grant</w:t>
      </w:r>
      <w:r w:rsidR="00B62A3A" w:rsidRPr="00901E5B">
        <w:t xml:space="preserve"> amount</w:t>
      </w:r>
      <w:r w:rsidR="00492E57" w:rsidRPr="00901E5B">
        <w:t xml:space="preserve"> </w:t>
      </w:r>
      <w:r w:rsidR="00D450B6" w:rsidRPr="00901E5B">
        <w:t>and grant period</w:t>
      </w:r>
      <w:bookmarkEnd w:id="8"/>
    </w:p>
    <w:p w14:paraId="22B41C18" w14:textId="77777777" w:rsidR="001E60B8" w:rsidRDefault="001E60B8" w:rsidP="001C0F78">
      <w:pPr>
        <w:pStyle w:val="Heading3"/>
        <w:ind w:left="1134"/>
      </w:pPr>
      <w:bookmarkStart w:id="9" w:name="_Toc170734107"/>
      <w:r>
        <w:t>Grants available</w:t>
      </w:r>
      <w:bookmarkEnd w:id="9"/>
    </w:p>
    <w:p w14:paraId="72A68587" w14:textId="77777777" w:rsidR="005A2004" w:rsidRPr="00E51433" w:rsidRDefault="005A2004" w:rsidP="005A2004">
      <w:pPr>
        <w:pStyle w:val="ListBullet"/>
        <w:numPr>
          <w:ilvl w:val="0"/>
          <w:numId w:val="0"/>
        </w:numPr>
        <w:rPr>
          <w:rFonts w:cs="Arial"/>
        </w:rPr>
      </w:pPr>
      <w:r>
        <w:t xml:space="preserve">The Australian Government announced in February 2024 a total of $707.6 million </w:t>
      </w:r>
      <w:r w:rsidRPr="00BF29D1">
        <w:t xml:space="preserve">(GST exclusive) over </w:t>
      </w:r>
      <w:r w:rsidR="006146DF">
        <w:t xml:space="preserve">4 </w:t>
      </w:r>
      <w:r>
        <w:t>years</w:t>
      </w:r>
      <w:r w:rsidRPr="00BF29D1">
        <w:t xml:space="preserve"> for </w:t>
      </w:r>
      <w:r w:rsidR="005A1754">
        <w:t>RJED</w:t>
      </w:r>
      <w:r w:rsidRPr="00BF29D1">
        <w:t xml:space="preserve">. </w:t>
      </w:r>
    </w:p>
    <w:p w14:paraId="795D90D0" w14:textId="77777777" w:rsidR="005A2004" w:rsidRPr="0061161F" w:rsidRDefault="00AA1867" w:rsidP="005A2004">
      <w:r w:rsidRPr="0061161F">
        <w:t xml:space="preserve">For the RJED Grant Round One, up to $XYZ million (GST exclusive) is available over 3 years (2024-25 to </w:t>
      </w:r>
      <w:r w:rsidR="00456D6A" w:rsidRPr="0061161F">
        <w:t>2026-2027</w:t>
      </w:r>
      <w:r w:rsidRPr="0061161F">
        <w:t>)</w:t>
      </w:r>
      <w:r w:rsidR="005A2004" w:rsidRPr="0061161F">
        <w:t xml:space="preserve">.  </w:t>
      </w:r>
    </w:p>
    <w:p w14:paraId="158976AC" w14:textId="77777777" w:rsidR="00AA1867" w:rsidRPr="0061161F" w:rsidRDefault="00AA1867" w:rsidP="00AA1867">
      <w:r w:rsidRPr="0061161F">
        <w:t xml:space="preserve">For the RJED Grant Round Two, up to $XYZ million (GST exclusive) is available over 3 years (2024-25 to </w:t>
      </w:r>
      <w:r w:rsidR="00456D6A" w:rsidRPr="0061161F">
        <w:t>2026-2027</w:t>
      </w:r>
      <w:r w:rsidRPr="0061161F">
        <w:t xml:space="preserve">).  </w:t>
      </w:r>
    </w:p>
    <w:p w14:paraId="7AFCE7A4" w14:textId="77777777" w:rsidR="006129A5" w:rsidRDefault="006129A5" w:rsidP="00AA1867">
      <w:pPr>
        <w:pStyle w:val="ListBullet"/>
        <w:numPr>
          <w:ilvl w:val="0"/>
          <w:numId w:val="0"/>
        </w:numPr>
      </w:pPr>
      <w:r w:rsidRPr="006129A5">
        <w:t xml:space="preserve">The amount of funding for each grant will be determined by the number of jobs approved, the award rate for each of those jobs and the amount of CJBF support requested. </w:t>
      </w:r>
    </w:p>
    <w:p w14:paraId="1FB12D13" w14:textId="668AEEED" w:rsidR="00AA1867" w:rsidRPr="00901E5B" w:rsidRDefault="00101DF8" w:rsidP="00AA1867">
      <w:pPr>
        <w:pStyle w:val="ListBullet"/>
        <w:numPr>
          <w:ilvl w:val="0"/>
          <w:numId w:val="0"/>
        </w:numPr>
      </w:pPr>
      <w:r>
        <w:t xml:space="preserve">The total of grants awarded </w:t>
      </w:r>
      <w:r w:rsidR="00AA1867">
        <w:t>cannot exceed the amount of available funds</w:t>
      </w:r>
      <w:r>
        <w:t xml:space="preserve"> and</w:t>
      </w:r>
      <w:r w:rsidR="00AA1867">
        <w:t xml:space="preserve"> </w:t>
      </w:r>
      <w:r w:rsidR="005A1754">
        <w:t>maximum</w:t>
      </w:r>
      <w:r w:rsidR="00AA1867">
        <w:t xml:space="preserve"> amounts will be awarded for certain types of expenditure (see section </w:t>
      </w:r>
      <w:r w:rsidR="006146DF">
        <w:t>5.</w:t>
      </w:r>
      <w:r>
        <w:t>5</w:t>
      </w:r>
      <w:r w:rsidR="006146DF">
        <w:t>)</w:t>
      </w:r>
    </w:p>
    <w:p w14:paraId="6B1AE287" w14:textId="77777777" w:rsidR="00AA1867" w:rsidRDefault="005A2004" w:rsidP="005A2004">
      <w:pPr>
        <w:pStyle w:val="ListBullet"/>
        <w:numPr>
          <w:ilvl w:val="0"/>
          <w:numId w:val="0"/>
        </w:numPr>
        <w:spacing w:after="120"/>
      </w:pPr>
      <w:r w:rsidRPr="001A17C7">
        <w:t xml:space="preserve">The NIAA will consider value </w:t>
      </w:r>
      <w:r>
        <w:t>for</w:t>
      </w:r>
      <w:r w:rsidRPr="001A17C7">
        <w:t xml:space="preserve"> </w:t>
      </w:r>
      <w:r w:rsidR="00101DF8">
        <w:t xml:space="preserve">relevant </w:t>
      </w:r>
      <w:r w:rsidRPr="001A17C7">
        <w:t>money and availability of funds to meet priorities in offering a grant.</w:t>
      </w:r>
      <w:r w:rsidR="00AA1867">
        <w:t xml:space="preserve"> An indicative regional allocation will also be applied (see section 3.3).</w:t>
      </w:r>
    </w:p>
    <w:p w14:paraId="017150D4" w14:textId="77777777" w:rsidR="00AA1867" w:rsidRDefault="00AA1867" w:rsidP="001C0F78">
      <w:pPr>
        <w:pStyle w:val="Heading3"/>
        <w:ind w:left="1134"/>
      </w:pPr>
      <w:bookmarkStart w:id="10" w:name="_Toc170734108"/>
      <w:r>
        <w:t>Grant period</w:t>
      </w:r>
      <w:bookmarkEnd w:id="10"/>
    </w:p>
    <w:p w14:paraId="73368B30" w14:textId="223B28AB" w:rsidR="00AA1867" w:rsidRPr="00E51433" w:rsidRDefault="009F02A2" w:rsidP="009F02A2">
      <w:r w:rsidRPr="001D3425">
        <w:t xml:space="preserve">The maximum grant period is </w:t>
      </w:r>
      <w:r>
        <w:t xml:space="preserve">3 </w:t>
      </w:r>
      <w:r w:rsidRPr="001D3425">
        <w:t>years.</w:t>
      </w:r>
      <w:r>
        <w:t xml:space="preserve"> </w:t>
      </w:r>
      <w:r w:rsidR="00AA1867" w:rsidRPr="001A17C7">
        <w:t xml:space="preserve">Applicants can apply for funding for activities for up to </w:t>
      </w:r>
      <w:r w:rsidR="00AA1867">
        <w:t>3 years</w:t>
      </w:r>
      <w:r w:rsidR="00425E42">
        <w:t>, subject to limitations on fixed term contracts under Fair Work laws</w:t>
      </w:r>
      <w:r w:rsidR="00AA1867">
        <w:t xml:space="preserve">. </w:t>
      </w:r>
    </w:p>
    <w:p w14:paraId="0E8696CB" w14:textId="7CFA8CB2" w:rsidR="00AA1867" w:rsidRDefault="00AA1867" w:rsidP="00AA1867">
      <w:r>
        <w:t xml:space="preserve">The NIAA can, at its sole discretion, offer to extend the grant period by </w:t>
      </w:r>
      <w:r w:rsidRPr="006146DF">
        <w:t>up to a maximum of one year</w:t>
      </w:r>
      <w:r>
        <w:t xml:space="preserve"> by giving notice to a grantee at least </w:t>
      </w:r>
      <w:r w:rsidR="006E24ED">
        <w:t xml:space="preserve">60 business days prior to the end of the relevant activity end date. If a grantee accepts the NIAA’s offer, the terms of such an extension will be </w:t>
      </w:r>
      <w:r w:rsidR="00425E42">
        <w:t xml:space="preserve">detailed </w:t>
      </w:r>
      <w:r w:rsidR="006E24ED">
        <w:t>by way of a deed of variation on terms acceptable to the NIAA and such extension will only be effective upon the formal execution of the deed of variation by the NIAA and the grantee.</w:t>
      </w:r>
    </w:p>
    <w:p w14:paraId="4CBD0B3B" w14:textId="77777777" w:rsidR="009F02A2" w:rsidRDefault="009F02A2" w:rsidP="009F02A2">
      <w:pPr>
        <w:rPr>
          <w:rStyle w:val="ui-provider"/>
        </w:rPr>
      </w:pPr>
      <w:r w:rsidRPr="006036A8">
        <w:rPr>
          <w:rStyle w:val="ui-provider"/>
        </w:rPr>
        <w:t>The NIAA will accept applications</w:t>
      </w:r>
      <w:r>
        <w:rPr>
          <w:rStyle w:val="ui-provider"/>
        </w:rPr>
        <w:t>:</w:t>
      </w:r>
    </w:p>
    <w:p w14:paraId="0B64C70E" w14:textId="77777777" w:rsidR="009F02A2" w:rsidRPr="009F02A2" w:rsidRDefault="009F02A2" w:rsidP="009F02A2">
      <w:pPr>
        <w:pStyle w:val="ListBullet"/>
        <w:rPr>
          <w:rStyle w:val="highlightedtextChar"/>
          <w:rFonts w:ascii="Arial" w:hAnsi="Arial" w:cs="Arial"/>
          <w:b w:val="0"/>
          <w:color w:val="auto"/>
          <w:sz w:val="20"/>
          <w:szCs w:val="20"/>
        </w:rPr>
      </w:pPr>
      <w:r w:rsidRPr="009F02A2">
        <w:rPr>
          <w:rStyle w:val="highlightedtextChar"/>
          <w:rFonts w:ascii="Arial" w:hAnsi="Arial" w:cs="Arial"/>
          <w:b w:val="0"/>
          <w:color w:val="auto"/>
          <w:sz w:val="20"/>
          <w:szCs w:val="20"/>
        </w:rPr>
        <w:t xml:space="preserve">RJED Grant Round One from [open date - TBC] until [close date - TBC]. </w:t>
      </w:r>
    </w:p>
    <w:p w14:paraId="343517CA" w14:textId="77777777" w:rsidR="009F02A2" w:rsidRPr="009F02A2" w:rsidRDefault="009F02A2" w:rsidP="009F02A2">
      <w:pPr>
        <w:pStyle w:val="ListBullet"/>
        <w:rPr>
          <w:rStyle w:val="highlightedtextChar"/>
          <w:rFonts w:ascii="Arial" w:hAnsi="Arial" w:cs="Arial"/>
          <w:b w:val="0"/>
          <w:color w:val="auto"/>
          <w:sz w:val="20"/>
          <w:szCs w:val="20"/>
        </w:rPr>
      </w:pPr>
      <w:r w:rsidRPr="009F02A2">
        <w:rPr>
          <w:rStyle w:val="highlightedtextChar"/>
          <w:rFonts w:ascii="Arial" w:hAnsi="Arial" w:cs="Arial"/>
          <w:b w:val="0"/>
          <w:color w:val="auto"/>
          <w:sz w:val="20"/>
          <w:szCs w:val="20"/>
        </w:rPr>
        <w:t>RJED Grant Round Two from [open date - TBC] until [close date - TBC].</w:t>
      </w:r>
    </w:p>
    <w:p w14:paraId="73DE6098" w14:textId="77777777" w:rsidR="009F02A2" w:rsidRPr="001D3425" w:rsidRDefault="009F02A2" w:rsidP="009F02A2">
      <w:pPr>
        <w:rPr>
          <w:rStyle w:val="ui-provider"/>
        </w:rPr>
      </w:pPr>
      <w:r w:rsidRPr="001D3425">
        <w:rPr>
          <w:rStyle w:val="ui-provider"/>
        </w:rPr>
        <w:t xml:space="preserve">The NIAA </w:t>
      </w:r>
      <w:r w:rsidRPr="001D3425">
        <w:rPr>
          <w:rFonts w:cs="Arial"/>
        </w:rPr>
        <w:t xml:space="preserve">may amend the closing date and time at its own </w:t>
      </w:r>
      <w:r w:rsidRPr="001D3425">
        <w:rPr>
          <w:iCs/>
        </w:rPr>
        <w:t>discretion</w:t>
      </w:r>
      <w:r w:rsidRPr="001D3425">
        <w:rPr>
          <w:rFonts w:cs="Arial"/>
        </w:rPr>
        <w:t xml:space="preserve"> by issuing a notice through the </w:t>
      </w:r>
      <w:hyperlink r:id="rId30">
        <w:r w:rsidRPr="001D3425">
          <w:rPr>
            <w:rStyle w:val="Hyperlink"/>
          </w:rPr>
          <w:t>GrantConnect</w:t>
        </w:r>
      </w:hyperlink>
      <w:r w:rsidRPr="001D3425">
        <w:rPr>
          <w:rFonts w:cs="Arial"/>
        </w:rPr>
        <w:t xml:space="preserve"> website</w:t>
      </w:r>
      <w:r w:rsidRPr="001D3425">
        <w:rPr>
          <w:rStyle w:val="ui-provider"/>
        </w:rPr>
        <w:t>.</w:t>
      </w:r>
    </w:p>
    <w:p w14:paraId="32F4796F" w14:textId="77777777" w:rsidR="009F02A2" w:rsidRPr="00AA1867" w:rsidRDefault="009F02A2" w:rsidP="00AA1867"/>
    <w:p w14:paraId="5C53AD68" w14:textId="77777777" w:rsidR="00920ADD" w:rsidRPr="001F440C" w:rsidRDefault="006E24ED" w:rsidP="001C0F78">
      <w:pPr>
        <w:pStyle w:val="Heading3"/>
        <w:ind w:left="1134"/>
      </w:pPr>
      <w:bookmarkStart w:id="11" w:name="_Toc170734109"/>
      <w:r>
        <w:t>Indicative regional a</w:t>
      </w:r>
      <w:r w:rsidR="00920ADD" w:rsidRPr="009678EC">
        <w:t>llocations</w:t>
      </w:r>
      <w:bookmarkEnd w:id="11"/>
    </w:p>
    <w:p w14:paraId="11304973" w14:textId="77777777" w:rsidR="005A2004" w:rsidRDefault="005A2004" w:rsidP="005A2004">
      <w:pPr>
        <w:pStyle w:val="ListBullet"/>
        <w:numPr>
          <w:ilvl w:val="0"/>
          <w:numId w:val="0"/>
        </w:numPr>
      </w:pPr>
      <w:r>
        <w:t xml:space="preserve">An indicative allocation of jobs has been made for </w:t>
      </w:r>
      <w:r w:rsidR="009E04F3">
        <w:t xml:space="preserve">Grant Rounds One and Two </w:t>
      </w:r>
      <w:r w:rsidR="006E24ED">
        <w:t>based on the</w:t>
      </w:r>
      <w:r w:rsidR="00780349">
        <w:t xml:space="preserve"> allocation methodology of applying</w:t>
      </w:r>
      <w:r w:rsidR="006E24ED">
        <w:t xml:space="preserve"> CDP caseload within each NIAA region</w:t>
      </w:r>
      <w:r w:rsidR="00780349">
        <w:t xml:space="preserve"> to the available jobs</w:t>
      </w:r>
      <w:r w:rsidR="00425E42">
        <w:t xml:space="preserve"> (see table below)</w:t>
      </w:r>
      <w:r>
        <w:t xml:space="preserve">. Indicative allocations allow for all eligible regions to benefit from RJED funding and </w:t>
      </w:r>
      <w:r w:rsidR="00425E42">
        <w:t xml:space="preserve">the </w:t>
      </w:r>
      <w:r>
        <w:t xml:space="preserve">creation of new jobs. </w:t>
      </w:r>
    </w:p>
    <w:p w14:paraId="047E6C04" w14:textId="77777777" w:rsidR="00C65F6A" w:rsidRDefault="00021DEF" w:rsidP="005A2004">
      <w:pPr>
        <w:pStyle w:val="ListBullet"/>
        <w:numPr>
          <w:ilvl w:val="0"/>
          <w:numId w:val="0"/>
        </w:numPr>
      </w:pPr>
      <w:r>
        <w:t xml:space="preserve">These allocations do not factor in NJPT grant recipients that may transition into RJED during </w:t>
      </w:r>
      <w:r w:rsidR="0095092C">
        <w:t xml:space="preserve">Grant </w:t>
      </w:r>
      <w:r>
        <w:t>Round One.</w:t>
      </w:r>
    </w:p>
    <w:p w14:paraId="01028184" w14:textId="77777777" w:rsidR="00C65F6A" w:rsidRDefault="00D40AD1" w:rsidP="005A2004">
      <w:pPr>
        <w:pStyle w:val="ListBullet"/>
        <w:numPr>
          <w:ilvl w:val="0"/>
          <w:numId w:val="0"/>
        </w:numPr>
      </w:pPr>
      <w:r w:rsidRPr="003A6680">
        <w:t xml:space="preserve">Where </w:t>
      </w:r>
      <w:r w:rsidR="00FE22C9" w:rsidRPr="003A6680">
        <w:t>an</w:t>
      </w:r>
      <w:r w:rsidR="003A6680">
        <w:t xml:space="preserve"> eligible</w:t>
      </w:r>
      <w:r w:rsidR="00FE22C9" w:rsidRPr="003A6680">
        <w:t xml:space="preserve"> NJPT grant recipient</w:t>
      </w:r>
      <w:r w:rsidR="00BC6D96" w:rsidRPr="003A6680">
        <w:t xml:space="preserve"> transition</w:t>
      </w:r>
      <w:r w:rsidR="00FE22C9" w:rsidRPr="003A6680">
        <w:t>s</w:t>
      </w:r>
      <w:r w:rsidR="00BC6D96" w:rsidRPr="003A6680">
        <w:t xml:space="preserve"> into RJED</w:t>
      </w:r>
      <w:r w:rsidR="003A6680">
        <w:t xml:space="preserve"> existing </w:t>
      </w:r>
      <w:r w:rsidR="00FE22C9" w:rsidRPr="003A6680">
        <w:t xml:space="preserve">jobs funded </w:t>
      </w:r>
      <w:r w:rsidRPr="003A6680">
        <w:t xml:space="preserve">under NJPT </w:t>
      </w:r>
      <w:r w:rsidR="00FE22C9" w:rsidRPr="003A6680">
        <w:t>will also transition</w:t>
      </w:r>
      <w:r w:rsidR="003A6680">
        <w:t>,</w:t>
      </w:r>
      <w:r w:rsidR="00FE22C9" w:rsidRPr="003A6680">
        <w:t xml:space="preserve"> </w:t>
      </w:r>
      <w:r w:rsidR="003A6680">
        <w:t>which</w:t>
      </w:r>
      <w:r w:rsidR="00FE22C9" w:rsidRPr="003A6680">
        <w:t xml:space="preserve"> will reduce the </w:t>
      </w:r>
      <w:r w:rsidRPr="003A6680">
        <w:t xml:space="preserve">total number of </w:t>
      </w:r>
      <w:r w:rsidR="00BC6D96" w:rsidRPr="003A6680">
        <w:t xml:space="preserve">available </w:t>
      </w:r>
      <w:r w:rsidRPr="003A6680">
        <w:t>jobs</w:t>
      </w:r>
      <w:r w:rsidR="00BC6D96" w:rsidRPr="003A6680">
        <w:t xml:space="preserve"> in that</w:t>
      </w:r>
      <w:r w:rsidRPr="003A6680">
        <w:t xml:space="preserve"> region.</w:t>
      </w:r>
      <w:r w:rsidR="00780349" w:rsidRPr="00780349">
        <w:t xml:space="preserve"> </w:t>
      </w:r>
      <w:r w:rsidR="00780349">
        <w:t>Updated regional allocations will be available through GrantConnect</w:t>
      </w:r>
    </w:p>
    <w:p w14:paraId="582F50EF" w14:textId="77777777" w:rsidR="00456D6A" w:rsidRDefault="003A6680" w:rsidP="005A2004">
      <w:pPr>
        <w:pStyle w:val="ListBullet"/>
        <w:numPr>
          <w:ilvl w:val="0"/>
          <w:numId w:val="0"/>
        </w:numPr>
      </w:pPr>
      <w:r>
        <w:t xml:space="preserve">Table 1: Indicative RJED job allocations per eligible NIAA region </w:t>
      </w:r>
    </w:p>
    <w:tbl>
      <w:tblPr>
        <w:tblW w:w="8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560"/>
        <w:gridCol w:w="1553"/>
        <w:gridCol w:w="2268"/>
      </w:tblGrid>
      <w:tr w:rsidR="00D44A31" w:rsidRPr="00A0236C" w14:paraId="7F8F6737" w14:textId="77777777" w:rsidTr="00EC007F">
        <w:trPr>
          <w:trHeight w:val="506"/>
        </w:trPr>
        <w:tc>
          <w:tcPr>
            <w:tcW w:w="3397" w:type="dxa"/>
            <w:shd w:val="clear" w:color="000000" w:fill="DCE6F1"/>
            <w:hideMark/>
          </w:tcPr>
          <w:p w14:paraId="2A40D291" w14:textId="77777777" w:rsidR="00D44A31" w:rsidRPr="00A0236C" w:rsidRDefault="00D44A31" w:rsidP="00A0236C">
            <w:pPr>
              <w:spacing w:before="0" w:after="0" w:line="240" w:lineRule="auto"/>
              <w:rPr>
                <w:rFonts w:cs="Arial"/>
                <w:b/>
                <w:bCs/>
                <w:color w:val="000000"/>
                <w:sz w:val="22"/>
                <w:szCs w:val="22"/>
                <w:lang w:eastAsia="en-AU"/>
              </w:rPr>
            </w:pPr>
            <w:r w:rsidRPr="00A0236C">
              <w:rPr>
                <w:rFonts w:cs="Arial"/>
                <w:b/>
                <w:bCs/>
                <w:color w:val="000000"/>
                <w:sz w:val="22"/>
                <w:szCs w:val="22"/>
                <w:lang w:eastAsia="en-AU"/>
              </w:rPr>
              <w:t>NIAA Region</w:t>
            </w:r>
          </w:p>
        </w:tc>
        <w:tc>
          <w:tcPr>
            <w:tcW w:w="1560" w:type="dxa"/>
            <w:shd w:val="clear" w:color="DCE6F1" w:fill="DCE6F1"/>
          </w:tcPr>
          <w:p w14:paraId="13DADFA4" w14:textId="77777777" w:rsidR="00D44A31" w:rsidRDefault="00D44A31" w:rsidP="006E24ED">
            <w:pPr>
              <w:spacing w:before="0" w:after="0" w:line="240" w:lineRule="auto"/>
              <w:jc w:val="center"/>
              <w:rPr>
                <w:rFonts w:cs="Arial"/>
                <w:b/>
                <w:bCs/>
                <w:color w:val="000000"/>
                <w:sz w:val="22"/>
                <w:szCs w:val="22"/>
                <w:lang w:eastAsia="en-AU"/>
              </w:rPr>
            </w:pPr>
            <w:r>
              <w:rPr>
                <w:rFonts w:cs="Arial"/>
                <w:b/>
                <w:bCs/>
                <w:color w:val="000000"/>
                <w:sz w:val="22"/>
                <w:szCs w:val="22"/>
                <w:lang w:eastAsia="en-AU"/>
              </w:rPr>
              <w:t>Round One allocation</w:t>
            </w:r>
          </w:p>
        </w:tc>
        <w:tc>
          <w:tcPr>
            <w:tcW w:w="1553" w:type="dxa"/>
            <w:shd w:val="clear" w:color="DCE6F1" w:fill="DCE6F1"/>
          </w:tcPr>
          <w:p w14:paraId="4EC25DAF" w14:textId="77777777" w:rsidR="00D44A31" w:rsidRPr="00A0236C" w:rsidRDefault="00D44A31" w:rsidP="006E24ED">
            <w:pPr>
              <w:spacing w:before="0" w:after="0" w:line="240" w:lineRule="auto"/>
              <w:jc w:val="center"/>
              <w:rPr>
                <w:rFonts w:cs="Arial"/>
                <w:b/>
                <w:bCs/>
                <w:color w:val="000000"/>
                <w:sz w:val="22"/>
                <w:szCs w:val="22"/>
                <w:lang w:eastAsia="en-AU"/>
              </w:rPr>
            </w:pPr>
            <w:r>
              <w:rPr>
                <w:rFonts w:cs="Arial"/>
                <w:b/>
                <w:bCs/>
                <w:color w:val="000000"/>
                <w:sz w:val="22"/>
                <w:szCs w:val="22"/>
                <w:lang w:eastAsia="en-AU"/>
              </w:rPr>
              <w:t>Round Two allocation</w:t>
            </w:r>
          </w:p>
        </w:tc>
        <w:tc>
          <w:tcPr>
            <w:tcW w:w="2268" w:type="dxa"/>
            <w:shd w:val="clear" w:color="DCE6F1" w:fill="DCE6F1"/>
            <w:hideMark/>
          </w:tcPr>
          <w:p w14:paraId="1190EAE1" w14:textId="77777777" w:rsidR="00D44A31" w:rsidRPr="00A0236C" w:rsidRDefault="007D0C28" w:rsidP="003A6680">
            <w:pPr>
              <w:spacing w:before="0" w:after="0" w:line="240" w:lineRule="auto"/>
              <w:jc w:val="center"/>
              <w:rPr>
                <w:rFonts w:cs="Arial"/>
                <w:b/>
                <w:bCs/>
                <w:color w:val="000000"/>
                <w:sz w:val="22"/>
                <w:szCs w:val="22"/>
                <w:lang w:eastAsia="en-AU"/>
              </w:rPr>
            </w:pPr>
            <w:r>
              <w:rPr>
                <w:rFonts w:cs="Arial"/>
                <w:b/>
                <w:bCs/>
                <w:color w:val="000000"/>
                <w:sz w:val="22"/>
                <w:szCs w:val="22"/>
                <w:lang w:eastAsia="en-AU"/>
              </w:rPr>
              <w:t xml:space="preserve">Total* </w:t>
            </w:r>
            <w:r w:rsidR="00D80C31">
              <w:rPr>
                <w:rFonts w:cs="Arial"/>
                <w:b/>
                <w:bCs/>
                <w:color w:val="000000"/>
                <w:sz w:val="22"/>
                <w:szCs w:val="22"/>
                <w:lang w:eastAsia="en-AU"/>
              </w:rPr>
              <w:t>n</w:t>
            </w:r>
            <w:r w:rsidR="00D44A31" w:rsidRPr="00A0236C">
              <w:rPr>
                <w:rFonts w:cs="Arial"/>
                <w:b/>
                <w:bCs/>
                <w:color w:val="000000"/>
                <w:sz w:val="22"/>
                <w:szCs w:val="22"/>
                <w:lang w:eastAsia="en-AU"/>
              </w:rPr>
              <w:t>o. of jobs</w:t>
            </w:r>
          </w:p>
        </w:tc>
      </w:tr>
      <w:tr w:rsidR="00D44A31" w:rsidRPr="00A0236C" w14:paraId="6263ECA1" w14:textId="77777777" w:rsidTr="00EC007F">
        <w:trPr>
          <w:trHeight w:val="280"/>
        </w:trPr>
        <w:tc>
          <w:tcPr>
            <w:tcW w:w="3397" w:type="dxa"/>
            <w:shd w:val="clear" w:color="auto" w:fill="auto"/>
            <w:noWrap/>
            <w:vAlign w:val="bottom"/>
            <w:hideMark/>
          </w:tcPr>
          <w:p w14:paraId="3B77B300" w14:textId="77777777" w:rsidR="00D44A31" w:rsidRPr="00A0236C" w:rsidRDefault="00D44A31" w:rsidP="00A0236C">
            <w:pPr>
              <w:spacing w:before="0" w:after="0" w:line="240" w:lineRule="auto"/>
              <w:rPr>
                <w:rFonts w:cs="Arial"/>
                <w:color w:val="000000"/>
                <w:sz w:val="22"/>
                <w:szCs w:val="22"/>
                <w:lang w:eastAsia="en-AU"/>
              </w:rPr>
            </w:pPr>
            <w:r w:rsidRPr="00A0236C">
              <w:rPr>
                <w:rFonts w:cs="Arial"/>
                <w:color w:val="000000"/>
                <w:sz w:val="22"/>
                <w:szCs w:val="22"/>
                <w:lang w:eastAsia="en-AU"/>
              </w:rPr>
              <w:t>Arnhem Land &amp; Groote Eylandt</w:t>
            </w:r>
          </w:p>
        </w:tc>
        <w:tc>
          <w:tcPr>
            <w:tcW w:w="1560" w:type="dxa"/>
          </w:tcPr>
          <w:p w14:paraId="7A1AD0F3" w14:textId="77777777" w:rsidR="00D44A31" w:rsidRDefault="006146DF" w:rsidP="006E24ED">
            <w:pPr>
              <w:spacing w:before="0" w:after="0" w:line="240" w:lineRule="auto"/>
              <w:jc w:val="center"/>
              <w:rPr>
                <w:rFonts w:cs="Arial"/>
                <w:color w:val="000000"/>
                <w:sz w:val="22"/>
                <w:szCs w:val="22"/>
                <w:lang w:eastAsia="en-AU"/>
              </w:rPr>
            </w:pPr>
            <w:r>
              <w:rPr>
                <w:rFonts w:cs="Arial"/>
                <w:color w:val="000000"/>
                <w:sz w:val="22"/>
                <w:szCs w:val="22"/>
                <w:lang w:eastAsia="en-AU"/>
              </w:rPr>
              <w:t>65</w:t>
            </w:r>
          </w:p>
        </w:tc>
        <w:tc>
          <w:tcPr>
            <w:tcW w:w="1553" w:type="dxa"/>
          </w:tcPr>
          <w:p w14:paraId="71CF0531" w14:textId="77777777" w:rsidR="00D44A31" w:rsidRPr="00A0236C" w:rsidRDefault="006146DF" w:rsidP="006E24ED">
            <w:pPr>
              <w:spacing w:before="0" w:after="0" w:line="240" w:lineRule="auto"/>
              <w:jc w:val="center"/>
              <w:rPr>
                <w:rFonts w:cs="Arial"/>
                <w:color w:val="000000"/>
                <w:sz w:val="22"/>
                <w:szCs w:val="22"/>
                <w:lang w:eastAsia="en-AU"/>
              </w:rPr>
            </w:pPr>
            <w:r>
              <w:rPr>
                <w:rFonts w:cs="Arial"/>
                <w:color w:val="000000"/>
                <w:sz w:val="22"/>
                <w:szCs w:val="22"/>
                <w:lang w:eastAsia="en-AU"/>
              </w:rPr>
              <w:t>66</w:t>
            </w:r>
          </w:p>
        </w:tc>
        <w:tc>
          <w:tcPr>
            <w:tcW w:w="2268" w:type="dxa"/>
            <w:shd w:val="clear" w:color="auto" w:fill="auto"/>
            <w:noWrap/>
            <w:vAlign w:val="bottom"/>
            <w:hideMark/>
          </w:tcPr>
          <w:p w14:paraId="2E072003" w14:textId="77777777" w:rsidR="00D44A31" w:rsidRPr="00A0236C" w:rsidRDefault="00D44A31" w:rsidP="006E24ED">
            <w:pPr>
              <w:spacing w:before="0" w:after="0" w:line="240" w:lineRule="auto"/>
              <w:jc w:val="center"/>
              <w:rPr>
                <w:rFonts w:cs="Arial"/>
                <w:color w:val="000000"/>
                <w:sz w:val="22"/>
                <w:szCs w:val="22"/>
                <w:lang w:eastAsia="en-AU"/>
              </w:rPr>
            </w:pPr>
            <w:r w:rsidRPr="00A0236C">
              <w:rPr>
                <w:rFonts w:cs="Arial"/>
                <w:color w:val="000000"/>
                <w:sz w:val="22"/>
                <w:szCs w:val="22"/>
                <w:lang w:eastAsia="en-AU"/>
              </w:rPr>
              <w:t>131</w:t>
            </w:r>
          </w:p>
        </w:tc>
      </w:tr>
      <w:tr w:rsidR="00D44A31" w:rsidRPr="00A0236C" w14:paraId="2C0809B7" w14:textId="77777777" w:rsidTr="00EC007F">
        <w:trPr>
          <w:trHeight w:val="280"/>
        </w:trPr>
        <w:tc>
          <w:tcPr>
            <w:tcW w:w="3397" w:type="dxa"/>
            <w:shd w:val="clear" w:color="auto" w:fill="auto"/>
            <w:noWrap/>
            <w:vAlign w:val="bottom"/>
            <w:hideMark/>
          </w:tcPr>
          <w:p w14:paraId="2E79B8A7" w14:textId="77777777" w:rsidR="00D44A31" w:rsidRPr="00A0236C" w:rsidRDefault="00D44A31" w:rsidP="00A0236C">
            <w:pPr>
              <w:spacing w:before="0" w:after="0" w:line="240" w:lineRule="auto"/>
              <w:rPr>
                <w:rFonts w:cs="Arial"/>
                <w:color w:val="000000"/>
                <w:sz w:val="22"/>
                <w:szCs w:val="22"/>
                <w:lang w:eastAsia="en-AU"/>
              </w:rPr>
            </w:pPr>
            <w:r w:rsidRPr="00A0236C">
              <w:rPr>
                <w:rFonts w:cs="Arial"/>
                <w:color w:val="000000"/>
                <w:sz w:val="22"/>
                <w:szCs w:val="22"/>
                <w:lang w:eastAsia="en-AU"/>
              </w:rPr>
              <w:t>Central Australia</w:t>
            </w:r>
          </w:p>
        </w:tc>
        <w:tc>
          <w:tcPr>
            <w:tcW w:w="1560" w:type="dxa"/>
          </w:tcPr>
          <w:p w14:paraId="0EADA22F" w14:textId="77777777" w:rsidR="00D44A31" w:rsidRDefault="006146DF" w:rsidP="006E24ED">
            <w:pPr>
              <w:spacing w:before="0" w:after="0" w:line="240" w:lineRule="auto"/>
              <w:jc w:val="center"/>
              <w:rPr>
                <w:rFonts w:cs="Arial"/>
                <w:color w:val="000000"/>
                <w:sz w:val="22"/>
                <w:szCs w:val="22"/>
                <w:lang w:eastAsia="en-AU"/>
              </w:rPr>
            </w:pPr>
            <w:r>
              <w:rPr>
                <w:rFonts w:cs="Arial"/>
                <w:color w:val="000000"/>
                <w:sz w:val="22"/>
                <w:szCs w:val="22"/>
                <w:lang w:eastAsia="en-AU"/>
              </w:rPr>
              <w:t>59</w:t>
            </w:r>
          </w:p>
        </w:tc>
        <w:tc>
          <w:tcPr>
            <w:tcW w:w="1553" w:type="dxa"/>
          </w:tcPr>
          <w:p w14:paraId="36338B70" w14:textId="77777777" w:rsidR="00D44A31" w:rsidRPr="00A0236C" w:rsidRDefault="006146DF" w:rsidP="006E24ED">
            <w:pPr>
              <w:spacing w:before="0" w:after="0" w:line="240" w:lineRule="auto"/>
              <w:jc w:val="center"/>
              <w:rPr>
                <w:rFonts w:cs="Arial"/>
                <w:color w:val="000000"/>
                <w:sz w:val="22"/>
                <w:szCs w:val="22"/>
                <w:lang w:eastAsia="en-AU"/>
              </w:rPr>
            </w:pPr>
            <w:r>
              <w:rPr>
                <w:rFonts w:cs="Arial"/>
                <w:color w:val="000000"/>
                <w:sz w:val="22"/>
                <w:szCs w:val="22"/>
                <w:lang w:eastAsia="en-AU"/>
              </w:rPr>
              <w:t>59</w:t>
            </w:r>
          </w:p>
        </w:tc>
        <w:tc>
          <w:tcPr>
            <w:tcW w:w="2268" w:type="dxa"/>
            <w:shd w:val="clear" w:color="auto" w:fill="auto"/>
            <w:noWrap/>
            <w:vAlign w:val="bottom"/>
            <w:hideMark/>
          </w:tcPr>
          <w:p w14:paraId="72792186" w14:textId="77777777" w:rsidR="00D44A31" w:rsidRPr="00A0236C" w:rsidRDefault="00D44A31" w:rsidP="006E24ED">
            <w:pPr>
              <w:spacing w:before="0" w:after="0" w:line="240" w:lineRule="auto"/>
              <w:jc w:val="center"/>
              <w:rPr>
                <w:rFonts w:cs="Arial"/>
                <w:color w:val="000000"/>
                <w:sz w:val="22"/>
                <w:szCs w:val="22"/>
                <w:lang w:eastAsia="en-AU"/>
              </w:rPr>
            </w:pPr>
            <w:r w:rsidRPr="00A0236C">
              <w:rPr>
                <w:rFonts w:cs="Arial"/>
                <w:color w:val="000000"/>
                <w:sz w:val="22"/>
                <w:szCs w:val="22"/>
                <w:lang w:eastAsia="en-AU"/>
              </w:rPr>
              <w:t>118</w:t>
            </w:r>
          </w:p>
        </w:tc>
      </w:tr>
      <w:tr w:rsidR="00D44A31" w:rsidRPr="00A0236C" w14:paraId="5149AD2B" w14:textId="77777777" w:rsidTr="00EC007F">
        <w:trPr>
          <w:trHeight w:val="280"/>
        </w:trPr>
        <w:tc>
          <w:tcPr>
            <w:tcW w:w="3397" w:type="dxa"/>
            <w:shd w:val="clear" w:color="auto" w:fill="auto"/>
            <w:noWrap/>
            <w:vAlign w:val="bottom"/>
            <w:hideMark/>
          </w:tcPr>
          <w:p w14:paraId="4B698B05" w14:textId="77777777" w:rsidR="00D44A31" w:rsidRPr="00A0236C" w:rsidRDefault="00D44A31" w:rsidP="00A0236C">
            <w:pPr>
              <w:spacing w:before="0" w:after="0" w:line="240" w:lineRule="auto"/>
              <w:rPr>
                <w:rFonts w:cs="Arial"/>
                <w:color w:val="000000"/>
                <w:sz w:val="22"/>
                <w:szCs w:val="22"/>
                <w:lang w:eastAsia="en-AU"/>
              </w:rPr>
            </w:pPr>
            <w:r w:rsidRPr="00A0236C">
              <w:rPr>
                <w:rFonts w:cs="Arial"/>
                <w:color w:val="000000"/>
                <w:sz w:val="22"/>
                <w:szCs w:val="22"/>
                <w:lang w:eastAsia="en-AU"/>
              </w:rPr>
              <w:t>Greater Western Australia</w:t>
            </w:r>
          </w:p>
        </w:tc>
        <w:tc>
          <w:tcPr>
            <w:tcW w:w="1560" w:type="dxa"/>
          </w:tcPr>
          <w:p w14:paraId="2B071AFB" w14:textId="77777777" w:rsidR="00D44A31" w:rsidRDefault="006146DF" w:rsidP="006E24ED">
            <w:pPr>
              <w:spacing w:before="0" w:after="0" w:line="240" w:lineRule="auto"/>
              <w:jc w:val="center"/>
              <w:rPr>
                <w:rFonts w:cs="Arial"/>
                <w:color w:val="000000"/>
                <w:sz w:val="22"/>
                <w:szCs w:val="22"/>
                <w:lang w:eastAsia="en-AU"/>
              </w:rPr>
            </w:pPr>
            <w:r>
              <w:rPr>
                <w:rFonts w:cs="Arial"/>
                <w:color w:val="000000"/>
                <w:sz w:val="22"/>
                <w:szCs w:val="22"/>
                <w:lang w:eastAsia="en-AU"/>
              </w:rPr>
              <w:t>70</w:t>
            </w:r>
          </w:p>
        </w:tc>
        <w:tc>
          <w:tcPr>
            <w:tcW w:w="1553" w:type="dxa"/>
          </w:tcPr>
          <w:p w14:paraId="4AA2D2B2" w14:textId="77777777" w:rsidR="00D44A31" w:rsidRPr="00A0236C" w:rsidRDefault="006146DF" w:rsidP="006E24ED">
            <w:pPr>
              <w:spacing w:before="0" w:after="0" w:line="240" w:lineRule="auto"/>
              <w:jc w:val="center"/>
              <w:rPr>
                <w:rFonts w:cs="Arial"/>
                <w:color w:val="000000"/>
                <w:sz w:val="22"/>
                <w:szCs w:val="22"/>
                <w:lang w:eastAsia="en-AU"/>
              </w:rPr>
            </w:pPr>
            <w:r>
              <w:rPr>
                <w:rFonts w:cs="Arial"/>
                <w:color w:val="000000"/>
                <w:sz w:val="22"/>
                <w:szCs w:val="22"/>
                <w:lang w:eastAsia="en-AU"/>
              </w:rPr>
              <w:t>71</w:t>
            </w:r>
          </w:p>
        </w:tc>
        <w:tc>
          <w:tcPr>
            <w:tcW w:w="2268" w:type="dxa"/>
            <w:shd w:val="clear" w:color="auto" w:fill="auto"/>
            <w:noWrap/>
            <w:vAlign w:val="bottom"/>
            <w:hideMark/>
          </w:tcPr>
          <w:p w14:paraId="6379C364" w14:textId="77777777" w:rsidR="00D44A31" w:rsidRPr="00A0236C" w:rsidRDefault="00D44A31" w:rsidP="006E24ED">
            <w:pPr>
              <w:spacing w:before="0" w:after="0" w:line="240" w:lineRule="auto"/>
              <w:jc w:val="center"/>
              <w:rPr>
                <w:rFonts w:cs="Arial"/>
                <w:color w:val="000000"/>
                <w:sz w:val="22"/>
                <w:szCs w:val="22"/>
                <w:lang w:eastAsia="en-AU"/>
              </w:rPr>
            </w:pPr>
            <w:r w:rsidRPr="00A0236C">
              <w:rPr>
                <w:rFonts w:cs="Arial"/>
                <w:color w:val="000000"/>
                <w:sz w:val="22"/>
                <w:szCs w:val="22"/>
                <w:lang w:eastAsia="en-AU"/>
              </w:rPr>
              <w:t>141</w:t>
            </w:r>
          </w:p>
        </w:tc>
      </w:tr>
      <w:tr w:rsidR="00D44A31" w:rsidRPr="00A0236C" w14:paraId="57F6D9D0" w14:textId="77777777" w:rsidTr="00EC007F">
        <w:trPr>
          <w:trHeight w:val="280"/>
        </w:trPr>
        <w:tc>
          <w:tcPr>
            <w:tcW w:w="3397" w:type="dxa"/>
            <w:shd w:val="clear" w:color="auto" w:fill="auto"/>
            <w:noWrap/>
            <w:vAlign w:val="bottom"/>
            <w:hideMark/>
          </w:tcPr>
          <w:p w14:paraId="12851C4C" w14:textId="77777777" w:rsidR="00D44A31" w:rsidRPr="00A0236C" w:rsidRDefault="00D44A31" w:rsidP="00A0236C">
            <w:pPr>
              <w:spacing w:before="0" w:after="0" w:line="240" w:lineRule="auto"/>
              <w:rPr>
                <w:rFonts w:cs="Arial"/>
                <w:color w:val="000000"/>
                <w:sz w:val="22"/>
                <w:szCs w:val="22"/>
                <w:lang w:eastAsia="en-AU"/>
              </w:rPr>
            </w:pPr>
            <w:r w:rsidRPr="00A0236C">
              <w:rPr>
                <w:rFonts w:cs="Arial"/>
                <w:color w:val="000000"/>
                <w:sz w:val="22"/>
                <w:szCs w:val="22"/>
                <w:lang w:eastAsia="en-AU"/>
              </w:rPr>
              <w:t>Kimberley</w:t>
            </w:r>
          </w:p>
        </w:tc>
        <w:tc>
          <w:tcPr>
            <w:tcW w:w="1560" w:type="dxa"/>
          </w:tcPr>
          <w:p w14:paraId="179B42A3" w14:textId="77777777" w:rsidR="00D44A31" w:rsidRDefault="006146DF" w:rsidP="006E24ED">
            <w:pPr>
              <w:spacing w:before="0" w:after="0" w:line="240" w:lineRule="auto"/>
              <w:jc w:val="center"/>
              <w:rPr>
                <w:rFonts w:cs="Arial"/>
                <w:color w:val="000000"/>
                <w:sz w:val="22"/>
                <w:szCs w:val="22"/>
                <w:lang w:eastAsia="en-AU"/>
              </w:rPr>
            </w:pPr>
            <w:r>
              <w:rPr>
                <w:rFonts w:cs="Arial"/>
                <w:color w:val="000000"/>
                <w:sz w:val="22"/>
                <w:szCs w:val="22"/>
                <w:lang w:eastAsia="en-AU"/>
              </w:rPr>
              <w:t>49</w:t>
            </w:r>
          </w:p>
        </w:tc>
        <w:tc>
          <w:tcPr>
            <w:tcW w:w="1553" w:type="dxa"/>
          </w:tcPr>
          <w:p w14:paraId="3A583571" w14:textId="77777777" w:rsidR="00D44A31" w:rsidRPr="00A0236C" w:rsidRDefault="006146DF" w:rsidP="006E24ED">
            <w:pPr>
              <w:spacing w:before="0" w:after="0" w:line="240" w:lineRule="auto"/>
              <w:jc w:val="center"/>
              <w:rPr>
                <w:rFonts w:cs="Arial"/>
                <w:color w:val="000000"/>
                <w:sz w:val="22"/>
                <w:szCs w:val="22"/>
                <w:lang w:eastAsia="en-AU"/>
              </w:rPr>
            </w:pPr>
            <w:r>
              <w:rPr>
                <w:rFonts w:cs="Arial"/>
                <w:color w:val="000000"/>
                <w:sz w:val="22"/>
                <w:szCs w:val="22"/>
                <w:lang w:eastAsia="en-AU"/>
              </w:rPr>
              <w:t>50</w:t>
            </w:r>
          </w:p>
        </w:tc>
        <w:tc>
          <w:tcPr>
            <w:tcW w:w="2268" w:type="dxa"/>
            <w:shd w:val="clear" w:color="auto" w:fill="auto"/>
            <w:noWrap/>
            <w:vAlign w:val="bottom"/>
            <w:hideMark/>
          </w:tcPr>
          <w:p w14:paraId="6506FBCD" w14:textId="77777777" w:rsidR="00D44A31" w:rsidRPr="00A0236C" w:rsidRDefault="00D44A31" w:rsidP="006E24ED">
            <w:pPr>
              <w:spacing w:before="0" w:after="0" w:line="240" w:lineRule="auto"/>
              <w:jc w:val="center"/>
              <w:rPr>
                <w:rFonts w:cs="Arial"/>
                <w:color w:val="000000"/>
                <w:sz w:val="22"/>
                <w:szCs w:val="22"/>
                <w:lang w:eastAsia="en-AU"/>
              </w:rPr>
            </w:pPr>
            <w:r w:rsidRPr="00A0236C">
              <w:rPr>
                <w:rFonts w:cs="Arial"/>
                <w:color w:val="000000"/>
                <w:sz w:val="22"/>
                <w:szCs w:val="22"/>
                <w:lang w:eastAsia="en-AU"/>
              </w:rPr>
              <w:t>99</w:t>
            </w:r>
          </w:p>
        </w:tc>
      </w:tr>
      <w:tr w:rsidR="00D44A31" w:rsidRPr="00A0236C" w14:paraId="31C32279" w14:textId="77777777" w:rsidTr="00EC007F">
        <w:trPr>
          <w:trHeight w:val="280"/>
        </w:trPr>
        <w:tc>
          <w:tcPr>
            <w:tcW w:w="3397" w:type="dxa"/>
            <w:shd w:val="clear" w:color="auto" w:fill="auto"/>
            <w:noWrap/>
            <w:vAlign w:val="bottom"/>
            <w:hideMark/>
          </w:tcPr>
          <w:p w14:paraId="340EE172" w14:textId="77777777" w:rsidR="00D44A31" w:rsidRPr="00A0236C" w:rsidRDefault="00D44A31" w:rsidP="00A0236C">
            <w:pPr>
              <w:spacing w:before="0" w:after="0" w:line="240" w:lineRule="auto"/>
              <w:rPr>
                <w:rFonts w:cs="Arial"/>
                <w:color w:val="000000"/>
                <w:sz w:val="22"/>
                <w:szCs w:val="22"/>
                <w:lang w:eastAsia="en-AU"/>
              </w:rPr>
            </w:pPr>
            <w:r w:rsidRPr="00A0236C">
              <w:rPr>
                <w:rFonts w:cs="Arial"/>
                <w:color w:val="000000"/>
                <w:sz w:val="22"/>
                <w:szCs w:val="22"/>
                <w:lang w:eastAsia="en-AU"/>
              </w:rPr>
              <w:t>North Queensland</w:t>
            </w:r>
          </w:p>
        </w:tc>
        <w:tc>
          <w:tcPr>
            <w:tcW w:w="1560" w:type="dxa"/>
          </w:tcPr>
          <w:p w14:paraId="39EBA6EF" w14:textId="77777777" w:rsidR="00D44A31" w:rsidRDefault="006146DF" w:rsidP="006E24ED">
            <w:pPr>
              <w:spacing w:before="0" w:after="0" w:line="240" w:lineRule="auto"/>
              <w:jc w:val="center"/>
              <w:rPr>
                <w:rFonts w:cs="Arial"/>
                <w:color w:val="000000"/>
                <w:sz w:val="22"/>
                <w:szCs w:val="22"/>
                <w:lang w:eastAsia="en-AU"/>
              </w:rPr>
            </w:pPr>
            <w:r>
              <w:rPr>
                <w:rFonts w:cs="Arial"/>
                <w:color w:val="000000"/>
                <w:sz w:val="22"/>
                <w:szCs w:val="22"/>
                <w:lang w:eastAsia="en-AU"/>
              </w:rPr>
              <w:t>85</w:t>
            </w:r>
          </w:p>
        </w:tc>
        <w:tc>
          <w:tcPr>
            <w:tcW w:w="1553" w:type="dxa"/>
          </w:tcPr>
          <w:p w14:paraId="206FF478" w14:textId="77777777" w:rsidR="00D44A31" w:rsidRPr="00A0236C" w:rsidRDefault="006146DF" w:rsidP="006E24ED">
            <w:pPr>
              <w:spacing w:before="0" w:after="0" w:line="240" w:lineRule="auto"/>
              <w:jc w:val="center"/>
              <w:rPr>
                <w:rFonts w:cs="Arial"/>
                <w:color w:val="000000"/>
                <w:sz w:val="22"/>
                <w:szCs w:val="22"/>
                <w:lang w:eastAsia="en-AU"/>
              </w:rPr>
            </w:pPr>
            <w:r>
              <w:rPr>
                <w:rFonts w:cs="Arial"/>
                <w:color w:val="000000"/>
                <w:sz w:val="22"/>
                <w:szCs w:val="22"/>
                <w:lang w:eastAsia="en-AU"/>
              </w:rPr>
              <w:t>85</w:t>
            </w:r>
          </w:p>
        </w:tc>
        <w:tc>
          <w:tcPr>
            <w:tcW w:w="2268" w:type="dxa"/>
            <w:shd w:val="clear" w:color="auto" w:fill="auto"/>
            <w:noWrap/>
            <w:vAlign w:val="bottom"/>
            <w:hideMark/>
          </w:tcPr>
          <w:p w14:paraId="02026AAD" w14:textId="77777777" w:rsidR="00D44A31" w:rsidRPr="00A0236C" w:rsidRDefault="00D44A31" w:rsidP="006E24ED">
            <w:pPr>
              <w:spacing w:before="0" w:after="0" w:line="240" w:lineRule="auto"/>
              <w:jc w:val="center"/>
              <w:rPr>
                <w:rFonts w:cs="Arial"/>
                <w:color w:val="000000"/>
                <w:sz w:val="22"/>
                <w:szCs w:val="22"/>
                <w:lang w:eastAsia="en-AU"/>
              </w:rPr>
            </w:pPr>
            <w:r w:rsidRPr="00A0236C">
              <w:rPr>
                <w:rFonts w:cs="Arial"/>
                <w:color w:val="000000"/>
                <w:sz w:val="22"/>
                <w:szCs w:val="22"/>
                <w:lang w:eastAsia="en-AU"/>
              </w:rPr>
              <w:t>170</w:t>
            </w:r>
          </w:p>
        </w:tc>
      </w:tr>
      <w:tr w:rsidR="00D44A31" w:rsidRPr="00A0236C" w14:paraId="28F263E9" w14:textId="77777777" w:rsidTr="00EC007F">
        <w:trPr>
          <w:trHeight w:val="280"/>
        </w:trPr>
        <w:tc>
          <w:tcPr>
            <w:tcW w:w="3397" w:type="dxa"/>
            <w:shd w:val="clear" w:color="auto" w:fill="auto"/>
            <w:noWrap/>
            <w:vAlign w:val="bottom"/>
            <w:hideMark/>
          </w:tcPr>
          <w:p w14:paraId="260E5B92" w14:textId="77777777" w:rsidR="00D44A31" w:rsidRPr="00A0236C" w:rsidRDefault="00D44A31" w:rsidP="00A0236C">
            <w:pPr>
              <w:spacing w:before="0" w:after="0" w:line="240" w:lineRule="auto"/>
              <w:rPr>
                <w:rFonts w:cs="Arial"/>
                <w:color w:val="000000"/>
                <w:sz w:val="22"/>
                <w:szCs w:val="22"/>
                <w:lang w:eastAsia="en-AU"/>
              </w:rPr>
            </w:pPr>
            <w:r w:rsidRPr="00A0236C">
              <w:rPr>
                <w:rFonts w:cs="Arial"/>
                <w:color w:val="000000"/>
                <w:sz w:val="22"/>
                <w:szCs w:val="22"/>
                <w:lang w:eastAsia="en-AU"/>
              </w:rPr>
              <w:t>South Australia</w:t>
            </w:r>
          </w:p>
        </w:tc>
        <w:tc>
          <w:tcPr>
            <w:tcW w:w="1560" w:type="dxa"/>
          </w:tcPr>
          <w:p w14:paraId="0FDBB1D4" w14:textId="77777777" w:rsidR="00D44A31" w:rsidRDefault="006146DF" w:rsidP="006E24ED">
            <w:pPr>
              <w:spacing w:before="0" w:after="0" w:line="240" w:lineRule="auto"/>
              <w:jc w:val="center"/>
              <w:rPr>
                <w:rFonts w:cs="Arial"/>
                <w:color w:val="000000"/>
                <w:sz w:val="22"/>
                <w:szCs w:val="22"/>
                <w:lang w:eastAsia="en-AU"/>
              </w:rPr>
            </w:pPr>
            <w:r>
              <w:rPr>
                <w:rFonts w:cs="Arial"/>
                <w:color w:val="000000"/>
                <w:sz w:val="22"/>
                <w:szCs w:val="22"/>
                <w:lang w:eastAsia="en-AU"/>
              </w:rPr>
              <w:t>31</w:t>
            </w:r>
          </w:p>
        </w:tc>
        <w:tc>
          <w:tcPr>
            <w:tcW w:w="1553" w:type="dxa"/>
          </w:tcPr>
          <w:p w14:paraId="7A41D7EC" w14:textId="77777777" w:rsidR="00D44A31" w:rsidRPr="00A0236C" w:rsidRDefault="006146DF" w:rsidP="006E24ED">
            <w:pPr>
              <w:spacing w:before="0" w:after="0" w:line="240" w:lineRule="auto"/>
              <w:jc w:val="center"/>
              <w:rPr>
                <w:rFonts w:cs="Arial"/>
                <w:color w:val="000000"/>
                <w:sz w:val="22"/>
                <w:szCs w:val="22"/>
                <w:lang w:eastAsia="en-AU"/>
              </w:rPr>
            </w:pPr>
            <w:r>
              <w:rPr>
                <w:rFonts w:cs="Arial"/>
                <w:color w:val="000000"/>
                <w:sz w:val="22"/>
                <w:szCs w:val="22"/>
                <w:lang w:eastAsia="en-AU"/>
              </w:rPr>
              <w:t>31</w:t>
            </w:r>
          </w:p>
        </w:tc>
        <w:tc>
          <w:tcPr>
            <w:tcW w:w="2268" w:type="dxa"/>
            <w:shd w:val="clear" w:color="auto" w:fill="auto"/>
            <w:noWrap/>
            <w:vAlign w:val="bottom"/>
            <w:hideMark/>
          </w:tcPr>
          <w:p w14:paraId="4B0564A1" w14:textId="77777777" w:rsidR="00D44A31" w:rsidRPr="00A0236C" w:rsidRDefault="00D44A31" w:rsidP="006E24ED">
            <w:pPr>
              <w:spacing w:before="0" w:after="0" w:line="240" w:lineRule="auto"/>
              <w:jc w:val="center"/>
              <w:rPr>
                <w:rFonts w:cs="Arial"/>
                <w:color w:val="000000"/>
                <w:sz w:val="22"/>
                <w:szCs w:val="22"/>
                <w:lang w:eastAsia="en-AU"/>
              </w:rPr>
            </w:pPr>
            <w:r w:rsidRPr="00A0236C">
              <w:rPr>
                <w:rFonts w:cs="Arial"/>
                <w:color w:val="000000"/>
                <w:sz w:val="22"/>
                <w:szCs w:val="22"/>
                <w:lang w:eastAsia="en-AU"/>
              </w:rPr>
              <w:t>62</w:t>
            </w:r>
          </w:p>
        </w:tc>
      </w:tr>
      <w:tr w:rsidR="00D44A31" w:rsidRPr="00A0236C" w14:paraId="299DD7B8" w14:textId="77777777" w:rsidTr="00EC007F">
        <w:trPr>
          <w:trHeight w:val="280"/>
        </w:trPr>
        <w:tc>
          <w:tcPr>
            <w:tcW w:w="3397" w:type="dxa"/>
            <w:shd w:val="clear" w:color="auto" w:fill="auto"/>
            <w:noWrap/>
            <w:vAlign w:val="bottom"/>
            <w:hideMark/>
          </w:tcPr>
          <w:p w14:paraId="75EF98F0" w14:textId="77777777" w:rsidR="00D44A31" w:rsidRPr="00A0236C" w:rsidRDefault="00D44A31" w:rsidP="00A0236C">
            <w:pPr>
              <w:spacing w:before="0" w:after="0" w:line="240" w:lineRule="auto"/>
              <w:rPr>
                <w:rFonts w:cs="Arial"/>
                <w:color w:val="000000"/>
                <w:sz w:val="22"/>
                <w:szCs w:val="22"/>
                <w:lang w:eastAsia="en-AU"/>
              </w:rPr>
            </w:pPr>
            <w:r w:rsidRPr="00A0236C">
              <w:rPr>
                <w:rFonts w:cs="Arial"/>
                <w:color w:val="000000"/>
                <w:sz w:val="22"/>
                <w:szCs w:val="22"/>
                <w:lang w:eastAsia="en-AU"/>
              </w:rPr>
              <w:t>South Queensland</w:t>
            </w:r>
          </w:p>
        </w:tc>
        <w:tc>
          <w:tcPr>
            <w:tcW w:w="1560" w:type="dxa"/>
          </w:tcPr>
          <w:p w14:paraId="03CB3158" w14:textId="77777777" w:rsidR="00D44A31" w:rsidRDefault="006146DF" w:rsidP="006E24ED">
            <w:pPr>
              <w:spacing w:before="0" w:after="0" w:line="240" w:lineRule="auto"/>
              <w:jc w:val="center"/>
              <w:rPr>
                <w:rFonts w:cs="Arial"/>
                <w:color w:val="000000"/>
                <w:sz w:val="22"/>
                <w:szCs w:val="22"/>
                <w:lang w:eastAsia="en-AU"/>
              </w:rPr>
            </w:pPr>
            <w:r>
              <w:rPr>
                <w:rFonts w:cs="Arial"/>
                <w:color w:val="000000"/>
                <w:sz w:val="22"/>
                <w:szCs w:val="22"/>
                <w:lang w:eastAsia="en-AU"/>
              </w:rPr>
              <w:t>9</w:t>
            </w:r>
          </w:p>
        </w:tc>
        <w:tc>
          <w:tcPr>
            <w:tcW w:w="1553" w:type="dxa"/>
          </w:tcPr>
          <w:p w14:paraId="25309DB7" w14:textId="77777777" w:rsidR="00D44A31" w:rsidRPr="00A0236C" w:rsidRDefault="006146DF" w:rsidP="006E24ED">
            <w:pPr>
              <w:spacing w:before="0" w:after="0" w:line="240" w:lineRule="auto"/>
              <w:jc w:val="center"/>
              <w:rPr>
                <w:rFonts w:cs="Arial"/>
                <w:color w:val="000000"/>
                <w:sz w:val="22"/>
                <w:szCs w:val="22"/>
                <w:lang w:eastAsia="en-AU"/>
              </w:rPr>
            </w:pPr>
            <w:r>
              <w:rPr>
                <w:rFonts w:cs="Arial"/>
                <w:color w:val="000000"/>
                <w:sz w:val="22"/>
                <w:szCs w:val="22"/>
                <w:lang w:eastAsia="en-AU"/>
              </w:rPr>
              <w:t>9</w:t>
            </w:r>
          </w:p>
        </w:tc>
        <w:tc>
          <w:tcPr>
            <w:tcW w:w="2268" w:type="dxa"/>
            <w:shd w:val="clear" w:color="auto" w:fill="auto"/>
            <w:noWrap/>
            <w:vAlign w:val="bottom"/>
            <w:hideMark/>
          </w:tcPr>
          <w:p w14:paraId="551F376B" w14:textId="77777777" w:rsidR="00D44A31" w:rsidRPr="00A0236C" w:rsidRDefault="00D44A31" w:rsidP="006E24ED">
            <w:pPr>
              <w:spacing w:before="0" w:after="0" w:line="240" w:lineRule="auto"/>
              <w:jc w:val="center"/>
              <w:rPr>
                <w:rFonts w:cs="Arial"/>
                <w:color w:val="000000"/>
                <w:sz w:val="22"/>
                <w:szCs w:val="22"/>
                <w:lang w:eastAsia="en-AU"/>
              </w:rPr>
            </w:pPr>
            <w:r w:rsidRPr="00A0236C">
              <w:rPr>
                <w:rFonts w:cs="Arial"/>
                <w:color w:val="000000"/>
                <w:sz w:val="22"/>
                <w:szCs w:val="22"/>
                <w:lang w:eastAsia="en-AU"/>
              </w:rPr>
              <w:t>18</w:t>
            </w:r>
          </w:p>
        </w:tc>
      </w:tr>
      <w:tr w:rsidR="00D44A31" w:rsidRPr="00A0236C" w14:paraId="1B12F5FC" w14:textId="77777777" w:rsidTr="00EC007F">
        <w:trPr>
          <w:trHeight w:val="280"/>
        </w:trPr>
        <w:tc>
          <w:tcPr>
            <w:tcW w:w="3397" w:type="dxa"/>
            <w:shd w:val="clear" w:color="auto" w:fill="auto"/>
            <w:noWrap/>
            <w:vAlign w:val="bottom"/>
            <w:hideMark/>
          </w:tcPr>
          <w:p w14:paraId="27696B23" w14:textId="77777777" w:rsidR="00D44A31" w:rsidRPr="00A0236C" w:rsidRDefault="00D44A31" w:rsidP="00A0236C">
            <w:pPr>
              <w:spacing w:before="0" w:after="0" w:line="240" w:lineRule="auto"/>
              <w:rPr>
                <w:rFonts w:cs="Arial"/>
                <w:color w:val="000000"/>
                <w:sz w:val="22"/>
                <w:szCs w:val="22"/>
                <w:lang w:eastAsia="en-AU"/>
              </w:rPr>
            </w:pPr>
            <w:r w:rsidRPr="00A0236C">
              <w:rPr>
                <w:rFonts w:cs="Arial"/>
                <w:color w:val="000000"/>
                <w:sz w:val="22"/>
                <w:szCs w:val="22"/>
                <w:lang w:eastAsia="en-AU"/>
              </w:rPr>
              <w:t>Top End &amp; Tiwi Islands</w:t>
            </w:r>
          </w:p>
        </w:tc>
        <w:tc>
          <w:tcPr>
            <w:tcW w:w="1560" w:type="dxa"/>
          </w:tcPr>
          <w:p w14:paraId="123FE786" w14:textId="77777777" w:rsidR="00D44A31" w:rsidRDefault="006146DF" w:rsidP="006E24ED">
            <w:pPr>
              <w:spacing w:before="0" w:after="0" w:line="240" w:lineRule="auto"/>
              <w:jc w:val="center"/>
              <w:rPr>
                <w:rFonts w:cs="Arial"/>
                <w:color w:val="000000"/>
                <w:sz w:val="22"/>
                <w:szCs w:val="22"/>
                <w:lang w:eastAsia="en-AU"/>
              </w:rPr>
            </w:pPr>
            <w:r>
              <w:rPr>
                <w:rFonts w:cs="Arial"/>
                <w:color w:val="000000"/>
                <w:sz w:val="22"/>
                <w:szCs w:val="22"/>
                <w:lang w:eastAsia="en-AU"/>
              </w:rPr>
              <w:t>83</w:t>
            </w:r>
          </w:p>
        </w:tc>
        <w:tc>
          <w:tcPr>
            <w:tcW w:w="1553" w:type="dxa"/>
          </w:tcPr>
          <w:p w14:paraId="38A1AFEF" w14:textId="77777777" w:rsidR="00D44A31" w:rsidRPr="00A0236C" w:rsidRDefault="006146DF" w:rsidP="006E24ED">
            <w:pPr>
              <w:spacing w:before="0" w:after="0" w:line="240" w:lineRule="auto"/>
              <w:jc w:val="center"/>
              <w:rPr>
                <w:rFonts w:cs="Arial"/>
                <w:color w:val="000000"/>
                <w:sz w:val="22"/>
                <w:szCs w:val="22"/>
                <w:lang w:eastAsia="en-AU"/>
              </w:rPr>
            </w:pPr>
            <w:r>
              <w:rPr>
                <w:rFonts w:cs="Arial"/>
                <w:color w:val="000000"/>
                <w:sz w:val="22"/>
                <w:szCs w:val="22"/>
                <w:lang w:eastAsia="en-AU"/>
              </w:rPr>
              <w:t>84</w:t>
            </w:r>
          </w:p>
        </w:tc>
        <w:tc>
          <w:tcPr>
            <w:tcW w:w="2268" w:type="dxa"/>
            <w:shd w:val="clear" w:color="auto" w:fill="auto"/>
            <w:noWrap/>
            <w:vAlign w:val="bottom"/>
            <w:hideMark/>
          </w:tcPr>
          <w:p w14:paraId="2DE73CC4" w14:textId="77777777" w:rsidR="00D44A31" w:rsidRPr="00A0236C" w:rsidRDefault="00D44A31" w:rsidP="006E24ED">
            <w:pPr>
              <w:spacing w:before="0" w:after="0" w:line="240" w:lineRule="auto"/>
              <w:jc w:val="center"/>
              <w:rPr>
                <w:rFonts w:cs="Arial"/>
                <w:color w:val="000000"/>
                <w:sz w:val="22"/>
                <w:szCs w:val="22"/>
                <w:lang w:eastAsia="en-AU"/>
              </w:rPr>
            </w:pPr>
            <w:r w:rsidRPr="00A0236C">
              <w:rPr>
                <w:rFonts w:cs="Arial"/>
                <w:color w:val="000000"/>
                <w:sz w:val="22"/>
                <w:szCs w:val="22"/>
                <w:lang w:eastAsia="en-AU"/>
              </w:rPr>
              <w:t>167</w:t>
            </w:r>
          </w:p>
        </w:tc>
      </w:tr>
      <w:tr w:rsidR="00D44A31" w:rsidRPr="00A0236C" w14:paraId="45DB2BFE" w14:textId="77777777" w:rsidTr="00EC007F">
        <w:trPr>
          <w:trHeight w:val="280"/>
        </w:trPr>
        <w:tc>
          <w:tcPr>
            <w:tcW w:w="3397" w:type="dxa"/>
            <w:shd w:val="clear" w:color="auto" w:fill="auto"/>
            <w:noWrap/>
            <w:vAlign w:val="bottom"/>
            <w:hideMark/>
          </w:tcPr>
          <w:p w14:paraId="417382AA" w14:textId="77777777" w:rsidR="00D44A31" w:rsidRPr="00A0236C" w:rsidRDefault="00D44A31" w:rsidP="00A0236C">
            <w:pPr>
              <w:spacing w:before="0" w:after="0" w:line="240" w:lineRule="auto"/>
              <w:rPr>
                <w:rFonts w:cs="Arial"/>
                <w:color w:val="000000"/>
                <w:sz w:val="22"/>
                <w:szCs w:val="22"/>
                <w:lang w:eastAsia="en-AU"/>
              </w:rPr>
            </w:pPr>
            <w:r w:rsidRPr="00A0236C">
              <w:rPr>
                <w:rFonts w:cs="Arial"/>
                <w:color w:val="000000"/>
                <w:sz w:val="22"/>
                <w:szCs w:val="22"/>
                <w:lang w:eastAsia="en-AU"/>
              </w:rPr>
              <w:t>Western NSW</w:t>
            </w:r>
          </w:p>
        </w:tc>
        <w:tc>
          <w:tcPr>
            <w:tcW w:w="1560" w:type="dxa"/>
          </w:tcPr>
          <w:p w14:paraId="07687D7E" w14:textId="77777777" w:rsidR="00D44A31" w:rsidRDefault="006146DF" w:rsidP="006E24ED">
            <w:pPr>
              <w:spacing w:before="0" w:after="0" w:line="240" w:lineRule="auto"/>
              <w:jc w:val="center"/>
              <w:rPr>
                <w:rFonts w:cs="Arial"/>
                <w:color w:val="000000"/>
                <w:sz w:val="22"/>
                <w:szCs w:val="22"/>
                <w:lang w:eastAsia="en-AU"/>
              </w:rPr>
            </w:pPr>
            <w:r>
              <w:rPr>
                <w:rFonts w:cs="Arial"/>
                <w:color w:val="000000"/>
                <w:sz w:val="22"/>
                <w:szCs w:val="22"/>
                <w:lang w:eastAsia="en-AU"/>
              </w:rPr>
              <w:t>11</w:t>
            </w:r>
          </w:p>
        </w:tc>
        <w:tc>
          <w:tcPr>
            <w:tcW w:w="1553" w:type="dxa"/>
          </w:tcPr>
          <w:p w14:paraId="4EA2F40F" w14:textId="77777777" w:rsidR="00D44A31" w:rsidRPr="00A0236C" w:rsidRDefault="006146DF" w:rsidP="006E24ED">
            <w:pPr>
              <w:spacing w:before="0" w:after="0" w:line="240" w:lineRule="auto"/>
              <w:jc w:val="center"/>
              <w:rPr>
                <w:rFonts w:cs="Arial"/>
                <w:color w:val="000000"/>
                <w:sz w:val="22"/>
                <w:szCs w:val="22"/>
                <w:lang w:eastAsia="en-AU"/>
              </w:rPr>
            </w:pPr>
            <w:r>
              <w:rPr>
                <w:rFonts w:cs="Arial"/>
                <w:color w:val="000000"/>
                <w:sz w:val="22"/>
                <w:szCs w:val="22"/>
                <w:lang w:eastAsia="en-AU"/>
              </w:rPr>
              <w:t>12</w:t>
            </w:r>
          </w:p>
        </w:tc>
        <w:tc>
          <w:tcPr>
            <w:tcW w:w="2268" w:type="dxa"/>
            <w:shd w:val="clear" w:color="auto" w:fill="auto"/>
            <w:noWrap/>
            <w:vAlign w:val="bottom"/>
            <w:hideMark/>
          </w:tcPr>
          <w:p w14:paraId="5C79C082" w14:textId="77777777" w:rsidR="00D44A31" w:rsidRPr="00A0236C" w:rsidRDefault="00D44A31" w:rsidP="006E24ED">
            <w:pPr>
              <w:spacing w:before="0" w:after="0" w:line="240" w:lineRule="auto"/>
              <w:jc w:val="center"/>
              <w:rPr>
                <w:rFonts w:cs="Arial"/>
                <w:color w:val="000000"/>
                <w:sz w:val="22"/>
                <w:szCs w:val="22"/>
                <w:lang w:eastAsia="en-AU"/>
              </w:rPr>
            </w:pPr>
            <w:r w:rsidRPr="00A0236C">
              <w:rPr>
                <w:rFonts w:cs="Arial"/>
                <w:color w:val="000000"/>
                <w:sz w:val="22"/>
                <w:szCs w:val="22"/>
                <w:lang w:eastAsia="en-AU"/>
              </w:rPr>
              <w:t>23</w:t>
            </w:r>
          </w:p>
        </w:tc>
      </w:tr>
      <w:tr w:rsidR="00D44A31" w:rsidRPr="00A0236C" w14:paraId="1970EB31" w14:textId="77777777" w:rsidTr="00EC007F">
        <w:trPr>
          <w:trHeight w:val="280"/>
        </w:trPr>
        <w:tc>
          <w:tcPr>
            <w:tcW w:w="3397" w:type="dxa"/>
            <w:shd w:val="clear" w:color="auto" w:fill="auto"/>
            <w:noWrap/>
            <w:vAlign w:val="bottom"/>
            <w:hideMark/>
          </w:tcPr>
          <w:p w14:paraId="04339747" w14:textId="77777777" w:rsidR="00D44A31" w:rsidRPr="00A0236C" w:rsidRDefault="00D44A31" w:rsidP="00A0236C">
            <w:pPr>
              <w:spacing w:before="0" w:after="0" w:line="240" w:lineRule="auto"/>
              <w:rPr>
                <w:rFonts w:cs="Arial"/>
                <w:b/>
                <w:bCs/>
                <w:color w:val="000000"/>
                <w:sz w:val="22"/>
                <w:szCs w:val="22"/>
                <w:lang w:eastAsia="en-AU"/>
              </w:rPr>
            </w:pPr>
            <w:r w:rsidRPr="00A0236C">
              <w:rPr>
                <w:rFonts w:cs="Arial"/>
                <w:b/>
                <w:bCs/>
                <w:color w:val="000000"/>
                <w:sz w:val="22"/>
                <w:szCs w:val="22"/>
                <w:lang w:eastAsia="en-AU"/>
              </w:rPr>
              <w:t>Total</w:t>
            </w:r>
          </w:p>
        </w:tc>
        <w:tc>
          <w:tcPr>
            <w:tcW w:w="1560" w:type="dxa"/>
          </w:tcPr>
          <w:p w14:paraId="4A3F36C4" w14:textId="60DF08F6" w:rsidR="00D44A31" w:rsidRPr="001A5AE7" w:rsidRDefault="001A5AE7" w:rsidP="006E24ED">
            <w:pPr>
              <w:spacing w:before="0" w:after="0" w:line="240" w:lineRule="auto"/>
              <w:jc w:val="center"/>
              <w:rPr>
                <w:rFonts w:cs="Arial"/>
                <w:bCs/>
                <w:color w:val="000000"/>
                <w:sz w:val="22"/>
                <w:szCs w:val="22"/>
                <w:lang w:eastAsia="en-AU"/>
              </w:rPr>
            </w:pPr>
            <w:r w:rsidRPr="001A5AE7">
              <w:rPr>
                <w:rFonts w:cs="Arial"/>
                <w:bCs/>
                <w:color w:val="000000"/>
                <w:sz w:val="22"/>
                <w:szCs w:val="22"/>
                <w:lang w:eastAsia="en-AU"/>
              </w:rPr>
              <w:t>-</w:t>
            </w:r>
          </w:p>
        </w:tc>
        <w:tc>
          <w:tcPr>
            <w:tcW w:w="1553" w:type="dxa"/>
          </w:tcPr>
          <w:p w14:paraId="7624CAFA" w14:textId="6C53FF44" w:rsidR="00D44A31" w:rsidRPr="001A5AE7" w:rsidRDefault="001A5AE7" w:rsidP="006E24ED">
            <w:pPr>
              <w:spacing w:before="0" w:after="0" w:line="240" w:lineRule="auto"/>
              <w:jc w:val="center"/>
              <w:rPr>
                <w:rFonts w:cs="Arial"/>
                <w:bCs/>
                <w:color w:val="000000"/>
                <w:sz w:val="22"/>
                <w:szCs w:val="22"/>
                <w:lang w:eastAsia="en-AU"/>
              </w:rPr>
            </w:pPr>
            <w:r w:rsidRPr="001A5AE7">
              <w:rPr>
                <w:rFonts w:cs="Arial"/>
                <w:bCs/>
                <w:color w:val="000000"/>
                <w:sz w:val="22"/>
                <w:szCs w:val="22"/>
                <w:lang w:eastAsia="en-AU"/>
              </w:rPr>
              <w:t>-</w:t>
            </w:r>
          </w:p>
        </w:tc>
        <w:tc>
          <w:tcPr>
            <w:tcW w:w="2268" w:type="dxa"/>
            <w:shd w:val="clear" w:color="auto" w:fill="auto"/>
            <w:noWrap/>
            <w:vAlign w:val="bottom"/>
            <w:hideMark/>
          </w:tcPr>
          <w:p w14:paraId="7C8BC77C" w14:textId="77777777" w:rsidR="00D44A31" w:rsidRPr="00A0236C" w:rsidRDefault="00D44A31" w:rsidP="006E24ED">
            <w:pPr>
              <w:spacing w:before="0" w:after="0" w:line="240" w:lineRule="auto"/>
              <w:jc w:val="center"/>
              <w:rPr>
                <w:rFonts w:cs="Arial"/>
                <w:b/>
                <w:bCs/>
                <w:color w:val="000000"/>
                <w:sz w:val="22"/>
                <w:szCs w:val="22"/>
                <w:lang w:eastAsia="en-AU"/>
              </w:rPr>
            </w:pPr>
            <w:r w:rsidRPr="00A0236C">
              <w:rPr>
                <w:rFonts w:cs="Arial"/>
                <w:b/>
                <w:bCs/>
                <w:color w:val="000000"/>
                <w:sz w:val="22"/>
                <w:szCs w:val="22"/>
                <w:lang w:eastAsia="en-AU"/>
              </w:rPr>
              <w:t>930</w:t>
            </w:r>
          </w:p>
        </w:tc>
      </w:tr>
    </w:tbl>
    <w:p w14:paraId="1BFB761E" w14:textId="77777777" w:rsidR="007D0C28" w:rsidRPr="00425E42" w:rsidRDefault="007D0C28" w:rsidP="00425E42">
      <w:pPr>
        <w:pStyle w:val="ListBullet"/>
        <w:numPr>
          <w:ilvl w:val="0"/>
          <w:numId w:val="0"/>
        </w:numPr>
        <w:spacing w:before="0" w:after="120"/>
        <w:rPr>
          <w:sz w:val="16"/>
          <w:szCs w:val="16"/>
        </w:rPr>
      </w:pPr>
      <w:r w:rsidRPr="00425E42">
        <w:rPr>
          <w:sz w:val="16"/>
          <w:szCs w:val="16"/>
        </w:rPr>
        <w:t xml:space="preserve">*allocations </w:t>
      </w:r>
      <w:r w:rsidR="00396CC9">
        <w:rPr>
          <w:sz w:val="16"/>
          <w:szCs w:val="16"/>
        </w:rPr>
        <w:t xml:space="preserve">may be lower in some regions </w:t>
      </w:r>
      <w:r w:rsidR="00D40AD1">
        <w:rPr>
          <w:sz w:val="16"/>
          <w:szCs w:val="16"/>
        </w:rPr>
        <w:t>if</w:t>
      </w:r>
      <w:r w:rsidR="000A48D2">
        <w:rPr>
          <w:sz w:val="16"/>
          <w:szCs w:val="16"/>
        </w:rPr>
        <w:t xml:space="preserve"> </w:t>
      </w:r>
      <w:r w:rsidRPr="00425E42">
        <w:rPr>
          <w:sz w:val="16"/>
          <w:szCs w:val="16"/>
        </w:rPr>
        <w:t>NJPT grant recipients</w:t>
      </w:r>
      <w:r w:rsidR="000A48D2">
        <w:rPr>
          <w:sz w:val="16"/>
          <w:szCs w:val="16"/>
        </w:rPr>
        <w:t xml:space="preserve"> and </w:t>
      </w:r>
      <w:r w:rsidR="00C65F6A">
        <w:rPr>
          <w:sz w:val="16"/>
          <w:szCs w:val="16"/>
        </w:rPr>
        <w:t>existing</w:t>
      </w:r>
      <w:r w:rsidR="000A48D2">
        <w:rPr>
          <w:sz w:val="16"/>
          <w:szCs w:val="16"/>
        </w:rPr>
        <w:t xml:space="preserve"> funded jobs</w:t>
      </w:r>
      <w:r w:rsidR="00C65F6A">
        <w:rPr>
          <w:sz w:val="16"/>
          <w:szCs w:val="16"/>
        </w:rPr>
        <w:t xml:space="preserve"> </w:t>
      </w:r>
      <w:r w:rsidRPr="00425E42">
        <w:rPr>
          <w:sz w:val="16"/>
          <w:szCs w:val="16"/>
        </w:rPr>
        <w:t xml:space="preserve">transition into </w:t>
      </w:r>
      <w:r w:rsidR="006146DF" w:rsidRPr="00425E42">
        <w:rPr>
          <w:sz w:val="16"/>
          <w:szCs w:val="16"/>
        </w:rPr>
        <w:t>RJED</w:t>
      </w:r>
    </w:p>
    <w:p w14:paraId="18EF2309" w14:textId="77777777" w:rsidR="005A2004" w:rsidRDefault="005A2004" w:rsidP="005A2004">
      <w:pPr>
        <w:pStyle w:val="ListBullet"/>
        <w:numPr>
          <w:ilvl w:val="0"/>
          <w:numId w:val="0"/>
        </w:numPr>
        <w:spacing w:before="120" w:after="120"/>
      </w:pPr>
      <w:r>
        <w:t xml:space="preserve">Pending </w:t>
      </w:r>
      <w:r w:rsidR="00700E12">
        <w:t xml:space="preserve">final </w:t>
      </w:r>
      <w:r w:rsidR="00780349">
        <w:t>decisions on</w:t>
      </w:r>
      <w:r>
        <w:t xml:space="preserve"> </w:t>
      </w:r>
      <w:r w:rsidR="00461062">
        <w:t xml:space="preserve">grant applications </w:t>
      </w:r>
      <w:r>
        <w:t xml:space="preserve">in </w:t>
      </w:r>
      <w:r w:rsidR="0095092C">
        <w:t>Grant Rounds One and Two</w:t>
      </w:r>
      <w:r>
        <w:t xml:space="preserve">, allocations within each </w:t>
      </w:r>
      <w:r w:rsidRPr="00561A4C">
        <w:t>eligible region</w:t>
      </w:r>
      <w:r>
        <w:t xml:space="preserve"> will be revised and published </w:t>
      </w:r>
      <w:r w:rsidR="00780349">
        <w:t>on GrantConnect</w:t>
      </w:r>
      <w:r w:rsidRPr="00561A4C">
        <w:t>. If the entire job allocation for a region is not required</w:t>
      </w:r>
      <w:r>
        <w:t xml:space="preserve"> for that region, available jobs may be re-allocated to other </w:t>
      </w:r>
      <w:r w:rsidRPr="00897B41">
        <w:t>regions</w:t>
      </w:r>
      <w:r>
        <w:t xml:space="preserve">. </w:t>
      </w:r>
      <w:r w:rsidRPr="00294541">
        <w:t xml:space="preserve">The Program Delegate makes the final decision on </w:t>
      </w:r>
      <w:r>
        <w:t>reallocation of jobs within regions</w:t>
      </w:r>
      <w:r w:rsidRPr="00294541">
        <w:t>.</w:t>
      </w:r>
    </w:p>
    <w:p w14:paraId="42BC4706" w14:textId="77777777" w:rsidR="005A2004" w:rsidRPr="009F02A2" w:rsidRDefault="005A2004" w:rsidP="009F02A2">
      <w:pPr>
        <w:pStyle w:val="ListBullet"/>
        <w:rPr>
          <w:rStyle w:val="highlightedtextChar"/>
          <w:rFonts w:ascii="Arial" w:hAnsi="Arial" w:cs="Arial"/>
          <w:b w:val="0"/>
          <w:color w:val="auto"/>
          <w:sz w:val="20"/>
          <w:szCs w:val="20"/>
        </w:rPr>
      </w:pPr>
      <w:r w:rsidRPr="009F02A2">
        <w:rPr>
          <w:rStyle w:val="highlightedtextChar"/>
          <w:rFonts w:ascii="Arial" w:hAnsi="Arial" w:cs="Arial"/>
          <w:b w:val="0"/>
          <w:color w:val="auto"/>
          <w:sz w:val="20"/>
          <w:szCs w:val="20"/>
        </w:rPr>
        <w:t xml:space="preserve">Applications </w:t>
      </w:r>
      <w:r w:rsidR="00C65F6A" w:rsidRPr="009F02A2">
        <w:rPr>
          <w:rStyle w:val="highlightedtextChar"/>
          <w:rFonts w:ascii="Arial" w:hAnsi="Arial" w:cs="Arial"/>
          <w:b w:val="0"/>
          <w:color w:val="auto"/>
          <w:sz w:val="20"/>
          <w:szCs w:val="20"/>
        </w:rPr>
        <w:t xml:space="preserve">will be assessed by region. </w:t>
      </w:r>
      <w:r w:rsidRPr="009F02A2">
        <w:rPr>
          <w:rStyle w:val="highlightedtextChar"/>
          <w:rFonts w:ascii="Arial" w:hAnsi="Arial" w:cs="Arial"/>
          <w:b w:val="0"/>
          <w:color w:val="auto"/>
          <w:sz w:val="20"/>
          <w:szCs w:val="20"/>
        </w:rPr>
        <w:t xml:space="preserve">Eligible applications will be comparatively assessed against other applications for the same region.  </w:t>
      </w:r>
    </w:p>
    <w:p w14:paraId="5988C7F4" w14:textId="77777777" w:rsidR="005A2004" w:rsidRPr="009F02A2" w:rsidRDefault="005A2004" w:rsidP="009F02A2">
      <w:pPr>
        <w:pStyle w:val="ListBullet"/>
        <w:rPr>
          <w:rStyle w:val="highlightedtextChar"/>
          <w:rFonts w:ascii="Arial" w:hAnsi="Arial" w:cs="Arial"/>
          <w:b w:val="0"/>
          <w:color w:val="auto"/>
          <w:sz w:val="20"/>
          <w:szCs w:val="20"/>
        </w:rPr>
      </w:pPr>
      <w:r w:rsidRPr="009F02A2">
        <w:rPr>
          <w:rStyle w:val="highlightedtextChar"/>
          <w:rFonts w:ascii="Arial" w:hAnsi="Arial" w:cs="Arial"/>
          <w:b w:val="0"/>
          <w:color w:val="auto"/>
          <w:sz w:val="20"/>
          <w:szCs w:val="20"/>
        </w:rPr>
        <w:t>Applications may not be successful even if they meet all the criteria, or ma</w:t>
      </w:r>
      <w:r w:rsidR="00417080" w:rsidRPr="009F02A2">
        <w:rPr>
          <w:rStyle w:val="highlightedtextChar"/>
          <w:rFonts w:ascii="Arial" w:hAnsi="Arial" w:cs="Arial"/>
          <w:b w:val="0"/>
          <w:color w:val="auto"/>
          <w:sz w:val="20"/>
          <w:szCs w:val="20"/>
        </w:rPr>
        <w:t>y be successful only in part (for example,</w:t>
      </w:r>
      <w:r w:rsidRPr="009F02A2">
        <w:rPr>
          <w:rStyle w:val="highlightedtextChar"/>
          <w:rFonts w:ascii="Arial" w:hAnsi="Arial" w:cs="Arial"/>
          <w:b w:val="0"/>
          <w:color w:val="auto"/>
          <w:sz w:val="20"/>
          <w:szCs w:val="20"/>
        </w:rPr>
        <w:t xml:space="preserve"> they may not receive funding for the full </w:t>
      </w:r>
      <w:r w:rsidR="00417080" w:rsidRPr="009F02A2">
        <w:rPr>
          <w:rStyle w:val="highlightedtextChar"/>
          <w:rFonts w:ascii="Arial" w:hAnsi="Arial" w:cs="Arial"/>
          <w:b w:val="0"/>
          <w:color w:val="auto"/>
          <w:sz w:val="20"/>
          <w:szCs w:val="20"/>
        </w:rPr>
        <w:t>number</w:t>
      </w:r>
      <w:r w:rsidRPr="009F02A2">
        <w:rPr>
          <w:rStyle w:val="highlightedtextChar"/>
          <w:rFonts w:ascii="Arial" w:hAnsi="Arial" w:cs="Arial"/>
          <w:b w:val="0"/>
          <w:color w:val="auto"/>
          <w:sz w:val="20"/>
          <w:szCs w:val="20"/>
        </w:rPr>
        <w:t xml:space="preserve"> of jobs requested).</w:t>
      </w:r>
    </w:p>
    <w:p w14:paraId="6F6BB195" w14:textId="77777777" w:rsidR="005A2004" w:rsidRPr="009F02A2" w:rsidRDefault="005A1754" w:rsidP="009F02A2">
      <w:pPr>
        <w:pStyle w:val="ListBullet"/>
        <w:rPr>
          <w:rStyle w:val="highlightedtextChar"/>
          <w:rFonts w:ascii="Arial" w:hAnsi="Arial" w:cs="Arial"/>
          <w:b w:val="0"/>
          <w:color w:val="auto"/>
          <w:sz w:val="20"/>
          <w:szCs w:val="20"/>
        </w:rPr>
      </w:pPr>
      <w:r w:rsidRPr="009F02A2">
        <w:rPr>
          <w:rStyle w:val="highlightedtextChar"/>
          <w:rFonts w:ascii="Arial" w:hAnsi="Arial" w:cs="Arial"/>
          <w:b w:val="0"/>
          <w:color w:val="auto"/>
          <w:sz w:val="20"/>
          <w:szCs w:val="20"/>
        </w:rPr>
        <w:t xml:space="preserve">No </w:t>
      </w:r>
      <w:r w:rsidR="008F1385" w:rsidRPr="009F02A2">
        <w:rPr>
          <w:rStyle w:val="highlightedtextChar"/>
          <w:rFonts w:ascii="Arial" w:hAnsi="Arial" w:cs="Arial"/>
          <w:b w:val="0"/>
          <w:color w:val="auto"/>
          <w:sz w:val="20"/>
          <w:szCs w:val="20"/>
        </w:rPr>
        <w:t xml:space="preserve">regional </w:t>
      </w:r>
      <w:r w:rsidRPr="009F02A2">
        <w:rPr>
          <w:rStyle w:val="highlightedtextChar"/>
          <w:rFonts w:ascii="Arial" w:hAnsi="Arial" w:cs="Arial"/>
          <w:b w:val="0"/>
          <w:color w:val="auto"/>
          <w:sz w:val="20"/>
          <w:szCs w:val="20"/>
        </w:rPr>
        <w:t xml:space="preserve">allocations will be applied to </w:t>
      </w:r>
      <w:r w:rsidR="008F1385" w:rsidRPr="009F02A2">
        <w:rPr>
          <w:rStyle w:val="highlightedtextChar"/>
          <w:rFonts w:ascii="Arial" w:hAnsi="Arial" w:cs="Arial"/>
          <w:b w:val="0"/>
          <w:color w:val="auto"/>
          <w:sz w:val="20"/>
          <w:szCs w:val="20"/>
        </w:rPr>
        <w:t xml:space="preserve">funding under </w:t>
      </w:r>
      <w:r w:rsidRPr="009F02A2">
        <w:rPr>
          <w:rStyle w:val="highlightedtextChar"/>
          <w:rFonts w:ascii="Arial" w:hAnsi="Arial" w:cs="Arial"/>
          <w:b w:val="0"/>
          <w:color w:val="auto"/>
          <w:sz w:val="20"/>
          <w:szCs w:val="20"/>
        </w:rPr>
        <w:t xml:space="preserve">the </w:t>
      </w:r>
      <w:r w:rsidR="005A2004" w:rsidRPr="009F02A2">
        <w:rPr>
          <w:rStyle w:val="highlightedtextChar"/>
          <w:rFonts w:ascii="Arial" w:hAnsi="Arial" w:cs="Arial"/>
          <w:b w:val="0"/>
          <w:color w:val="auto"/>
          <w:sz w:val="20"/>
          <w:szCs w:val="20"/>
        </w:rPr>
        <w:t>Community Jobs and Business Fund</w:t>
      </w:r>
      <w:r w:rsidRPr="009F02A2">
        <w:rPr>
          <w:rStyle w:val="highlightedtextChar"/>
          <w:rFonts w:ascii="Arial" w:hAnsi="Arial" w:cs="Arial"/>
          <w:b w:val="0"/>
          <w:color w:val="auto"/>
          <w:sz w:val="20"/>
          <w:szCs w:val="20"/>
        </w:rPr>
        <w:t xml:space="preserve">, however, consideration of funding </w:t>
      </w:r>
      <w:r w:rsidR="008F1385" w:rsidRPr="009F02A2">
        <w:rPr>
          <w:rStyle w:val="highlightedtextChar"/>
          <w:rFonts w:ascii="Arial" w:hAnsi="Arial" w:cs="Arial"/>
          <w:b w:val="0"/>
          <w:color w:val="auto"/>
          <w:sz w:val="20"/>
          <w:szCs w:val="20"/>
        </w:rPr>
        <w:t xml:space="preserve">amounts </w:t>
      </w:r>
      <w:r w:rsidR="007D0C28" w:rsidRPr="009F02A2">
        <w:rPr>
          <w:rStyle w:val="highlightedtextChar"/>
          <w:rFonts w:ascii="Arial" w:hAnsi="Arial" w:cs="Arial"/>
          <w:b w:val="0"/>
          <w:color w:val="auto"/>
          <w:sz w:val="20"/>
          <w:szCs w:val="20"/>
        </w:rPr>
        <w:t xml:space="preserve">will be determined in proportion to </w:t>
      </w:r>
      <w:r w:rsidR="008F1385" w:rsidRPr="009F02A2">
        <w:rPr>
          <w:rStyle w:val="highlightedtextChar"/>
          <w:rFonts w:ascii="Arial" w:hAnsi="Arial" w:cs="Arial"/>
          <w:b w:val="0"/>
          <w:color w:val="auto"/>
          <w:sz w:val="20"/>
          <w:szCs w:val="20"/>
        </w:rPr>
        <w:t xml:space="preserve">the </w:t>
      </w:r>
      <w:r w:rsidR="00461062" w:rsidRPr="009F02A2">
        <w:rPr>
          <w:rStyle w:val="highlightedtextChar"/>
          <w:rFonts w:ascii="Arial" w:hAnsi="Arial" w:cs="Arial"/>
          <w:b w:val="0"/>
          <w:color w:val="auto"/>
          <w:sz w:val="20"/>
          <w:szCs w:val="20"/>
        </w:rPr>
        <w:t>approved Job Creation element</w:t>
      </w:r>
      <w:r w:rsidR="002216DC" w:rsidRPr="009F02A2">
        <w:rPr>
          <w:rStyle w:val="highlightedtextChar"/>
          <w:rFonts w:ascii="Arial" w:hAnsi="Arial" w:cs="Arial"/>
          <w:b w:val="0"/>
          <w:color w:val="auto"/>
          <w:sz w:val="20"/>
          <w:szCs w:val="20"/>
        </w:rPr>
        <w:t xml:space="preserve"> with the Program Delegate making a final decision</w:t>
      </w:r>
      <w:r w:rsidR="008F1385" w:rsidRPr="009F02A2">
        <w:rPr>
          <w:rStyle w:val="highlightedtextChar"/>
          <w:rFonts w:ascii="Arial" w:hAnsi="Arial" w:cs="Arial"/>
          <w:b w:val="0"/>
          <w:color w:val="auto"/>
          <w:sz w:val="20"/>
          <w:szCs w:val="20"/>
        </w:rPr>
        <w:t xml:space="preserve">. </w:t>
      </w:r>
    </w:p>
    <w:p w14:paraId="7CE46B4E" w14:textId="30DEE3E3" w:rsidR="00285F58" w:rsidRPr="00DF637B" w:rsidRDefault="000E2D44" w:rsidP="00A4685F">
      <w:pPr>
        <w:pStyle w:val="Heading2"/>
        <w:numPr>
          <w:ilvl w:val="0"/>
          <w:numId w:val="8"/>
        </w:numPr>
      </w:pPr>
      <w:bookmarkStart w:id="12" w:name="_Toc170734110"/>
      <w:r>
        <w:t>E</w:t>
      </w:r>
      <w:r w:rsidR="00285F58">
        <w:t>ligibility criteria</w:t>
      </w:r>
      <w:bookmarkEnd w:id="12"/>
    </w:p>
    <w:p w14:paraId="61F5819A" w14:textId="77777777" w:rsidR="00417080" w:rsidRDefault="00417080" w:rsidP="005A2004">
      <w:bookmarkStart w:id="13" w:name="_Ref437348317"/>
      <w:bookmarkStart w:id="14" w:name="_Ref437348323"/>
      <w:bookmarkStart w:id="15" w:name="_Ref437349175"/>
      <w:r>
        <w:t>In line with the Government’s commitment to su</w:t>
      </w:r>
      <w:r w:rsidRPr="00417080">
        <w:t>pport remote communities to determine local projects and job priorities to increase economic opportunities in their areas</w:t>
      </w:r>
      <w:r>
        <w:t xml:space="preserve">, applicants are required to </w:t>
      </w:r>
      <w:r w:rsidR="0035217B">
        <w:t xml:space="preserve">demonstrate how they </w:t>
      </w:r>
      <w:r>
        <w:t xml:space="preserve">work with and </w:t>
      </w:r>
      <w:r w:rsidR="0035217B">
        <w:t>have an</w:t>
      </w:r>
      <w:r>
        <w:t xml:space="preserve"> ongoing commitment to working with their local community on the creation of the new jobs funded under RJED.</w:t>
      </w:r>
    </w:p>
    <w:p w14:paraId="2279CAF0" w14:textId="77777777" w:rsidR="005A2004" w:rsidRDefault="005A2004" w:rsidP="005A2004">
      <w:r>
        <w:t>Organisations</w:t>
      </w:r>
      <w:r w:rsidRPr="00E7757A">
        <w:t xml:space="preserve"> that are not eligible to apply for funding are encouraged to consider partnering with an eligible organisation</w:t>
      </w:r>
      <w:r>
        <w:t xml:space="preserve"> (refer to section </w:t>
      </w:r>
      <w:r w:rsidRPr="005A1754">
        <w:t>7.2</w:t>
      </w:r>
      <w:r>
        <w:t xml:space="preserve"> for more information)</w:t>
      </w:r>
      <w:r w:rsidRPr="00E7757A">
        <w:t>.</w:t>
      </w:r>
    </w:p>
    <w:p w14:paraId="356B126F" w14:textId="77777777" w:rsidR="003C743F" w:rsidRPr="00AB219F" w:rsidRDefault="005A2004" w:rsidP="005A2004">
      <w:r>
        <w:rPr>
          <w:rStyle w:val="ui-provider"/>
        </w:rPr>
        <w:t>Grant recipients that are being funded under the New Jobs Program Trial (NJPT) may be eligible for funding under RJED through a transitional arrangement</w:t>
      </w:r>
      <w:r w:rsidR="003C743F">
        <w:rPr>
          <w:rStyle w:val="ui-provider"/>
        </w:rPr>
        <w:t>.</w:t>
      </w:r>
    </w:p>
    <w:p w14:paraId="67AEFD78" w14:textId="77777777" w:rsidR="00A35F51" w:rsidRDefault="001A6862" w:rsidP="004D16DF">
      <w:pPr>
        <w:pStyle w:val="Heading3"/>
        <w:ind w:left="1134"/>
      </w:pPr>
      <w:bookmarkStart w:id="16" w:name="_Ref485202969"/>
      <w:bookmarkStart w:id="17" w:name="_Toc170734111"/>
      <w:r>
        <w:t xml:space="preserve">Who </w:t>
      </w:r>
      <w:r w:rsidR="009F7B46">
        <w:t>is eligible</w:t>
      </w:r>
      <w:r w:rsidR="00A60CA0">
        <w:t xml:space="preserve"> to apply for a grant</w:t>
      </w:r>
      <w:r w:rsidR="009F7B46">
        <w:t>?</w:t>
      </w:r>
      <w:bookmarkEnd w:id="13"/>
      <w:bookmarkEnd w:id="14"/>
      <w:bookmarkEnd w:id="15"/>
      <w:bookmarkEnd w:id="16"/>
      <w:bookmarkEnd w:id="17"/>
    </w:p>
    <w:p w14:paraId="3F3ED9EF" w14:textId="77777777" w:rsidR="003271A6" w:rsidRPr="00694DF9" w:rsidRDefault="004054F0" w:rsidP="003271A6">
      <w:r>
        <w:t xml:space="preserve">Your application can only be considered if you satisfy all the eligibility criteria. </w:t>
      </w:r>
      <w:r w:rsidR="00585950" w:rsidRPr="00694DF9">
        <w:t>To</w:t>
      </w:r>
      <w:r w:rsidR="003271A6" w:rsidRPr="00694DF9">
        <w:t xml:space="preserve"> be eligible </w:t>
      </w:r>
      <w:r w:rsidR="000E3BBC">
        <w:t>you</w:t>
      </w:r>
      <w:r w:rsidR="003271A6" w:rsidRPr="00694DF9">
        <w:t xml:space="preserve"> must:</w:t>
      </w:r>
    </w:p>
    <w:p w14:paraId="693B6A88" w14:textId="77777777" w:rsidR="00E90711" w:rsidRDefault="00811D46" w:rsidP="00E90711">
      <w:pPr>
        <w:pStyle w:val="ListBullet"/>
        <w:rPr>
          <w:rFonts w:cs="Arial"/>
        </w:rPr>
      </w:pPr>
      <w:r>
        <w:rPr>
          <w:rFonts w:cs="Arial"/>
        </w:rPr>
        <w:t>b</w:t>
      </w:r>
      <w:r w:rsidR="00E90711">
        <w:rPr>
          <w:rFonts w:cs="Arial"/>
        </w:rPr>
        <w:t>e</w:t>
      </w:r>
      <w:r w:rsidR="00A35989">
        <w:rPr>
          <w:rFonts w:cs="Arial"/>
        </w:rPr>
        <w:t xml:space="preserve"> </w:t>
      </w:r>
      <w:r w:rsidR="004054F0">
        <w:rPr>
          <w:rFonts w:cs="Arial"/>
        </w:rPr>
        <w:t xml:space="preserve">one of the following </w:t>
      </w:r>
      <w:r w:rsidR="000E3BBC" w:rsidRPr="00225659">
        <w:rPr>
          <w:rFonts w:cs="Arial"/>
        </w:rPr>
        <w:t xml:space="preserve">eligible </w:t>
      </w:r>
      <w:r w:rsidR="00A35989" w:rsidRPr="00225659">
        <w:rPr>
          <w:rFonts w:cs="Arial"/>
        </w:rPr>
        <w:t>entity</w:t>
      </w:r>
      <w:r w:rsidR="009454E2" w:rsidRPr="00225659">
        <w:rPr>
          <w:rFonts w:cs="Arial"/>
        </w:rPr>
        <w:t xml:space="preserve"> type</w:t>
      </w:r>
      <w:r w:rsidR="004054F0">
        <w:rPr>
          <w:rFonts w:cs="Arial"/>
        </w:rPr>
        <w:t>s</w:t>
      </w:r>
      <w:r w:rsidR="00417080">
        <w:rPr>
          <w:rFonts w:cs="Arial"/>
        </w:rPr>
        <w:t xml:space="preserve"> located in </w:t>
      </w:r>
      <w:r w:rsidR="00417080" w:rsidRPr="000E3BBC">
        <w:rPr>
          <w:rFonts w:cs="Arial"/>
        </w:rPr>
        <w:t xml:space="preserve">at least one </w:t>
      </w:r>
      <w:r w:rsidR="00417080" w:rsidRPr="00225659">
        <w:rPr>
          <w:rFonts w:cs="Arial"/>
        </w:rPr>
        <w:t xml:space="preserve">eligible </w:t>
      </w:r>
      <w:r w:rsidR="00417080">
        <w:rPr>
          <w:rFonts w:cs="Arial"/>
        </w:rPr>
        <w:t>CDP region</w:t>
      </w:r>
    </w:p>
    <w:p w14:paraId="2772D2E7" w14:textId="77777777" w:rsidR="004054F0" w:rsidRPr="00A52207" w:rsidRDefault="004054F0" w:rsidP="004054F0">
      <w:pPr>
        <w:pStyle w:val="ListBullet"/>
        <w:numPr>
          <w:ilvl w:val="1"/>
          <w:numId w:val="10"/>
        </w:numPr>
      </w:pPr>
      <w:r w:rsidRPr="00A52207">
        <w:t xml:space="preserve">an </w:t>
      </w:r>
      <w:r w:rsidRPr="003224A6">
        <w:rPr>
          <w:rFonts w:cs="Arial"/>
        </w:rPr>
        <w:t>Aboriginal</w:t>
      </w:r>
      <w:r w:rsidRPr="00A52207">
        <w:t xml:space="preserve"> and/or Torres Strait Islander Corporation registered under the </w:t>
      </w:r>
      <w:hyperlink r:id="rId31" w:history="1">
        <w:r w:rsidRPr="00A52207">
          <w:rPr>
            <w:rStyle w:val="Hyperlink"/>
            <w:i/>
          </w:rPr>
          <w:t>Corporations (Aboriginal and /or Torres Strait Islander) Act 2006</w:t>
        </w:r>
      </w:hyperlink>
    </w:p>
    <w:p w14:paraId="7B11A62E" w14:textId="77777777" w:rsidR="004054F0" w:rsidRPr="00A52207" w:rsidRDefault="004054F0" w:rsidP="004054F0">
      <w:pPr>
        <w:pStyle w:val="ListBullet"/>
        <w:numPr>
          <w:ilvl w:val="1"/>
          <w:numId w:val="10"/>
        </w:numPr>
      </w:pPr>
      <w:r w:rsidRPr="00A52207">
        <w:t>a company incorporated in Australia</w:t>
      </w:r>
      <w:r>
        <w:t xml:space="preserve"> </w:t>
      </w:r>
      <w:r w:rsidRPr="009454E2">
        <w:t xml:space="preserve">under the </w:t>
      </w:r>
      <w:r w:rsidRPr="002216DC">
        <w:rPr>
          <w:i/>
        </w:rPr>
        <w:t>Corporations Act 2001</w:t>
      </w:r>
      <w:r>
        <w:t>, if Indigenous-majority owned</w:t>
      </w:r>
    </w:p>
    <w:p w14:paraId="6F2130BD" w14:textId="77777777" w:rsidR="004054F0" w:rsidRPr="00A52207" w:rsidRDefault="004054F0" w:rsidP="004054F0">
      <w:pPr>
        <w:pStyle w:val="ListBullet"/>
        <w:numPr>
          <w:ilvl w:val="1"/>
          <w:numId w:val="10"/>
        </w:numPr>
      </w:pPr>
      <w:r w:rsidRPr="00A52207">
        <w:t>an incorporated trustee on behalf of a trust</w:t>
      </w:r>
      <w:r>
        <w:rPr>
          <w:rStyle w:val="FootnoteReference"/>
        </w:rPr>
        <w:footnoteReference w:id="3"/>
      </w:r>
    </w:p>
    <w:p w14:paraId="6757B094" w14:textId="77777777" w:rsidR="004054F0" w:rsidRPr="00E7757A" w:rsidRDefault="004054F0" w:rsidP="004054F0">
      <w:pPr>
        <w:pStyle w:val="ListBullet"/>
        <w:numPr>
          <w:ilvl w:val="1"/>
          <w:numId w:val="10"/>
        </w:numPr>
      </w:pPr>
      <w:r w:rsidRPr="00E7757A">
        <w:t>an incorporated association</w:t>
      </w:r>
      <w:r>
        <w:t xml:space="preserve"> </w:t>
      </w:r>
      <w:r w:rsidRPr="009454E2">
        <w:t>(incorporated under state/territory legislation, commonly have 'Association' or 'Incorporated' or 'Inc' in their legal name)</w:t>
      </w:r>
    </w:p>
    <w:p w14:paraId="2A1E0997" w14:textId="77777777" w:rsidR="004054F0" w:rsidRPr="00A52207" w:rsidRDefault="004054F0" w:rsidP="004054F0">
      <w:pPr>
        <w:pStyle w:val="ListBullet"/>
        <w:numPr>
          <w:ilvl w:val="1"/>
          <w:numId w:val="10"/>
        </w:numPr>
      </w:pPr>
      <w:r w:rsidRPr="00A52207">
        <w:t>a partnership</w:t>
      </w:r>
    </w:p>
    <w:p w14:paraId="5D62A7F1" w14:textId="77777777" w:rsidR="004054F0" w:rsidRPr="00A52207" w:rsidRDefault="004054F0" w:rsidP="004054F0">
      <w:pPr>
        <w:pStyle w:val="ListBullet"/>
        <w:numPr>
          <w:ilvl w:val="1"/>
          <w:numId w:val="10"/>
        </w:numPr>
      </w:pPr>
      <w:r w:rsidRPr="00A52207">
        <w:t>a joint (consortia) application with a lead organisation</w:t>
      </w:r>
      <w:r>
        <w:t xml:space="preserve"> that satisfies the entity type</w:t>
      </w:r>
      <w:r>
        <w:rPr>
          <w:rStyle w:val="FootnoteReference"/>
        </w:rPr>
        <w:footnoteReference w:id="4"/>
      </w:r>
    </w:p>
    <w:p w14:paraId="2CD1AA55" w14:textId="77777777" w:rsidR="004054F0" w:rsidRPr="00E7757A" w:rsidRDefault="004054F0" w:rsidP="004054F0">
      <w:pPr>
        <w:pStyle w:val="ListBullet"/>
        <w:numPr>
          <w:ilvl w:val="1"/>
          <w:numId w:val="10"/>
        </w:numPr>
      </w:pPr>
      <w:r w:rsidRPr="00E7757A">
        <w:t>a registered charity or not-for-profit organisation</w:t>
      </w:r>
      <w:r>
        <w:t xml:space="preserve"> or</w:t>
      </w:r>
    </w:p>
    <w:p w14:paraId="02805A4C" w14:textId="77777777" w:rsidR="004054F0" w:rsidRDefault="004054F0" w:rsidP="004054F0">
      <w:pPr>
        <w:pStyle w:val="ListBullet"/>
        <w:numPr>
          <w:ilvl w:val="1"/>
          <w:numId w:val="10"/>
        </w:numPr>
      </w:pPr>
      <w:r w:rsidRPr="00A52207">
        <w:t>an Australian local government body</w:t>
      </w:r>
      <w:r>
        <w:t>, including Regional Councils and Local Aboriginal Councils</w:t>
      </w:r>
    </w:p>
    <w:p w14:paraId="1114B9CE" w14:textId="77777777" w:rsidR="005770E8" w:rsidRPr="009D2FCD" w:rsidRDefault="00FC64FA" w:rsidP="00C65F6A">
      <w:pPr>
        <w:pStyle w:val="ListBullet"/>
        <w:rPr>
          <w:rFonts w:cs="Arial"/>
        </w:rPr>
      </w:pPr>
      <w:r>
        <w:rPr>
          <w:rFonts w:cs="Arial"/>
        </w:rPr>
        <w:t>employ</w:t>
      </w:r>
      <w:r w:rsidR="000E3BBC" w:rsidRPr="000E3BBC">
        <w:rPr>
          <w:rFonts w:cs="Arial"/>
        </w:rPr>
        <w:t xml:space="preserve"> </w:t>
      </w:r>
      <w:r w:rsidR="002216DC">
        <w:rPr>
          <w:rFonts w:cs="Arial"/>
        </w:rPr>
        <w:t xml:space="preserve">a </w:t>
      </w:r>
      <w:r w:rsidR="005D0764">
        <w:rPr>
          <w:rFonts w:cs="Arial"/>
        </w:rPr>
        <w:t xml:space="preserve">CDP </w:t>
      </w:r>
      <w:r w:rsidR="000E3BBC">
        <w:rPr>
          <w:rFonts w:cs="Arial"/>
        </w:rPr>
        <w:t>p</w:t>
      </w:r>
      <w:r w:rsidR="000E3BBC" w:rsidRPr="000E3BBC">
        <w:rPr>
          <w:rFonts w:cs="Arial"/>
        </w:rPr>
        <w:t xml:space="preserve">articipant who </w:t>
      </w:r>
      <w:r w:rsidR="002216DC">
        <w:rPr>
          <w:rFonts w:cs="Arial"/>
        </w:rPr>
        <w:t>resides</w:t>
      </w:r>
      <w:r w:rsidR="000E3BBC" w:rsidRPr="000E3BBC">
        <w:rPr>
          <w:rFonts w:cs="Arial"/>
        </w:rPr>
        <w:t xml:space="preserve"> in </w:t>
      </w:r>
      <w:r w:rsidR="00417080">
        <w:rPr>
          <w:rFonts w:cs="Arial"/>
        </w:rPr>
        <w:t>a CDP</w:t>
      </w:r>
      <w:r w:rsidR="000E3BBC" w:rsidRPr="00225659">
        <w:rPr>
          <w:rFonts w:cs="Arial"/>
        </w:rPr>
        <w:t xml:space="preserve"> region</w:t>
      </w:r>
    </w:p>
    <w:p w14:paraId="6328BD0C" w14:textId="77777777" w:rsidR="009454E2" w:rsidRPr="005A1754" w:rsidRDefault="005770E8" w:rsidP="00E90711">
      <w:pPr>
        <w:pStyle w:val="ListBullet"/>
        <w:rPr>
          <w:rFonts w:cs="Arial"/>
        </w:rPr>
      </w:pPr>
      <w:r w:rsidRPr="005A1754">
        <w:rPr>
          <w:rFonts w:cs="Arial"/>
        </w:rPr>
        <w:t>d</w:t>
      </w:r>
      <w:r w:rsidR="00E90711" w:rsidRPr="005A1754">
        <w:rPr>
          <w:rFonts w:cs="Arial"/>
        </w:rPr>
        <w:t xml:space="preserve">emonstrate support for the </w:t>
      </w:r>
      <w:r w:rsidR="00654439" w:rsidRPr="005A1754">
        <w:rPr>
          <w:rFonts w:cs="Arial"/>
        </w:rPr>
        <w:t>grant activity</w:t>
      </w:r>
      <w:r w:rsidR="00E90711" w:rsidRPr="005A1754">
        <w:rPr>
          <w:rFonts w:cs="Arial"/>
        </w:rPr>
        <w:t xml:space="preserve"> from </w:t>
      </w:r>
      <w:r w:rsidR="005E4DC2">
        <w:rPr>
          <w:rFonts w:cs="Arial"/>
        </w:rPr>
        <w:t>the</w:t>
      </w:r>
      <w:r w:rsidR="005E4DC2" w:rsidRPr="005A1754">
        <w:rPr>
          <w:rFonts w:cs="Arial"/>
        </w:rPr>
        <w:t xml:space="preserve"> </w:t>
      </w:r>
      <w:r w:rsidR="009454E2" w:rsidRPr="005A1754">
        <w:rPr>
          <w:rFonts w:cs="Arial"/>
        </w:rPr>
        <w:t>community</w:t>
      </w:r>
      <w:r w:rsidR="00E90711" w:rsidRPr="005A1754">
        <w:rPr>
          <w:rFonts w:cs="Arial"/>
        </w:rPr>
        <w:t xml:space="preserve"> </w:t>
      </w:r>
      <w:r w:rsidR="001D42ED" w:rsidRPr="005A1754">
        <w:rPr>
          <w:rFonts w:cs="Arial"/>
        </w:rPr>
        <w:t>where the service will be delivered</w:t>
      </w:r>
    </w:p>
    <w:p w14:paraId="2CE96275" w14:textId="77777777" w:rsidR="00E90711" w:rsidRPr="005A1754" w:rsidRDefault="009454E2" w:rsidP="00E90711">
      <w:pPr>
        <w:pStyle w:val="ListBullet"/>
        <w:rPr>
          <w:rFonts w:cs="Arial"/>
        </w:rPr>
      </w:pPr>
      <w:r w:rsidRPr="005A1754">
        <w:rPr>
          <w:rFonts w:cs="Arial"/>
        </w:rPr>
        <w:t>demonstrate that</w:t>
      </w:r>
      <w:r w:rsidR="00E90711" w:rsidRPr="005A1754">
        <w:rPr>
          <w:rFonts w:cs="Arial"/>
        </w:rPr>
        <w:t xml:space="preserve"> you can </w:t>
      </w:r>
      <w:r w:rsidR="005A1754">
        <w:rPr>
          <w:rFonts w:cs="Arial"/>
        </w:rPr>
        <w:t>create the job</w:t>
      </w:r>
      <w:r w:rsidR="00E90711" w:rsidRPr="005A1754">
        <w:rPr>
          <w:rFonts w:cs="Arial"/>
        </w:rPr>
        <w:t xml:space="preserve"> and meet </w:t>
      </w:r>
      <w:r w:rsidR="00E0467A" w:rsidRPr="005A1754">
        <w:rPr>
          <w:rFonts w:cs="Arial"/>
        </w:rPr>
        <w:t xml:space="preserve">any </w:t>
      </w:r>
      <w:r w:rsidR="00E90711" w:rsidRPr="005A1754">
        <w:rPr>
          <w:rFonts w:cs="Arial"/>
        </w:rPr>
        <w:t xml:space="preserve">costs </w:t>
      </w:r>
      <w:r w:rsidRPr="005A1754">
        <w:rPr>
          <w:rFonts w:cs="Arial"/>
        </w:rPr>
        <w:t>not covered by the grant</w:t>
      </w:r>
    </w:p>
    <w:p w14:paraId="1072E7F7" w14:textId="77777777" w:rsidR="005D19E6" w:rsidRPr="000A271A" w:rsidRDefault="005D19E6" w:rsidP="005E4D00">
      <w:pPr>
        <w:pStyle w:val="ListBullet"/>
      </w:pPr>
      <w:r w:rsidRPr="000A271A">
        <w:t>have an Australian Business Number (ABN)</w:t>
      </w:r>
      <w:r w:rsidR="00E7757A">
        <w:t xml:space="preserve"> </w:t>
      </w:r>
      <w:r w:rsidR="00E7757A" w:rsidRPr="00D35ECB">
        <w:t>(exemptions may apply in special cases)</w:t>
      </w:r>
    </w:p>
    <w:p w14:paraId="2339B0D2" w14:textId="77777777" w:rsidR="005D19E6" w:rsidRPr="000A271A" w:rsidRDefault="00E7757A" w:rsidP="005D19E6">
      <w:pPr>
        <w:pStyle w:val="ListBullet"/>
      </w:pPr>
      <w:r>
        <w:t xml:space="preserve">where relevant, </w:t>
      </w:r>
      <w:r w:rsidR="005D19E6" w:rsidRPr="000A271A">
        <w:t>be registered for the purposes of GST</w:t>
      </w:r>
      <w:r>
        <w:t xml:space="preserve"> </w:t>
      </w:r>
      <w:r w:rsidR="005E4DC2">
        <w:t>and</w:t>
      </w:r>
    </w:p>
    <w:p w14:paraId="774123B4" w14:textId="77777777" w:rsidR="005D19E6" w:rsidRPr="000A271A" w:rsidRDefault="005D19E6" w:rsidP="005D19E6">
      <w:pPr>
        <w:pStyle w:val="ListBullet"/>
      </w:pPr>
      <w:r w:rsidRPr="000A271A">
        <w:t>have an account</w:t>
      </w:r>
      <w:r w:rsidR="00E7757A">
        <w:t xml:space="preserve">, </w:t>
      </w:r>
      <w:r w:rsidRPr="000A271A">
        <w:t>with an Australian financial institution</w:t>
      </w:r>
    </w:p>
    <w:p w14:paraId="1903B22B" w14:textId="77777777" w:rsidR="00975EFB" w:rsidRPr="00975EFB" w:rsidRDefault="00975EFB" w:rsidP="00975EFB">
      <w:pPr>
        <w:pStyle w:val="ListBullet"/>
        <w:numPr>
          <w:ilvl w:val="0"/>
          <w:numId w:val="0"/>
        </w:numPr>
        <w:rPr>
          <w:rFonts w:cs="Arial"/>
        </w:rPr>
      </w:pPr>
      <w:r w:rsidRPr="00975EFB">
        <w:rPr>
          <w:rFonts w:cs="Arial"/>
        </w:rPr>
        <w:t>The NIAA will not accept your application unless you:</w:t>
      </w:r>
    </w:p>
    <w:p w14:paraId="3DD6E62D" w14:textId="77777777" w:rsidR="00975EFB" w:rsidRPr="00975EFB" w:rsidRDefault="00811D46" w:rsidP="00975EFB">
      <w:pPr>
        <w:pStyle w:val="ListBullet"/>
        <w:numPr>
          <w:ilvl w:val="0"/>
          <w:numId w:val="7"/>
        </w:numPr>
        <w:rPr>
          <w:rFonts w:cs="Arial"/>
        </w:rPr>
      </w:pPr>
      <w:r>
        <w:t>h</w:t>
      </w:r>
      <w:r w:rsidR="00975EFB" w:rsidRPr="00975EFB">
        <w:t>ave rectified any issues of previous non-compliance with existing Commonwealth agreements to the satisfaction of the Commonwealth, or be in the process of rectifying any issues of non-compliance</w:t>
      </w:r>
      <w:r w:rsidR="00975EFB" w:rsidRPr="00975EFB">
        <w:rPr>
          <w:rFonts w:cs="Arial"/>
          <w:iCs w:val="0"/>
        </w:rPr>
        <w:t xml:space="preserve"> with existing Commonwealth agreements to the satisfaction of the Commonwealth.</w:t>
      </w:r>
    </w:p>
    <w:p w14:paraId="78491BEB" w14:textId="77777777" w:rsidR="001D3425" w:rsidRPr="00975EFB" w:rsidRDefault="00975EFB" w:rsidP="00975EFB">
      <w:pPr>
        <w:pStyle w:val="ListBullet"/>
        <w:numPr>
          <w:ilvl w:val="0"/>
          <w:numId w:val="7"/>
        </w:numPr>
        <w:rPr>
          <w:rFonts w:cs="Arial"/>
        </w:rPr>
      </w:pPr>
      <w:r w:rsidRPr="00975EFB">
        <w:rPr>
          <w:rFonts w:cs="Arial"/>
        </w:rPr>
        <w:t xml:space="preserve">are financially viable to the Agency’s satisfaction. The application form has questions about financial viability. The Agency may undertake its own enquiries in relation to the applicant’s financial viability. </w:t>
      </w:r>
    </w:p>
    <w:p w14:paraId="27C102D4" w14:textId="77777777" w:rsidR="002A0E03" w:rsidRDefault="002A0E03" w:rsidP="004D16DF">
      <w:pPr>
        <w:pStyle w:val="Heading3"/>
        <w:ind w:left="1134"/>
      </w:pPr>
      <w:bookmarkStart w:id="18" w:name="_Toc494290495"/>
      <w:bookmarkStart w:id="19" w:name="_Toc170734112"/>
      <w:bookmarkEnd w:id="18"/>
      <w:r>
        <w:t>Who is not eligible</w:t>
      </w:r>
      <w:r w:rsidR="003271A6">
        <w:t xml:space="preserve"> to apply for a grant</w:t>
      </w:r>
      <w:r>
        <w:t>?</w:t>
      </w:r>
      <w:bookmarkEnd w:id="19"/>
    </w:p>
    <w:p w14:paraId="32964D9E" w14:textId="77777777" w:rsidR="004054F0" w:rsidRDefault="004054F0" w:rsidP="004054F0">
      <w:r w:rsidRPr="000A271A">
        <w:t xml:space="preserve">We cannot provide a grant if you receive funding from another government source for the same </w:t>
      </w:r>
      <w:r w:rsidRPr="00AB219F">
        <w:t>purpose</w:t>
      </w:r>
      <w:r>
        <w:t xml:space="preserve"> as RJED as detailed in Section 2</w:t>
      </w:r>
      <w:r w:rsidRPr="00AB219F">
        <w:t>.</w:t>
      </w:r>
    </w:p>
    <w:p w14:paraId="4B2C6EA1" w14:textId="77777777" w:rsidR="003C19C8" w:rsidRDefault="003C19C8" w:rsidP="003C19C8">
      <w:r w:rsidRPr="00A668C8">
        <w:t xml:space="preserve">You are not eligible to apply if you are: </w:t>
      </w:r>
    </w:p>
    <w:p w14:paraId="029CF43A" w14:textId="77777777" w:rsidR="00092821" w:rsidRDefault="00757166" w:rsidP="005E78BC">
      <w:pPr>
        <w:pStyle w:val="ListBullet"/>
      </w:pPr>
      <w:r w:rsidRPr="00757166">
        <w:t xml:space="preserve">an organisation, or your </w:t>
      </w:r>
      <w:r w:rsidR="00075D01">
        <w:t>activity</w:t>
      </w:r>
      <w:r w:rsidR="00075D01" w:rsidRPr="00757166">
        <w:t xml:space="preserve"> </w:t>
      </w:r>
      <w:r w:rsidRPr="00757166">
        <w:t>partner</w:t>
      </w:r>
      <w:r w:rsidR="00F60AA2">
        <w:t>,</w:t>
      </w:r>
      <w:r w:rsidRPr="00757166">
        <w:t xml:space="preserve"> is an organisation, included on the </w:t>
      </w:r>
      <w:hyperlink r:id="rId32" w:history="1">
        <w:r w:rsidRPr="004F3909">
          <w:rPr>
            <w:rStyle w:val="Hyperlink"/>
          </w:rPr>
          <w:t>National Redress Scheme’s website</w:t>
        </w:r>
      </w:hyperlink>
      <w:r w:rsidRPr="00757166">
        <w:t xml:space="preserve"> on the list of ‘Institutions that have not joined or signified their intent to join the Scheme’</w:t>
      </w:r>
      <w:r w:rsidR="00013E5C">
        <w:t xml:space="preserve"> </w:t>
      </w:r>
    </w:p>
    <w:p w14:paraId="5A521176" w14:textId="77777777" w:rsidR="003C19C8" w:rsidRPr="000A271A" w:rsidRDefault="0014408C" w:rsidP="003C19C8">
      <w:pPr>
        <w:pStyle w:val="ListBullet"/>
      </w:pPr>
      <w:r>
        <w:t xml:space="preserve">a </w:t>
      </w:r>
      <w:r w:rsidR="00A52207">
        <w:t xml:space="preserve">non-corporate </w:t>
      </w:r>
      <w:r>
        <w:t>Commonwealth</w:t>
      </w:r>
      <w:r w:rsidR="00A52207">
        <w:t xml:space="preserve"> entity</w:t>
      </w:r>
    </w:p>
    <w:p w14:paraId="1974C525" w14:textId="77777777" w:rsidR="003C19C8" w:rsidRPr="000A271A" w:rsidRDefault="003C19C8" w:rsidP="003C19C8">
      <w:pPr>
        <w:pStyle w:val="ListBullet"/>
      </w:pPr>
      <w:r w:rsidRPr="000A271A">
        <w:t>an individual</w:t>
      </w:r>
      <w:r w:rsidR="00811D46">
        <w:t xml:space="preserve"> or sole trader</w:t>
      </w:r>
    </w:p>
    <w:p w14:paraId="2FBBEECA" w14:textId="77777777" w:rsidR="00561A4C" w:rsidRDefault="003C19C8" w:rsidP="00561A4C">
      <w:pPr>
        <w:pStyle w:val="ListBullet"/>
      </w:pPr>
      <w:r w:rsidRPr="00561A4C">
        <w:t xml:space="preserve">unincorporated association </w:t>
      </w:r>
    </w:p>
    <w:p w14:paraId="57C486C2" w14:textId="77777777" w:rsidR="001B0475" w:rsidRPr="00561A4C" w:rsidRDefault="001B0475" w:rsidP="00561A4C">
      <w:pPr>
        <w:pStyle w:val="ListBullet"/>
      </w:pPr>
      <w:r w:rsidRPr="00561A4C">
        <w:t>an overseas resident/organisation</w:t>
      </w:r>
      <w:r w:rsidR="00F24B98">
        <w:t xml:space="preserve"> (and the NIAA’s decision regarding residence will be final)</w:t>
      </w:r>
    </w:p>
    <w:p w14:paraId="2972B657" w14:textId="77777777" w:rsidR="00692143" w:rsidRPr="00692143" w:rsidRDefault="00692143" w:rsidP="00692143">
      <w:pPr>
        <w:pStyle w:val="ListBullet"/>
      </w:pPr>
      <w:r w:rsidRPr="00692143">
        <w:t>declared bankrupt or subject to insolvency proceedings—as relevant to the entity type</w:t>
      </w:r>
    </w:p>
    <w:p w14:paraId="30C9F6BB" w14:textId="77777777" w:rsidR="00692143" w:rsidRPr="005A2004" w:rsidRDefault="00692143" w:rsidP="00692143">
      <w:pPr>
        <w:pStyle w:val="ListBullet"/>
        <w:rPr>
          <w:rFonts w:cs="Arial"/>
        </w:rPr>
      </w:pPr>
      <w:r w:rsidRPr="00692143">
        <w:t>named as</w:t>
      </w:r>
      <w:r w:rsidRPr="00692143">
        <w:rPr>
          <w:rFonts w:cs="Arial"/>
        </w:rPr>
        <w:t xml:space="preserve"> currently non-compliant under the </w:t>
      </w:r>
      <w:hyperlink r:id="rId33" w:history="1">
        <w:r w:rsidRPr="005A2004">
          <w:rPr>
            <w:i/>
          </w:rPr>
          <w:t>Workplace Gender Equality Act 2012</w:t>
        </w:r>
      </w:hyperlink>
      <w:r w:rsidR="00F24B98">
        <w:rPr>
          <w:i/>
        </w:rPr>
        <w:t xml:space="preserve"> </w:t>
      </w:r>
      <w:r w:rsidR="00F24B98">
        <w:t>or</w:t>
      </w:r>
    </w:p>
    <w:p w14:paraId="7C39B303" w14:textId="608E6DDB" w:rsidR="004054F0" w:rsidRDefault="00034775" w:rsidP="00832E25">
      <w:pPr>
        <w:pStyle w:val="ListBullet"/>
      </w:pPr>
      <w:r>
        <w:t xml:space="preserve">any organisation not included in </w:t>
      </w:r>
      <w:r w:rsidRPr="005A1754">
        <w:t xml:space="preserve">section </w:t>
      </w:r>
      <w:r w:rsidR="007114A2" w:rsidRPr="005A1754">
        <w:t>4</w:t>
      </w:r>
      <w:r w:rsidRPr="005A1754">
        <w:t>.1</w:t>
      </w:r>
    </w:p>
    <w:p w14:paraId="4C9585D5" w14:textId="77777777" w:rsidR="002A0E03" w:rsidRDefault="003C19C8" w:rsidP="004D16DF">
      <w:pPr>
        <w:pStyle w:val="Heading3"/>
        <w:ind w:left="1134"/>
      </w:pPr>
      <w:bookmarkStart w:id="20" w:name="_Toc170734113"/>
      <w:r>
        <w:t>What qualifications</w:t>
      </w:r>
      <w:r w:rsidR="008D123A">
        <w:t>,</w:t>
      </w:r>
      <w:r>
        <w:t xml:space="preserve"> skills</w:t>
      </w:r>
      <w:r w:rsidR="008D123A">
        <w:t xml:space="preserve"> or checks</w:t>
      </w:r>
      <w:r>
        <w:t xml:space="preserve"> are required?</w:t>
      </w:r>
      <w:bookmarkEnd w:id="20"/>
      <w:r>
        <w:t xml:space="preserve"> </w:t>
      </w:r>
    </w:p>
    <w:p w14:paraId="1F3C0D14" w14:textId="77777777" w:rsidR="001B0475" w:rsidRPr="005A1754" w:rsidRDefault="001B0475" w:rsidP="001B0475">
      <w:pPr>
        <w:rPr>
          <w:rFonts w:cs="Arial"/>
        </w:rPr>
      </w:pPr>
      <w:bookmarkStart w:id="21" w:name="_Toc164844264"/>
      <w:bookmarkStart w:id="22" w:name="_Toc383003257"/>
      <w:r w:rsidRPr="001B0475">
        <w:rPr>
          <w:rFonts w:cs="Arial"/>
        </w:rPr>
        <w:t>All applicants must be able to demonstrate that they intend to and will be able to comply with all applicable laws if their application is successful. This includes maintaining all qualifications, permits, registrations and licences required</w:t>
      </w:r>
      <w:r w:rsidR="00F24B98">
        <w:rPr>
          <w:rFonts w:cs="Arial"/>
        </w:rPr>
        <w:t xml:space="preserve"> by the applicant and participant</w:t>
      </w:r>
      <w:r w:rsidRPr="001B0475">
        <w:rPr>
          <w:rFonts w:cs="Arial"/>
        </w:rPr>
        <w:t xml:space="preserve"> for the lawful performance of the activity </w:t>
      </w:r>
      <w:r w:rsidRPr="005A1754">
        <w:rPr>
          <w:rFonts w:cs="Arial"/>
        </w:rPr>
        <w:t xml:space="preserve">or service </w:t>
      </w:r>
      <w:r w:rsidR="00F24B98">
        <w:rPr>
          <w:rFonts w:cs="Arial"/>
        </w:rPr>
        <w:t>the applicant</w:t>
      </w:r>
      <w:r w:rsidR="00F24B98" w:rsidRPr="005A1754">
        <w:rPr>
          <w:rFonts w:cs="Arial"/>
        </w:rPr>
        <w:t xml:space="preserve"> </w:t>
      </w:r>
      <w:r w:rsidRPr="005A1754">
        <w:rPr>
          <w:rFonts w:cs="Arial"/>
        </w:rPr>
        <w:t xml:space="preserve">will provide. This also includes, where relevant, </w:t>
      </w:r>
      <w:r w:rsidR="00F24B98">
        <w:rPr>
          <w:rFonts w:cs="Arial"/>
        </w:rPr>
        <w:t>compliance with</w:t>
      </w:r>
      <w:r w:rsidRPr="005A1754">
        <w:rPr>
          <w:rFonts w:cs="Arial"/>
        </w:rPr>
        <w:t>:</w:t>
      </w:r>
    </w:p>
    <w:p w14:paraId="5DCE83CB" w14:textId="77777777" w:rsidR="00D22B25" w:rsidRPr="005A1754" w:rsidRDefault="00D22B25" w:rsidP="001B0475">
      <w:pPr>
        <w:pStyle w:val="ListBullet"/>
        <w:numPr>
          <w:ilvl w:val="0"/>
          <w:numId w:val="7"/>
        </w:numPr>
      </w:pPr>
      <w:r w:rsidRPr="005A1754">
        <w:t xml:space="preserve">Work Health and Safety </w:t>
      </w:r>
      <w:r w:rsidR="00F24B98">
        <w:t>laws</w:t>
      </w:r>
    </w:p>
    <w:p w14:paraId="56A2E02E" w14:textId="77777777" w:rsidR="001B0475" w:rsidRPr="005A1754" w:rsidRDefault="00D22B25" w:rsidP="00811D46">
      <w:pPr>
        <w:pStyle w:val="ListBullet"/>
        <w:numPr>
          <w:ilvl w:val="0"/>
          <w:numId w:val="7"/>
        </w:numPr>
      </w:pPr>
      <w:r w:rsidRPr="005A1754">
        <w:t xml:space="preserve">Fair Work </w:t>
      </w:r>
      <w:r w:rsidR="00F24B98">
        <w:t>laws</w:t>
      </w:r>
    </w:p>
    <w:p w14:paraId="417F31F5" w14:textId="77777777" w:rsidR="001B0475" w:rsidRPr="005A1754" w:rsidRDefault="00F24B98" w:rsidP="001B0475">
      <w:pPr>
        <w:pStyle w:val="ListBullet"/>
        <w:numPr>
          <w:ilvl w:val="0"/>
          <w:numId w:val="7"/>
        </w:numPr>
      </w:pPr>
      <w:r>
        <w:t xml:space="preserve">Laws pertaining to </w:t>
      </w:r>
      <w:r w:rsidR="001B0475" w:rsidRPr="005A1754">
        <w:t>Working with Children checks and/or Working with Vulnerable People registration (as required by the jurisdiction in which the activity will take place)</w:t>
      </w:r>
    </w:p>
    <w:p w14:paraId="47AC5766" w14:textId="77777777" w:rsidR="001B0475" w:rsidRPr="005A1754" w:rsidRDefault="001B0475" w:rsidP="001B0475">
      <w:pPr>
        <w:pStyle w:val="ListBullet"/>
        <w:numPr>
          <w:ilvl w:val="0"/>
          <w:numId w:val="7"/>
        </w:numPr>
      </w:pPr>
      <w:r w:rsidRPr="005A1754">
        <w:t>Industry licenses or registration</w:t>
      </w:r>
      <w:r w:rsidR="00F24B98">
        <w:t xml:space="preserve"> requirements</w:t>
      </w:r>
      <w:r w:rsidRPr="005A1754">
        <w:t xml:space="preserve"> </w:t>
      </w:r>
      <w:r w:rsidR="00F24B98">
        <w:t>and/</w:t>
      </w:r>
      <w:r w:rsidRPr="005A1754">
        <w:t xml:space="preserve">or </w:t>
      </w:r>
    </w:p>
    <w:p w14:paraId="39A1C443" w14:textId="77777777" w:rsidR="001B0475" w:rsidRPr="005A1754" w:rsidRDefault="001B0475" w:rsidP="001B0475">
      <w:pPr>
        <w:pStyle w:val="ListBullet"/>
        <w:numPr>
          <w:ilvl w:val="0"/>
          <w:numId w:val="7"/>
        </w:numPr>
      </w:pPr>
      <w:r w:rsidRPr="005A1754">
        <w:t>Australian Skills Quality Authority accreditation</w:t>
      </w:r>
      <w:r w:rsidR="00F24B98">
        <w:t xml:space="preserve"> requirements</w:t>
      </w:r>
      <w:r w:rsidRPr="005A1754">
        <w:t xml:space="preserve">. </w:t>
      </w:r>
    </w:p>
    <w:p w14:paraId="0DF320E0" w14:textId="77777777" w:rsidR="001B0475" w:rsidRPr="005A1754" w:rsidRDefault="001B0475" w:rsidP="001B0475">
      <w:pPr>
        <w:pStyle w:val="ListBullet"/>
        <w:numPr>
          <w:ilvl w:val="0"/>
          <w:numId w:val="0"/>
        </w:numPr>
      </w:pPr>
      <w:r w:rsidRPr="005A1754">
        <w:t xml:space="preserve">All applicants must </w:t>
      </w:r>
      <w:r w:rsidR="00F24B98">
        <w:t xml:space="preserve">demonstrate how they will </w:t>
      </w:r>
      <w:r w:rsidRPr="005A1754">
        <w:t>ensure there is adequate supervision when employees are performing tasks, taking into account the level of experience of the employee, safety risks and cultural protocols within a working environment.</w:t>
      </w:r>
    </w:p>
    <w:p w14:paraId="4340DF62" w14:textId="48D70802" w:rsidR="00892B46" w:rsidRDefault="009250D3" w:rsidP="001B0475">
      <w:pPr>
        <w:pStyle w:val="ListBullet"/>
        <w:numPr>
          <w:ilvl w:val="0"/>
          <w:numId w:val="0"/>
        </w:numPr>
      </w:pPr>
      <w:r>
        <w:t xml:space="preserve">Applicants must also </w:t>
      </w:r>
      <w:r w:rsidR="00F24B98">
        <w:t xml:space="preserve">demonstrate the </w:t>
      </w:r>
      <w:r w:rsidR="00D22B25" w:rsidRPr="005A1754">
        <w:t>remuneration structure under which they will employ staff. The remuneration structure must align to a relevant state or nationally recognised award and/or a registered Enterprise Agreement or the National Minimum Wage, where there is no award or agreement.</w:t>
      </w:r>
    </w:p>
    <w:p w14:paraId="2AC67A4F" w14:textId="77777777" w:rsidR="00692143" w:rsidRDefault="00692143" w:rsidP="004D16DF">
      <w:pPr>
        <w:pStyle w:val="Heading3"/>
        <w:ind w:left="1134"/>
      </w:pPr>
      <w:bookmarkStart w:id="23" w:name="_Toc170734114"/>
      <w:r>
        <w:t>Incorporation requirements</w:t>
      </w:r>
      <w:bookmarkEnd w:id="23"/>
    </w:p>
    <w:p w14:paraId="1B4EFC06" w14:textId="17B7922D" w:rsidR="00692143" w:rsidRPr="00692143" w:rsidRDefault="00692143" w:rsidP="00692143">
      <w:pPr>
        <w:spacing w:line="276" w:lineRule="auto"/>
        <w:rPr>
          <w:rFonts w:cs="Arial"/>
        </w:rPr>
      </w:pPr>
      <w:r w:rsidRPr="00692143">
        <w:rPr>
          <w:rFonts w:cs="Arial"/>
        </w:rPr>
        <w:t>Subject to certain exceptions, under the Strengthening Organisational Governance Policy, all organisations that receive grant funding totalling $500,000 or more (GST exclusive) in any single financial year from IAS funding are required to:</w:t>
      </w:r>
    </w:p>
    <w:p w14:paraId="4027250E" w14:textId="77777777" w:rsidR="00692143" w:rsidRPr="00692143" w:rsidRDefault="00692143" w:rsidP="00692143">
      <w:pPr>
        <w:pStyle w:val="ListBullet"/>
      </w:pPr>
      <w:r w:rsidRPr="00692143">
        <w:t xml:space="preserve">Incorporate under Commonwealth legislation— </w:t>
      </w:r>
      <w:r w:rsidR="006A2A76">
        <w:t>First Nations</w:t>
      </w:r>
      <w:r w:rsidRPr="00692143">
        <w:t xml:space="preserve"> organisations will be required to incorporate under the </w:t>
      </w:r>
      <w:hyperlink r:id="rId34" w:history="1">
        <w:r w:rsidRPr="00692143">
          <w:rPr>
            <w:i/>
          </w:rPr>
          <w:t>Corporations (Aboriginal and Torres Strait Islander) Act 2006</w:t>
        </w:r>
      </w:hyperlink>
      <w:r w:rsidRPr="00692143">
        <w:t xml:space="preserve"> and other organisations will be required to incorporate under the </w:t>
      </w:r>
      <w:hyperlink r:id="rId35" w:history="1">
        <w:r w:rsidRPr="00692143">
          <w:rPr>
            <w:i/>
          </w:rPr>
          <w:t>Corporations Act 2001</w:t>
        </w:r>
      </w:hyperlink>
      <w:r w:rsidR="00095626">
        <w:rPr>
          <w:i/>
        </w:rPr>
        <w:t xml:space="preserve"> </w:t>
      </w:r>
      <w:r w:rsidR="00095626">
        <w:t>and</w:t>
      </w:r>
    </w:p>
    <w:p w14:paraId="38C570BD" w14:textId="77777777" w:rsidR="00692143" w:rsidRPr="00692143" w:rsidRDefault="00692143" w:rsidP="00692143">
      <w:pPr>
        <w:pStyle w:val="ListBullet"/>
      </w:pPr>
      <w:r w:rsidRPr="00692143">
        <w:t xml:space="preserve">Maintain these arrangements while they continue to receive any IAS funding. </w:t>
      </w:r>
    </w:p>
    <w:p w14:paraId="0982D6A9" w14:textId="77777777" w:rsidR="00692143" w:rsidRPr="00692143" w:rsidRDefault="006A2A76" w:rsidP="00692143">
      <w:pPr>
        <w:rPr>
          <w:rFonts w:cs="Arial"/>
        </w:rPr>
      </w:pPr>
      <w:r>
        <w:rPr>
          <w:rFonts w:cs="Arial"/>
        </w:rPr>
        <w:t>First Nations</w:t>
      </w:r>
      <w:r w:rsidR="00692143" w:rsidRPr="00692143">
        <w:rPr>
          <w:rFonts w:cs="Arial"/>
        </w:rPr>
        <w:t xml:space="preserve"> organisations already incorporated under the </w:t>
      </w:r>
      <w:hyperlink r:id="rId36" w:history="1">
        <w:r w:rsidR="00692143" w:rsidRPr="00692143">
          <w:rPr>
            <w:rStyle w:val="Hyperlink"/>
            <w:rFonts w:cs="Arial"/>
            <w:i/>
            <w:color w:val="auto"/>
          </w:rPr>
          <w:t>Corporations Act 2001</w:t>
        </w:r>
      </w:hyperlink>
      <w:r w:rsidR="00692143" w:rsidRPr="00692143">
        <w:rPr>
          <w:rFonts w:cs="Arial"/>
        </w:rPr>
        <w:t xml:space="preserve"> do not have to change their incorporation status. However, all other </w:t>
      </w:r>
      <w:r>
        <w:rPr>
          <w:rFonts w:cs="Arial"/>
        </w:rPr>
        <w:t>First Nations</w:t>
      </w:r>
      <w:r w:rsidR="00692143" w:rsidRPr="00692143">
        <w:rPr>
          <w:rFonts w:cs="Arial"/>
        </w:rPr>
        <w:t xml:space="preserve"> organisations must be incorporated under the </w:t>
      </w:r>
      <w:hyperlink r:id="rId37" w:history="1">
        <w:r w:rsidR="00692143" w:rsidRPr="00692143">
          <w:rPr>
            <w:rStyle w:val="Hyperlink"/>
            <w:i/>
            <w:color w:val="auto"/>
          </w:rPr>
          <w:t>Corporations (Aboriginal and Torres Strait Islander) Act 2006</w:t>
        </w:r>
      </w:hyperlink>
      <w:r w:rsidR="00692143" w:rsidRPr="00692143">
        <w:t xml:space="preserve"> </w:t>
      </w:r>
      <w:r w:rsidR="00692143" w:rsidRPr="00692143">
        <w:rPr>
          <w:rFonts w:cs="Arial"/>
        </w:rPr>
        <w:t xml:space="preserve">so they can access the assistance and support available under the Act. </w:t>
      </w:r>
    </w:p>
    <w:p w14:paraId="7B71B642" w14:textId="77777777" w:rsidR="00692143" w:rsidRDefault="00692143" w:rsidP="00692143">
      <w:pPr>
        <w:spacing w:after="240"/>
        <w:rPr>
          <w:rFonts w:cs="Arial"/>
        </w:rPr>
      </w:pPr>
      <w:r w:rsidRPr="00692143">
        <w:rPr>
          <w:rFonts w:cs="Arial"/>
        </w:rPr>
        <w:t>For further information on incorporation require</w:t>
      </w:r>
      <w:r w:rsidR="003B6C9C">
        <w:rPr>
          <w:rFonts w:cs="Arial"/>
        </w:rPr>
        <w:t xml:space="preserve">ments please refer to </w:t>
      </w:r>
      <w:r w:rsidR="003B6C9C" w:rsidRPr="00853B05">
        <w:rPr>
          <w:rFonts w:cs="Arial"/>
          <w:u w:val="single"/>
        </w:rPr>
        <w:t>Appendix B</w:t>
      </w:r>
      <w:r w:rsidRPr="00853B05">
        <w:rPr>
          <w:rFonts w:cs="Arial"/>
          <w:u w:val="single"/>
        </w:rPr>
        <w:t>.</w:t>
      </w:r>
    </w:p>
    <w:p w14:paraId="5469E9E7" w14:textId="5E87ACF7" w:rsidR="003224A6" w:rsidRPr="00031193" w:rsidRDefault="006B4065" w:rsidP="00A4685F">
      <w:pPr>
        <w:pStyle w:val="Heading2"/>
        <w:numPr>
          <w:ilvl w:val="0"/>
          <w:numId w:val="8"/>
        </w:numPr>
      </w:pPr>
      <w:bookmarkStart w:id="24" w:name="_Toc170734115"/>
      <w:r>
        <w:t>What the grant money can be used for</w:t>
      </w:r>
      <w:bookmarkEnd w:id="24"/>
    </w:p>
    <w:p w14:paraId="7E3F1A5B" w14:textId="77777777" w:rsidR="006B4065" w:rsidRDefault="006B4065" w:rsidP="00B75EBB">
      <w:pPr>
        <w:pStyle w:val="Heading3"/>
        <w:ind w:left="1134"/>
      </w:pPr>
      <w:bookmarkStart w:id="25" w:name="_Toc170734116"/>
      <w:r>
        <w:t>Eligible grant activities</w:t>
      </w:r>
      <w:bookmarkEnd w:id="25"/>
    </w:p>
    <w:p w14:paraId="55E31449" w14:textId="77777777" w:rsidR="00EA07F9" w:rsidRDefault="005A1754" w:rsidP="00EA07F9">
      <w:r>
        <w:t xml:space="preserve">Eligible grant </w:t>
      </w:r>
      <w:r w:rsidR="00095626">
        <w:t xml:space="preserve">applicants </w:t>
      </w:r>
      <w:r>
        <w:t xml:space="preserve">can apply for </w:t>
      </w:r>
      <w:r w:rsidR="00EA07F9">
        <w:t xml:space="preserve">2 elements </w:t>
      </w:r>
      <w:r w:rsidR="00811D46">
        <w:t xml:space="preserve">of funding under </w:t>
      </w:r>
      <w:r>
        <w:t>RJED:</w:t>
      </w:r>
    </w:p>
    <w:p w14:paraId="038E1ED9" w14:textId="77777777" w:rsidR="00EA07F9" w:rsidRDefault="00EA07F9" w:rsidP="00EA07F9">
      <w:pPr>
        <w:ind w:firstLine="720"/>
      </w:pPr>
      <w:r>
        <w:t xml:space="preserve">1. Job Creation </w:t>
      </w:r>
    </w:p>
    <w:p w14:paraId="7E4214A3" w14:textId="77777777" w:rsidR="00EA07F9" w:rsidRDefault="00EA07F9" w:rsidP="00EA07F9">
      <w:pPr>
        <w:ind w:firstLine="720"/>
      </w:pPr>
      <w:r>
        <w:t>2. Community Jobs and Business Fund (CJBF)</w:t>
      </w:r>
    </w:p>
    <w:p w14:paraId="481EBF0E" w14:textId="77777777" w:rsidR="00D849FE" w:rsidRDefault="00D849FE" w:rsidP="00EA07F9">
      <w:r>
        <w:t>Applicants may apply for:</w:t>
      </w:r>
    </w:p>
    <w:p w14:paraId="5E945014" w14:textId="77777777" w:rsidR="00D849FE" w:rsidRDefault="00D849FE" w:rsidP="009F02A2">
      <w:pPr>
        <w:pStyle w:val="ListParagraph"/>
        <w:numPr>
          <w:ilvl w:val="0"/>
          <w:numId w:val="41"/>
        </w:numPr>
      </w:pPr>
      <w:r>
        <w:t>Job Creation funding only or</w:t>
      </w:r>
    </w:p>
    <w:p w14:paraId="7AD100DB" w14:textId="77777777" w:rsidR="00D849FE" w:rsidRDefault="00D849FE" w:rsidP="009F02A2">
      <w:pPr>
        <w:pStyle w:val="ListParagraph"/>
        <w:numPr>
          <w:ilvl w:val="0"/>
          <w:numId w:val="41"/>
        </w:numPr>
      </w:pPr>
      <w:r>
        <w:t>Both Job Creation and CJBF funding.</w:t>
      </w:r>
    </w:p>
    <w:p w14:paraId="3F1AB97C" w14:textId="7FA2E83B" w:rsidR="00EA07F9" w:rsidRDefault="00D849FE" w:rsidP="00EA07F9">
      <w:r>
        <w:t xml:space="preserve">Applicants cannot apply for CJBF funding only. </w:t>
      </w:r>
      <w:r w:rsidR="00811D46">
        <w:t xml:space="preserve">In order to receive funding under the CJBF, applicants must </w:t>
      </w:r>
      <w:r w:rsidR="003E18A3">
        <w:t>be approved for Job Creation</w:t>
      </w:r>
      <w:r>
        <w:t xml:space="preserve"> funding</w:t>
      </w:r>
      <w:r w:rsidR="003E18A3">
        <w:t>.</w:t>
      </w:r>
    </w:p>
    <w:p w14:paraId="7F4AA17C" w14:textId="77777777" w:rsidR="003E18A3" w:rsidRDefault="003E18A3" w:rsidP="006B4065">
      <w:pPr>
        <w:pStyle w:val="ListBullet"/>
        <w:numPr>
          <w:ilvl w:val="0"/>
          <w:numId w:val="0"/>
        </w:numPr>
        <w:rPr>
          <w:rStyle w:val="ui-provider"/>
        </w:rPr>
      </w:pPr>
      <w:r>
        <w:rPr>
          <w:rStyle w:val="ui-provider"/>
        </w:rPr>
        <w:t>Job Creation</w:t>
      </w:r>
      <w:r w:rsidRPr="003E18A3">
        <w:rPr>
          <w:rStyle w:val="ui-provider"/>
        </w:rPr>
        <w:t xml:space="preserve"> </w:t>
      </w:r>
      <w:r>
        <w:rPr>
          <w:rStyle w:val="ui-provider"/>
        </w:rPr>
        <w:t>funding</w:t>
      </w:r>
      <w:r w:rsidR="006B4065" w:rsidRPr="00DE3286">
        <w:rPr>
          <w:rStyle w:val="ui-provider"/>
        </w:rPr>
        <w:t xml:space="preserve"> must directly relate to the </w:t>
      </w:r>
      <w:r>
        <w:rPr>
          <w:rStyle w:val="ui-provider"/>
        </w:rPr>
        <w:t>RJED</w:t>
      </w:r>
      <w:r w:rsidR="006B4065">
        <w:rPr>
          <w:rStyle w:val="ui-provider"/>
        </w:rPr>
        <w:t xml:space="preserve"> outcomes</w:t>
      </w:r>
      <w:r w:rsidR="00D849FE">
        <w:rPr>
          <w:rStyle w:val="ui-provider"/>
        </w:rPr>
        <w:t xml:space="preserve"> (see </w:t>
      </w:r>
      <w:r w:rsidR="00D849FE" w:rsidRPr="00410766">
        <w:rPr>
          <w:rStyle w:val="ui-provider"/>
          <w:i/>
        </w:rPr>
        <w:t>2. About the RJED Program</w:t>
      </w:r>
      <w:r w:rsidR="00D849FE">
        <w:rPr>
          <w:rStyle w:val="ui-provider"/>
        </w:rPr>
        <w:t>)</w:t>
      </w:r>
      <w:r>
        <w:rPr>
          <w:rStyle w:val="ui-provider"/>
        </w:rPr>
        <w:t>.</w:t>
      </w:r>
    </w:p>
    <w:p w14:paraId="6D221146" w14:textId="77777777" w:rsidR="003224A6" w:rsidRDefault="003E18A3" w:rsidP="006B4065">
      <w:pPr>
        <w:pStyle w:val="ListBullet"/>
        <w:numPr>
          <w:ilvl w:val="0"/>
          <w:numId w:val="0"/>
        </w:numPr>
      </w:pPr>
      <w:r>
        <w:rPr>
          <w:rStyle w:val="ui-provider"/>
        </w:rPr>
        <w:t>In addition, the job/s</w:t>
      </w:r>
      <w:r w:rsidR="006B4065">
        <w:rPr>
          <w:rStyle w:val="ui-provider"/>
        </w:rPr>
        <w:t xml:space="preserve"> </w:t>
      </w:r>
      <w:r w:rsidR="005A1754">
        <w:rPr>
          <w:rStyle w:val="ui-provider"/>
        </w:rPr>
        <w:t xml:space="preserve">created through RJED </w:t>
      </w:r>
      <w:r>
        <w:rPr>
          <w:rStyle w:val="ui-provider"/>
        </w:rPr>
        <w:t>must</w:t>
      </w:r>
      <w:r w:rsidR="006B4065">
        <w:rPr>
          <w:rStyle w:val="ui-provider"/>
        </w:rPr>
        <w:t xml:space="preserve"> </w:t>
      </w:r>
      <w:r w:rsidR="009454E2">
        <w:t>meet the following requirements:</w:t>
      </w:r>
    </w:p>
    <w:p w14:paraId="4EFD94C1" w14:textId="77777777" w:rsidR="006B4065" w:rsidRDefault="003E18A3" w:rsidP="005A2004">
      <w:pPr>
        <w:pStyle w:val="ListBullet"/>
        <w:numPr>
          <w:ilvl w:val="0"/>
          <w:numId w:val="7"/>
        </w:numPr>
      </w:pPr>
      <w:r>
        <w:t>e</w:t>
      </w:r>
      <w:r w:rsidR="006B4065">
        <w:t xml:space="preserve">mploy a person that is </w:t>
      </w:r>
      <w:r>
        <w:t xml:space="preserve">a current </w:t>
      </w:r>
      <w:r w:rsidR="006B4065">
        <w:t>or is eligible to be a CDP participant</w:t>
      </w:r>
      <w:r w:rsidR="00116E58">
        <w:t xml:space="preserve"> (NIAA may make exemptions for the NJPT or CDP trialling pathways participants)</w:t>
      </w:r>
    </w:p>
    <w:p w14:paraId="7140805C" w14:textId="77777777" w:rsidR="006B4065" w:rsidRDefault="006B4065" w:rsidP="005A2004">
      <w:pPr>
        <w:pStyle w:val="ListBullet"/>
        <w:numPr>
          <w:ilvl w:val="0"/>
          <w:numId w:val="7"/>
        </w:numPr>
      </w:pPr>
      <w:r>
        <w:t>be located in a CDP region</w:t>
      </w:r>
    </w:p>
    <w:p w14:paraId="528937DE" w14:textId="1F6FF4DC" w:rsidR="005A2004" w:rsidRDefault="00D22B25" w:rsidP="005A2004">
      <w:pPr>
        <w:pStyle w:val="ListBullet"/>
        <w:numPr>
          <w:ilvl w:val="0"/>
          <w:numId w:val="7"/>
        </w:numPr>
      </w:pPr>
      <w:r>
        <w:t xml:space="preserve">be </w:t>
      </w:r>
      <w:r w:rsidR="003E18A3">
        <w:t>a job that is not currently funded or a</w:t>
      </w:r>
      <w:r w:rsidR="005A2004">
        <w:t xml:space="preserve"> vacant position</w:t>
      </w:r>
      <w:r w:rsidR="003E18A3">
        <w:t xml:space="preserve"> (NIAA may make exemptions for existing positions </w:t>
      </w:r>
      <w:r>
        <w:t xml:space="preserve">funded under the </w:t>
      </w:r>
      <w:r w:rsidR="003E18A3">
        <w:t xml:space="preserve">NJPT or CDP </w:t>
      </w:r>
      <w:r w:rsidR="005A1D20">
        <w:t>Trial Projects</w:t>
      </w:r>
      <w:r w:rsidR="003E18A3">
        <w:t>)</w:t>
      </w:r>
    </w:p>
    <w:p w14:paraId="75310F98" w14:textId="77777777" w:rsidR="00755A84" w:rsidRDefault="00D22B25" w:rsidP="005A2004">
      <w:pPr>
        <w:pStyle w:val="ListBullet"/>
        <w:numPr>
          <w:ilvl w:val="0"/>
          <w:numId w:val="7"/>
        </w:numPr>
      </w:pPr>
      <w:r>
        <w:t xml:space="preserve">be </w:t>
      </w:r>
      <w:r w:rsidR="005A2004" w:rsidRPr="00C96C6A">
        <w:t xml:space="preserve">an entry level job </w:t>
      </w:r>
      <w:r>
        <w:t>that will</w:t>
      </w:r>
      <w:r w:rsidR="005A2004" w:rsidRPr="00C96C6A">
        <w:t xml:space="preserve"> build work skills, experience and confidence of employees</w:t>
      </w:r>
      <w:r w:rsidR="005A2004">
        <w:t xml:space="preserve"> </w:t>
      </w:r>
    </w:p>
    <w:p w14:paraId="76303326" w14:textId="77777777" w:rsidR="005A2004" w:rsidRPr="00B75D8E" w:rsidRDefault="00755A84" w:rsidP="005A2004">
      <w:pPr>
        <w:pStyle w:val="ListBullet"/>
        <w:numPr>
          <w:ilvl w:val="0"/>
          <w:numId w:val="7"/>
        </w:numPr>
      </w:pPr>
      <w:r>
        <w:t xml:space="preserve">be a job that </w:t>
      </w:r>
      <w:r w:rsidR="005A2004">
        <w:t>can be adapted to the particular needs of the employee (e.g. cultural or caring obligations)</w:t>
      </w:r>
    </w:p>
    <w:p w14:paraId="32273F9A" w14:textId="77777777" w:rsidR="005A2004" w:rsidRPr="00C96C6A" w:rsidRDefault="00D22B25" w:rsidP="005A2004">
      <w:pPr>
        <w:pStyle w:val="ListBullet"/>
        <w:numPr>
          <w:ilvl w:val="0"/>
          <w:numId w:val="7"/>
        </w:numPr>
      </w:pPr>
      <w:r>
        <w:t xml:space="preserve">be </w:t>
      </w:r>
      <w:r w:rsidR="00755A84">
        <w:t xml:space="preserve">a </w:t>
      </w:r>
      <w:r w:rsidR="005A2004" w:rsidRPr="00884A34">
        <w:t>casual,</w:t>
      </w:r>
      <w:r w:rsidR="005A2004">
        <w:t xml:space="preserve"> </w:t>
      </w:r>
      <w:r w:rsidR="005A2004" w:rsidRPr="00C96C6A">
        <w:t xml:space="preserve">part time or full time </w:t>
      </w:r>
      <w:r w:rsidR="005A2004">
        <w:t xml:space="preserve">job </w:t>
      </w:r>
      <w:r w:rsidR="006B4065">
        <w:t xml:space="preserve">with </w:t>
      </w:r>
      <w:r w:rsidR="005A2004" w:rsidRPr="00C96C6A">
        <w:t xml:space="preserve">the </w:t>
      </w:r>
      <w:r w:rsidR="004710F1">
        <w:t xml:space="preserve">proposed </w:t>
      </w:r>
      <w:r w:rsidR="005A2004" w:rsidRPr="00C96C6A">
        <w:t xml:space="preserve">number of hours worked per fortnight to be </w:t>
      </w:r>
      <w:r>
        <w:t>indicated in the grant application</w:t>
      </w:r>
      <w:r w:rsidR="004710F1">
        <w:t xml:space="preserve"> and</w:t>
      </w:r>
    </w:p>
    <w:p w14:paraId="26BFC818" w14:textId="77777777" w:rsidR="005A2004" w:rsidRPr="005A1754" w:rsidRDefault="00D22B25" w:rsidP="005A2004">
      <w:pPr>
        <w:pStyle w:val="ListBullet"/>
        <w:numPr>
          <w:ilvl w:val="0"/>
          <w:numId w:val="7"/>
        </w:numPr>
      </w:pPr>
      <w:r w:rsidRPr="005A1754">
        <w:t xml:space="preserve">designed </w:t>
      </w:r>
      <w:r w:rsidR="006B4065" w:rsidRPr="005A1754">
        <w:t>through engagement</w:t>
      </w:r>
      <w:r w:rsidRPr="005A1754">
        <w:t xml:space="preserve"> with and have </w:t>
      </w:r>
      <w:r w:rsidR="005A2004" w:rsidRPr="005A1754">
        <w:t xml:space="preserve">the support of the local community </w:t>
      </w:r>
    </w:p>
    <w:p w14:paraId="266C0FB2" w14:textId="77777777" w:rsidR="006B4065" w:rsidRPr="005A1754" w:rsidRDefault="006B4065" w:rsidP="0092284D">
      <w:pPr>
        <w:pStyle w:val="ListBullet"/>
        <w:numPr>
          <w:ilvl w:val="0"/>
          <w:numId w:val="0"/>
        </w:numPr>
      </w:pPr>
      <w:r w:rsidRPr="005A1754">
        <w:rPr>
          <w:rStyle w:val="ui-provider"/>
        </w:rPr>
        <w:t>To be eligible for funding under Community Jobs and Business Fund, you must</w:t>
      </w:r>
      <w:r w:rsidR="00EA07F9" w:rsidRPr="005A1754">
        <w:rPr>
          <w:rStyle w:val="ui-provider"/>
        </w:rPr>
        <w:t xml:space="preserve"> meet the following requirements</w:t>
      </w:r>
      <w:r w:rsidRPr="005A1754">
        <w:rPr>
          <w:rStyle w:val="ui-provider"/>
        </w:rPr>
        <w:t>:</w:t>
      </w:r>
    </w:p>
    <w:p w14:paraId="1AA2E460" w14:textId="0BD20EA7" w:rsidR="0092284D" w:rsidRPr="005A1754" w:rsidRDefault="0092284D" w:rsidP="00EA07F9">
      <w:pPr>
        <w:pStyle w:val="ListBullet"/>
        <w:numPr>
          <w:ilvl w:val="0"/>
          <w:numId w:val="7"/>
        </w:numPr>
      </w:pPr>
      <w:r w:rsidRPr="005A1754">
        <w:t xml:space="preserve">Apply and be assessed as eligible for funding for </w:t>
      </w:r>
      <w:r w:rsidR="004710F1">
        <w:t>J</w:t>
      </w:r>
      <w:r w:rsidRPr="005A1754">
        <w:t xml:space="preserve">ob </w:t>
      </w:r>
      <w:r w:rsidR="004710F1">
        <w:t>C</w:t>
      </w:r>
      <w:r w:rsidRPr="005A1754">
        <w:t xml:space="preserve">reation </w:t>
      </w:r>
      <w:r w:rsidR="005A1D20">
        <w:t>(section 4.1)</w:t>
      </w:r>
    </w:p>
    <w:p w14:paraId="76200001" w14:textId="77777777" w:rsidR="00273062" w:rsidRPr="005A1754" w:rsidRDefault="0092284D" w:rsidP="00EA07F9">
      <w:pPr>
        <w:pStyle w:val="ListBullet"/>
        <w:numPr>
          <w:ilvl w:val="0"/>
          <w:numId w:val="7"/>
        </w:numPr>
      </w:pPr>
      <w:r w:rsidRPr="005A1754">
        <w:t xml:space="preserve">be able to demonstrate how the requested CJBF </w:t>
      </w:r>
      <w:r w:rsidR="004054F0">
        <w:t>funding</w:t>
      </w:r>
      <w:r w:rsidR="004054F0" w:rsidRPr="005A1754">
        <w:t xml:space="preserve"> </w:t>
      </w:r>
      <w:r w:rsidRPr="005A1754">
        <w:t>directly relate</w:t>
      </w:r>
      <w:r w:rsidR="004054F0">
        <w:t>s</w:t>
      </w:r>
      <w:r w:rsidRPr="005A1754">
        <w:t xml:space="preserve"> to supporting the employee</w:t>
      </w:r>
      <w:r w:rsidR="004054F0">
        <w:t>/s</w:t>
      </w:r>
      <w:r w:rsidRPr="005A1754">
        <w:t xml:space="preserve"> and the creation of the job</w:t>
      </w:r>
      <w:r w:rsidR="004054F0">
        <w:t>/</w:t>
      </w:r>
      <w:r w:rsidR="00C65F6A">
        <w:t>s</w:t>
      </w:r>
      <w:r w:rsidRPr="005A1754">
        <w:t xml:space="preserve"> described in the app</w:t>
      </w:r>
      <w:r w:rsidR="004054F0">
        <w:t>lication’s J</w:t>
      </w:r>
      <w:r w:rsidR="00273062" w:rsidRPr="005A1754">
        <w:t xml:space="preserve">ob </w:t>
      </w:r>
      <w:r w:rsidR="004054F0">
        <w:t>C</w:t>
      </w:r>
      <w:r w:rsidR="00273062" w:rsidRPr="005A1754">
        <w:t>reation element</w:t>
      </w:r>
    </w:p>
    <w:p w14:paraId="44AD0AFE" w14:textId="77777777" w:rsidR="00EA07F9" w:rsidRPr="005A1754" w:rsidRDefault="00273062" w:rsidP="00EA07F9">
      <w:pPr>
        <w:pStyle w:val="ListBullet"/>
        <w:numPr>
          <w:ilvl w:val="0"/>
          <w:numId w:val="7"/>
        </w:numPr>
      </w:pPr>
      <w:r w:rsidRPr="005A1754">
        <w:t>have a separate bank account</w:t>
      </w:r>
      <w:r w:rsidR="004054F0">
        <w:t>/s</w:t>
      </w:r>
      <w:r w:rsidRPr="005A1754">
        <w:t xml:space="preserve"> for managing CJBF funding where the total budget for this element is more than $10,000</w:t>
      </w:r>
    </w:p>
    <w:p w14:paraId="3D8B8A04" w14:textId="77777777" w:rsidR="006B4065" w:rsidRPr="00F94B5B" w:rsidRDefault="006B4065" w:rsidP="006B4065">
      <w:pPr>
        <w:pStyle w:val="ListBullet"/>
        <w:numPr>
          <w:ilvl w:val="0"/>
          <w:numId w:val="0"/>
        </w:numPr>
        <w:rPr>
          <w:rFonts w:cs="Arial"/>
        </w:rPr>
      </w:pPr>
      <w:r>
        <w:rPr>
          <w:rStyle w:val="ui-provider"/>
        </w:rPr>
        <w:t>Where possible and relevant, your</w:t>
      </w:r>
      <w:r w:rsidRPr="00DE3286">
        <w:rPr>
          <w:rStyle w:val="ui-provider"/>
        </w:rPr>
        <w:t xml:space="preserve"> proposed grant activities should take</w:t>
      </w:r>
      <w:r w:rsidRPr="00F94B5B">
        <w:rPr>
          <w:rFonts w:cs="Arial"/>
        </w:rPr>
        <w:t xml:space="preserve"> into account: </w:t>
      </w:r>
    </w:p>
    <w:p w14:paraId="2D3A89D4" w14:textId="77777777" w:rsidR="006B4065" w:rsidRPr="00F94B5B" w:rsidRDefault="004710F1" w:rsidP="006B4065">
      <w:pPr>
        <w:pStyle w:val="ListBullet"/>
      </w:pPr>
      <w:r>
        <w:t>t</w:t>
      </w:r>
      <w:r w:rsidR="006B4065" w:rsidRPr="00F94B5B">
        <w:t xml:space="preserve">he cultural and linguistic needs of </w:t>
      </w:r>
      <w:r w:rsidR="006B4065">
        <w:rPr>
          <w:rFonts w:cs="Arial"/>
        </w:rPr>
        <w:t>First Nations</w:t>
      </w:r>
      <w:r w:rsidR="006B4065" w:rsidRPr="00F94B5B">
        <w:rPr>
          <w:rFonts w:cs="Arial"/>
        </w:rPr>
        <w:t xml:space="preserve"> </w:t>
      </w:r>
      <w:r w:rsidR="006B4065" w:rsidRPr="00F94B5B">
        <w:t xml:space="preserve">Australians and others whose first language is not English, and be mindful of the Commonwealth Ombudsman’s Best Practice Principles for interpreting. </w:t>
      </w:r>
      <w:hyperlink r:id="rId38" w:history="1">
        <w:r w:rsidR="006B4065" w:rsidRPr="00F94B5B">
          <w:rPr>
            <w:rStyle w:val="Hyperlink"/>
            <w:color w:val="auto"/>
          </w:rPr>
          <w:t>Use of Interpreters - Commonwealth Ombudsman</w:t>
        </w:r>
      </w:hyperlink>
    </w:p>
    <w:p w14:paraId="39C663B5" w14:textId="288F9606" w:rsidR="006B4065" w:rsidRDefault="004710F1" w:rsidP="006B4065">
      <w:pPr>
        <w:pStyle w:val="ListBullet"/>
      </w:pPr>
      <w:r>
        <w:t>t</w:t>
      </w:r>
      <w:r w:rsidR="006B4065" w:rsidRPr="003C6F5E">
        <w:t xml:space="preserve">he </w:t>
      </w:r>
      <w:r w:rsidR="006B4065" w:rsidRPr="000C7F98">
        <w:rPr>
          <w:rFonts w:cs="Arial"/>
          <w:color w:val="000000" w:themeColor="text1"/>
        </w:rPr>
        <w:t>needs</w:t>
      </w:r>
      <w:r w:rsidR="006B4065" w:rsidRPr="003C6F5E">
        <w:t xml:space="preserve"> of Australians with disability including how the </w:t>
      </w:r>
      <w:r w:rsidR="002E4F41">
        <w:t>proposed activity</w:t>
      </w:r>
      <w:r w:rsidR="002E4F41" w:rsidRPr="003C6F5E">
        <w:t xml:space="preserve"> </w:t>
      </w:r>
      <w:r w:rsidR="006B4065" w:rsidRPr="003C6F5E">
        <w:t xml:space="preserve">supports one or more of the </w:t>
      </w:r>
      <w:r w:rsidR="00B248B2">
        <w:t>seven</w:t>
      </w:r>
      <w:r w:rsidR="00B248B2" w:rsidRPr="003C6F5E">
        <w:t xml:space="preserve"> </w:t>
      </w:r>
      <w:r w:rsidR="006B4065" w:rsidRPr="003C6F5E">
        <w:t xml:space="preserve">policy outcome areas outlined in </w:t>
      </w:r>
      <w:hyperlink r:id="rId39" w:history="1">
        <w:r w:rsidR="00EA088E">
          <w:rPr>
            <w:rStyle w:val="Hyperlink"/>
            <w:i/>
          </w:rPr>
          <w:t>Australia’s Disability Strategy 2021–2031</w:t>
        </w:r>
      </w:hyperlink>
    </w:p>
    <w:p w14:paraId="0AEBDA7E" w14:textId="77777777" w:rsidR="006B4065" w:rsidRPr="00760EC3" w:rsidRDefault="004710F1" w:rsidP="006B4065">
      <w:pPr>
        <w:pStyle w:val="ListBullet"/>
      </w:pPr>
      <w:r>
        <w:t>d</w:t>
      </w:r>
      <w:r w:rsidR="006B4065" w:rsidRPr="00F94B5B">
        <w:t xml:space="preserve">iffering barriers and opportunities experienced by subsets of the target community, including </w:t>
      </w:r>
      <w:r w:rsidR="006B4065">
        <w:t>First Nations</w:t>
      </w:r>
      <w:r w:rsidR="006B4065" w:rsidRPr="00F94B5B">
        <w:t xml:space="preserve"> men and women, and the impact these might have on access to </w:t>
      </w:r>
      <w:r w:rsidR="002E4F41">
        <w:t>proposed</w:t>
      </w:r>
      <w:r w:rsidR="002E4F41" w:rsidRPr="00F94B5B">
        <w:t xml:space="preserve"> </w:t>
      </w:r>
      <w:r w:rsidR="006B4065" w:rsidRPr="00F94B5B">
        <w:t>activities</w:t>
      </w:r>
      <w:r w:rsidR="006B4065" w:rsidRPr="00F94B5B">
        <w:sym w:font="Symbol" w:char="F0BE"/>
      </w:r>
      <w:r w:rsidR="006B4065" w:rsidRPr="00F94B5B">
        <w:t xml:space="preserve">this could include articulating the specific ways delivery of the activity will address barriers to participation for different groups. For example, how the activity will support </w:t>
      </w:r>
      <w:r w:rsidR="006B4065">
        <w:t>youth</w:t>
      </w:r>
      <w:r w:rsidR="006B4065" w:rsidRPr="00F94B5B">
        <w:t xml:space="preserve"> outcomes in the community.</w:t>
      </w:r>
      <w:r w:rsidR="006B4065" w:rsidRPr="00F94B5B" w:rsidDel="004A515E">
        <w:t xml:space="preserve"> </w:t>
      </w:r>
    </w:p>
    <w:p w14:paraId="1529CF0B" w14:textId="77777777" w:rsidR="006B4065" w:rsidRPr="00DE3286" w:rsidRDefault="006B4065" w:rsidP="006B4065">
      <w:pPr>
        <w:pStyle w:val="ListBullet"/>
        <w:numPr>
          <w:ilvl w:val="0"/>
          <w:numId w:val="0"/>
        </w:numPr>
        <w:rPr>
          <w:rStyle w:val="ui-provider"/>
        </w:rPr>
      </w:pPr>
      <w:r w:rsidRPr="00DE3286">
        <w:rPr>
          <w:rStyle w:val="ui-provider"/>
        </w:rPr>
        <w:t>Given the changing and variable impacts of COVID-19 across Australia, activities must be delivered in alignment with relevant government and health advice to limit the risk of transmission of COVID-19, particularly with respect to protecting Elders and those with chronic health issues. </w:t>
      </w:r>
    </w:p>
    <w:p w14:paraId="7FF8A678" w14:textId="77777777" w:rsidR="005E181C" w:rsidRPr="005E181C" w:rsidRDefault="002E4F41" w:rsidP="00B75EBB">
      <w:pPr>
        <w:pStyle w:val="Heading3"/>
        <w:ind w:left="1134"/>
      </w:pPr>
      <w:bookmarkStart w:id="26" w:name="_Toc170734117"/>
      <w:r>
        <w:t xml:space="preserve">Job Creation - </w:t>
      </w:r>
      <w:r w:rsidR="00977C5E">
        <w:t xml:space="preserve">Eligible </w:t>
      </w:r>
      <w:r w:rsidR="005E181C" w:rsidRPr="005E181C">
        <w:t>Employees</w:t>
      </w:r>
      <w:bookmarkEnd w:id="26"/>
    </w:p>
    <w:p w14:paraId="011742C2" w14:textId="4BA51882" w:rsidR="005A2004" w:rsidRPr="005B1835" w:rsidRDefault="00DE3286" w:rsidP="005A2004">
      <w:pPr>
        <w:pStyle w:val="ListBullet"/>
        <w:numPr>
          <w:ilvl w:val="0"/>
          <w:numId w:val="0"/>
        </w:numPr>
        <w:spacing w:after="200"/>
      </w:pPr>
      <w:r>
        <w:t xml:space="preserve">A </w:t>
      </w:r>
      <w:r w:rsidR="002E4F41">
        <w:t>person</w:t>
      </w:r>
      <w:r w:rsidRPr="005B1835">
        <w:t xml:space="preserve"> </w:t>
      </w:r>
      <w:r>
        <w:t>employed in a job</w:t>
      </w:r>
      <w:r w:rsidRPr="005B1835">
        <w:t xml:space="preserve"> funded through </w:t>
      </w:r>
      <w:r w:rsidR="005A1754">
        <w:t>RJED</w:t>
      </w:r>
      <w:r w:rsidRPr="005B1835">
        <w:t xml:space="preserve"> will become an employee of the organisation receiving funding</w:t>
      </w:r>
      <w:r w:rsidR="005A2004" w:rsidRPr="005B1835">
        <w:t xml:space="preserve">. </w:t>
      </w:r>
      <w:r w:rsidR="002241C8">
        <w:t>S</w:t>
      </w:r>
      <w:r w:rsidR="005A2004" w:rsidRPr="005B1835">
        <w:t xml:space="preserve">uccessful grant recipients will need to: </w:t>
      </w:r>
    </w:p>
    <w:p w14:paraId="7468B503" w14:textId="77777777" w:rsidR="00DE3286" w:rsidRDefault="007C35E4" w:rsidP="009F02A2">
      <w:pPr>
        <w:pStyle w:val="ListBullet"/>
        <w:numPr>
          <w:ilvl w:val="0"/>
          <w:numId w:val="35"/>
        </w:numPr>
      </w:pPr>
      <w:r>
        <w:t>w</w:t>
      </w:r>
      <w:r w:rsidR="00DE3286">
        <w:t xml:space="preserve">ork with a CDP provider to identify </w:t>
      </w:r>
      <w:r>
        <w:t>a</w:t>
      </w:r>
      <w:r w:rsidRPr="006C3D9F">
        <w:t xml:space="preserve"> </w:t>
      </w:r>
      <w:r>
        <w:t>suitable</w:t>
      </w:r>
      <w:r w:rsidRPr="006C3D9F">
        <w:t xml:space="preserve"> </w:t>
      </w:r>
      <w:r w:rsidR="00DE3286">
        <w:t xml:space="preserve">existing or eligible CDP participant </w:t>
      </w:r>
      <w:r>
        <w:t>for</w:t>
      </w:r>
      <w:r w:rsidR="00DE3286">
        <w:t xml:space="preserve"> </w:t>
      </w:r>
      <w:r>
        <w:t>the job</w:t>
      </w:r>
    </w:p>
    <w:p w14:paraId="6FF51831" w14:textId="77777777" w:rsidR="00DE3286" w:rsidRDefault="007C35E4" w:rsidP="009F02A2">
      <w:pPr>
        <w:pStyle w:val="ListBullet"/>
        <w:numPr>
          <w:ilvl w:val="1"/>
          <w:numId w:val="35"/>
        </w:numPr>
        <w:spacing w:after="0"/>
        <w:ind w:left="714" w:hanging="357"/>
      </w:pPr>
      <w:r>
        <w:t>e</w:t>
      </w:r>
      <w:r w:rsidR="00DE3286">
        <w:t>xemptions may be requested from NIAA for non-</w:t>
      </w:r>
      <w:r>
        <w:t xml:space="preserve">CDP participants to be </w:t>
      </w:r>
      <w:r w:rsidR="00DE3286" w:rsidRPr="00D51953">
        <w:t>placed into a job</w:t>
      </w:r>
      <w:r w:rsidR="00DE3286">
        <w:t xml:space="preserve"> if they are</w:t>
      </w:r>
      <w:r w:rsidR="00DE3286" w:rsidRPr="00D51953">
        <w:t xml:space="preserve"> youth (15-24 years)</w:t>
      </w:r>
      <w:r w:rsidR="00DE3286">
        <w:t xml:space="preserve"> and for people leaving prison</w:t>
      </w:r>
      <w:r w:rsidR="005A1754">
        <w:t>;</w:t>
      </w:r>
    </w:p>
    <w:p w14:paraId="28AE0EF5" w14:textId="77777777" w:rsidR="00DA4CE4" w:rsidRPr="00DE3286" w:rsidRDefault="00DA4CE4" w:rsidP="009F02A2">
      <w:pPr>
        <w:pStyle w:val="ListBullet"/>
        <w:numPr>
          <w:ilvl w:val="1"/>
          <w:numId w:val="35"/>
        </w:numPr>
        <w:spacing w:after="0"/>
        <w:ind w:left="714" w:hanging="357"/>
      </w:pPr>
      <w:r>
        <w:t>consider age limitations of CDP participants - employees must be 15 years or older</w:t>
      </w:r>
    </w:p>
    <w:p w14:paraId="388089EC" w14:textId="77777777" w:rsidR="005A2004" w:rsidRDefault="005A2004" w:rsidP="009F02A2">
      <w:pPr>
        <w:pStyle w:val="ListBullet"/>
        <w:numPr>
          <w:ilvl w:val="0"/>
          <w:numId w:val="35"/>
        </w:numPr>
      </w:pPr>
      <w:r w:rsidRPr="006C3D9F">
        <w:t xml:space="preserve">work with local </w:t>
      </w:r>
      <w:r>
        <w:t>CDP</w:t>
      </w:r>
      <w:r w:rsidRPr="006C3D9F">
        <w:t xml:space="preserve"> provider</w:t>
      </w:r>
      <w:r>
        <w:t>s</w:t>
      </w:r>
      <w:r w:rsidRPr="006C3D9F">
        <w:t xml:space="preserve"> </w:t>
      </w:r>
      <w:r w:rsidR="00DE3286">
        <w:t>to</w:t>
      </w:r>
      <w:r>
        <w:t xml:space="preserve"> ensure </w:t>
      </w:r>
      <w:r w:rsidR="00DE3286">
        <w:t>the employee has the</w:t>
      </w:r>
      <w:r>
        <w:t xml:space="preserve"> required documentation </w:t>
      </w:r>
      <w:r w:rsidR="007C35E4">
        <w:t>to commence employment</w:t>
      </w:r>
      <w:r w:rsidR="00DE3286">
        <w:t xml:space="preserve">, for example </w:t>
      </w:r>
      <w:r>
        <w:t>a</w:t>
      </w:r>
      <w:r w:rsidR="00DE3286">
        <w:t>n Australian</w:t>
      </w:r>
      <w:r>
        <w:t xml:space="preserve"> bank account</w:t>
      </w:r>
      <w:r w:rsidR="007C35E4">
        <w:t xml:space="preserve"> or</w:t>
      </w:r>
      <w:r>
        <w:t xml:space="preserve"> superannuation account</w:t>
      </w:r>
      <w:r w:rsidR="007C35E4">
        <w:t>;</w:t>
      </w:r>
    </w:p>
    <w:p w14:paraId="3637F010" w14:textId="77777777" w:rsidR="005A2004" w:rsidRDefault="005A2004" w:rsidP="009F02A2">
      <w:pPr>
        <w:pStyle w:val="ListBullet"/>
        <w:numPr>
          <w:ilvl w:val="0"/>
          <w:numId w:val="35"/>
        </w:numPr>
      </w:pPr>
      <w:r>
        <w:t>pay wages</w:t>
      </w:r>
      <w:r w:rsidR="007C35E4">
        <w:t>,</w:t>
      </w:r>
      <w:r>
        <w:t xml:space="preserve"> entitlements and provide </w:t>
      </w:r>
      <w:r w:rsidR="00336852">
        <w:t xml:space="preserve">suitable working </w:t>
      </w:r>
      <w:r>
        <w:t>conditions</w:t>
      </w:r>
      <w:r w:rsidR="005A1754">
        <w:t>,</w:t>
      </w:r>
      <w:r>
        <w:t xml:space="preserve"> as required by law</w:t>
      </w:r>
      <w:r w:rsidR="007C35E4">
        <w:t>;</w:t>
      </w:r>
    </w:p>
    <w:p w14:paraId="1B015AAD" w14:textId="77777777" w:rsidR="007C35E4" w:rsidRDefault="007C35E4" w:rsidP="009F02A2">
      <w:pPr>
        <w:pStyle w:val="ListBullet"/>
        <w:numPr>
          <w:ilvl w:val="0"/>
          <w:numId w:val="35"/>
        </w:numPr>
      </w:pPr>
      <w:r>
        <w:t xml:space="preserve">provide </w:t>
      </w:r>
      <w:r w:rsidR="00DA4CE4">
        <w:t xml:space="preserve">wellbeing and cultural </w:t>
      </w:r>
      <w:r>
        <w:t>support to</w:t>
      </w:r>
      <w:r w:rsidR="00DA4CE4">
        <w:t xml:space="preserve"> employees;</w:t>
      </w:r>
    </w:p>
    <w:p w14:paraId="1E004F8E" w14:textId="77777777" w:rsidR="005A2004" w:rsidRDefault="005A2004" w:rsidP="009F02A2">
      <w:pPr>
        <w:pStyle w:val="ListBullet"/>
        <w:numPr>
          <w:ilvl w:val="0"/>
          <w:numId w:val="35"/>
        </w:numPr>
      </w:pPr>
      <w:r>
        <w:t xml:space="preserve">provide </w:t>
      </w:r>
      <w:r w:rsidR="00DE3286">
        <w:t xml:space="preserve">relevant </w:t>
      </w:r>
      <w:r w:rsidR="007C35E4">
        <w:t>training</w:t>
      </w:r>
      <w:r w:rsidR="00DA4CE4">
        <w:t>,</w:t>
      </w:r>
      <w:r w:rsidR="007C35E4">
        <w:t xml:space="preserve"> </w:t>
      </w:r>
      <w:r>
        <w:t>mentoring</w:t>
      </w:r>
      <w:r w:rsidR="00DA4CE4">
        <w:t xml:space="preserve"> and coaching</w:t>
      </w:r>
      <w:r>
        <w:t xml:space="preserve"> to upskill </w:t>
      </w:r>
      <w:r w:rsidR="007C35E4">
        <w:t>employees</w:t>
      </w:r>
      <w:r>
        <w:t>;</w:t>
      </w:r>
      <w:r w:rsidR="00DA4CE4">
        <w:t xml:space="preserve"> and</w:t>
      </w:r>
    </w:p>
    <w:p w14:paraId="0CF8B09D" w14:textId="77777777" w:rsidR="005E181C" w:rsidRDefault="00DA4CE4" w:rsidP="009F02A2">
      <w:pPr>
        <w:pStyle w:val="ListBullet"/>
        <w:numPr>
          <w:ilvl w:val="0"/>
          <w:numId w:val="35"/>
        </w:numPr>
      </w:pPr>
      <w:r>
        <w:t>c</w:t>
      </w:r>
      <w:r w:rsidR="005A2004">
        <w:t xml:space="preserve">ontinue </w:t>
      </w:r>
      <w:r>
        <w:t>engaging</w:t>
      </w:r>
      <w:r w:rsidR="005A2004">
        <w:t xml:space="preserve"> with </w:t>
      </w:r>
      <w:r w:rsidR="00DE3286">
        <w:t xml:space="preserve">the local </w:t>
      </w:r>
      <w:r>
        <w:t>community on ongoing employment needs, objectives, and progress towards successful outcomes.</w:t>
      </w:r>
    </w:p>
    <w:p w14:paraId="3B9C2916" w14:textId="77777777" w:rsidR="003224A6" w:rsidRPr="003224A6" w:rsidRDefault="00336852" w:rsidP="00B75EBB">
      <w:pPr>
        <w:pStyle w:val="Heading3"/>
        <w:ind w:left="1134"/>
      </w:pPr>
      <w:bookmarkStart w:id="27" w:name="_Toc170734118"/>
      <w:r>
        <w:t xml:space="preserve">Job Creation - </w:t>
      </w:r>
      <w:r w:rsidR="003224A6">
        <w:t>What jobs are not eligible for funding</w:t>
      </w:r>
      <w:bookmarkEnd w:id="27"/>
      <w:r w:rsidR="003224A6" w:rsidRPr="003224A6">
        <w:t xml:space="preserve"> </w:t>
      </w:r>
    </w:p>
    <w:p w14:paraId="70E117B7" w14:textId="77777777" w:rsidR="003224A6" w:rsidRPr="00452906" w:rsidRDefault="003224A6" w:rsidP="003224A6">
      <w:pPr>
        <w:pStyle w:val="ListBullet"/>
        <w:numPr>
          <w:ilvl w:val="0"/>
          <w:numId w:val="0"/>
        </w:numPr>
        <w:ind w:left="360" w:hanging="360"/>
        <w:rPr>
          <w:rStyle w:val="ui-provider"/>
        </w:rPr>
      </w:pPr>
      <w:r>
        <w:rPr>
          <w:rStyle w:val="ui-provider"/>
        </w:rPr>
        <w:t>The following jobs</w:t>
      </w:r>
      <w:r w:rsidRPr="00452906">
        <w:rPr>
          <w:rStyle w:val="ui-provider"/>
        </w:rPr>
        <w:t xml:space="preserve"> cannot be funded</w:t>
      </w:r>
      <w:r>
        <w:rPr>
          <w:rStyle w:val="ui-provider"/>
        </w:rPr>
        <w:t xml:space="preserve"> under</w:t>
      </w:r>
      <w:r w:rsidRPr="00452906">
        <w:rPr>
          <w:rStyle w:val="ui-provider"/>
        </w:rPr>
        <w:t xml:space="preserve"> RJED: </w:t>
      </w:r>
    </w:p>
    <w:p w14:paraId="0657C8D0" w14:textId="77777777" w:rsidR="003224A6" w:rsidRPr="00AB727E" w:rsidRDefault="003224A6" w:rsidP="009F02A2">
      <w:pPr>
        <w:pStyle w:val="ListBullet"/>
        <w:numPr>
          <w:ilvl w:val="0"/>
          <w:numId w:val="34"/>
        </w:numPr>
      </w:pPr>
      <w:r>
        <w:t>religious occupations</w:t>
      </w:r>
      <w:r w:rsidR="009454E2">
        <w:t xml:space="preserve"> </w:t>
      </w:r>
    </w:p>
    <w:p w14:paraId="70BF7474" w14:textId="77777777" w:rsidR="003224A6" w:rsidRPr="00612B0F" w:rsidRDefault="003224A6" w:rsidP="009F02A2">
      <w:pPr>
        <w:pStyle w:val="ListBullet"/>
        <w:numPr>
          <w:ilvl w:val="0"/>
          <w:numId w:val="34"/>
        </w:numPr>
      </w:pPr>
      <w:r w:rsidRPr="00D33365">
        <w:t>an existing job</w:t>
      </w:r>
      <w:r w:rsidR="00DE3286">
        <w:t xml:space="preserve"> </w:t>
      </w:r>
      <w:r w:rsidR="00DA4CE4">
        <w:t>that</w:t>
      </w:r>
      <w:r w:rsidRPr="00D33365">
        <w:t xml:space="preserve"> is vacant</w:t>
      </w:r>
      <w:r w:rsidR="00DA4CE4">
        <w:t xml:space="preserve"> </w:t>
      </w:r>
    </w:p>
    <w:p w14:paraId="7BE37C60" w14:textId="77777777" w:rsidR="003224A6" w:rsidRDefault="003224A6" w:rsidP="009F02A2">
      <w:pPr>
        <w:pStyle w:val="ListBullet"/>
        <w:numPr>
          <w:ilvl w:val="0"/>
          <w:numId w:val="34"/>
        </w:numPr>
      </w:pPr>
      <w:r w:rsidRPr="00D33365">
        <w:t>a job that displaces an existing employee</w:t>
      </w:r>
    </w:p>
    <w:p w14:paraId="612760FD" w14:textId="77777777" w:rsidR="003224A6" w:rsidRPr="00AB727E" w:rsidRDefault="003224A6" w:rsidP="009F02A2">
      <w:pPr>
        <w:pStyle w:val="ListBullet"/>
        <w:numPr>
          <w:ilvl w:val="0"/>
          <w:numId w:val="34"/>
        </w:numPr>
      </w:pPr>
      <w:r>
        <w:t>commission based</w:t>
      </w:r>
      <w:r w:rsidRPr="00AB727E">
        <w:t xml:space="preserve"> </w:t>
      </w:r>
      <w:r w:rsidR="00F11645">
        <w:t>jobs</w:t>
      </w:r>
    </w:p>
    <w:p w14:paraId="3EC0BC53" w14:textId="77777777" w:rsidR="003224A6" w:rsidRPr="00AB727E" w:rsidRDefault="003224A6" w:rsidP="009F02A2">
      <w:pPr>
        <w:pStyle w:val="ListBullet"/>
        <w:numPr>
          <w:ilvl w:val="0"/>
          <w:numId w:val="34"/>
        </w:numPr>
      </w:pPr>
      <w:r w:rsidRPr="00AB727E">
        <w:t>self-employme</w:t>
      </w:r>
      <w:r>
        <w:t>nt or a subcontracted position</w:t>
      </w:r>
    </w:p>
    <w:p w14:paraId="0305A402" w14:textId="77777777" w:rsidR="003224A6" w:rsidRDefault="00F11645" w:rsidP="009F02A2">
      <w:pPr>
        <w:pStyle w:val="ListBullet"/>
        <w:numPr>
          <w:ilvl w:val="0"/>
          <w:numId w:val="34"/>
        </w:numPr>
      </w:pPr>
      <w:r>
        <w:t xml:space="preserve">a job </w:t>
      </w:r>
      <w:r w:rsidR="003224A6" w:rsidRPr="00AB727E">
        <w:t>subsidised or funded under any other Commonwealth or government program</w:t>
      </w:r>
    </w:p>
    <w:p w14:paraId="0A718AC4" w14:textId="77777777" w:rsidR="003224A6" w:rsidRDefault="003224A6" w:rsidP="009F02A2">
      <w:pPr>
        <w:pStyle w:val="ListBullet"/>
        <w:numPr>
          <w:ilvl w:val="0"/>
          <w:numId w:val="34"/>
        </w:numPr>
      </w:pPr>
      <w:r>
        <w:t xml:space="preserve">a job </w:t>
      </w:r>
      <w:r w:rsidRPr="00AB727E">
        <w:t xml:space="preserve">that is likely to bring </w:t>
      </w:r>
      <w:r w:rsidR="00657182">
        <w:t>RJED</w:t>
      </w:r>
      <w:r w:rsidRPr="00AB727E">
        <w:t xml:space="preserve">, the </w:t>
      </w:r>
      <w:r>
        <w:t>NIAA</w:t>
      </w:r>
      <w:r w:rsidRPr="00AB727E">
        <w:t xml:space="preserve"> or </w:t>
      </w:r>
      <w:r>
        <w:t>the Commonwealth into disrepute</w:t>
      </w:r>
    </w:p>
    <w:p w14:paraId="40E530DC" w14:textId="77777777" w:rsidR="003224A6" w:rsidRPr="000C5C99" w:rsidRDefault="003224A6" w:rsidP="009F02A2">
      <w:pPr>
        <w:pStyle w:val="ListBullet"/>
        <w:numPr>
          <w:ilvl w:val="0"/>
          <w:numId w:val="34"/>
        </w:numPr>
      </w:pPr>
      <w:r w:rsidRPr="000C5C99">
        <w:t xml:space="preserve">jobs </w:t>
      </w:r>
      <w:r w:rsidR="000E207D">
        <w:t>that</w:t>
      </w:r>
      <w:r w:rsidR="00F11645">
        <w:t xml:space="preserve"> lead to</w:t>
      </w:r>
      <w:r w:rsidRPr="000C5C99">
        <w:t xml:space="preserve"> a decrease in other employment opportunities in the region or a reducti</w:t>
      </w:r>
      <w:r w:rsidR="00657182">
        <w:t>on in services</w:t>
      </w:r>
      <w:r w:rsidR="00336852">
        <w:t xml:space="preserve"> or</w:t>
      </w:r>
    </w:p>
    <w:p w14:paraId="33904679" w14:textId="77777777" w:rsidR="003224A6" w:rsidRDefault="00643C4B" w:rsidP="009F02A2">
      <w:pPr>
        <w:pStyle w:val="ListBullet"/>
        <w:numPr>
          <w:ilvl w:val="0"/>
          <w:numId w:val="34"/>
        </w:numPr>
      </w:pPr>
      <w:r>
        <w:t xml:space="preserve">jobs </w:t>
      </w:r>
      <w:r w:rsidR="005A2004">
        <w:t>that</w:t>
      </w:r>
      <w:r w:rsidR="00F11645">
        <w:t xml:space="preserve"> are </w:t>
      </w:r>
      <w:r w:rsidR="003224A6" w:rsidRPr="00AB727E">
        <w:t xml:space="preserve">unsafe or carry an unsatisfactory level of risk to the health and safety of the </w:t>
      </w:r>
      <w:r w:rsidR="003224A6">
        <w:t>CDP</w:t>
      </w:r>
      <w:r w:rsidR="003224A6" w:rsidRPr="00AB727E">
        <w:t xml:space="preserve"> </w:t>
      </w:r>
      <w:r w:rsidR="003224A6">
        <w:t>p</w:t>
      </w:r>
      <w:r w:rsidR="003224A6" w:rsidRPr="00AB727E">
        <w:t>articipant.</w:t>
      </w:r>
    </w:p>
    <w:p w14:paraId="40EC635A" w14:textId="77777777" w:rsidR="00E832A7" w:rsidRDefault="00336852" w:rsidP="00B75EBB">
      <w:pPr>
        <w:pStyle w:val="Heading3"/>
        <w:ind w:left="1134"/>
      </w:pPr>
      <w:bookmarkStart w:id="28" w:name="_Toc506537727"/>
      <w:bookmarkStart w:id="29" w:name="_Toc506537728"/>
      <w:bookmarkStart w:id="30" w:name="_Toc506537729"/>
      <w:bookmarkStart w:id="31" w:name="_Toc506537730"/>
      <w:bookmarkStart w:id="32" w:name="_Toc506537731"/>
      <w:bookmarkStart w:id="33" w:name="_Toc506537732"/>
      <w:bookmarkStart w:id="34" w:name="_Toc506537733"/>
      <w:bookmarkStart w:id="35" w:name="_Toc506537734"/>
      <w:bookmarkStart w:id="36" w:name="_Toc506537735"/>
      <w:bookmarkStart w:id="37" w:name="_Toc506537736"/>
      <w:bookmarkStart w:id="38" w:name="_Toc506537737"/>
      <w:bookmarkStart w:id="39" w:name="_Toc506537738"/>
      <w:bookmarkStart w:id="40" w:name="_Toc506537739"/>
      <w:bookmarkStart w:id="41" w:name="_Toc506537740"/>
      <w:bookmarkStart w:id="42" w:name="_Toc506537741"/>
      <w:bookmarkStart w:id="43" w:name="_Toc506537742"/>
      <w:bookmarkStart w:id="44" w:name="_Toc170734119"/>
      <w:bookmarkStart w:id="45" w:name="_Ref468355814"/>
      <w:bookmarkStart w:id="46" w:name="_Toc383003258"/>
      <w:bookmarkStart w:id="47" w:name="_Toc164844265"/>
      <w:bookmarkEnd w:id="21"/>
      <w:bookmarkEnd w:id="22"/>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t xml:space="preserve">Job Creation - </w:t>
      </w:r>
      <w:r w:rsidR="00E832A7">
        <w:t>Eligible locations</w:t>
      </w:r>
      <w:bookmarkEnd w:id="44"/>
    </w:p>
    <w:p w14:paraId="47AC53E7" w14:textId="43212930" w:rsidR="00657182" w:rsidRPr="009A74F2" w:rsidRDefault="00E832A7" w:rsidP="00C96C6A">
      <w:r>
        <w:t xml:space="preserve">Your </w:t>
      </w:r>
      <w:r w:rsidR="005100FB">
        <w:t>grant activity</w:t>
      </w:r>
      <w:r w:rsidR="00585950">
        <w:t xml:space="preserve"> </w:t>
      </w:r>
      <w:r>
        <w:t xml:space="preserve">must be delivered </w:t>
      </w:r>
      <w:r w:rsidR="00E77DAE">
        <w:t xml:space="preserve">in Australia, </w:t>
      </w:r>
      <w:r>
        <w:t xml:space="preserve">in </w:t>
      </w:r>
      <w:r w:rsidR="005100FB">
        <w:t xml:space="preserve">one or more of the 60 </w:t>
      </w:r>
      <w:hyperlink r:id="rId40" w:history="1">
        <w:r w:rsidR="005100FB" w:rsidRPr="00916175">
          <w:rPr>
            <w:rStyle w:val="Hyperlink"/>
          </w:rPr>
          <w:t>CDP</w:t>
        </w:r>
        <w:r w:rsidR="00075D01" w:rsidRPr="00916175">
          <w:rPr>
            <w:rStyle w:val="Hyperlink"/>
          </w:rPr>
          <w:t xml:space="preserve"> </w:t>
        </w:r>
        <w:r w:rsidR="005100FB" w:rsidRPr="00916175">
          <w:rPr>
            <w:rStyle w:val="Hyperlink"/>
          </w:rPr>
          <w:t>regions</w:t>
        </w:r>
        <w:r w:rsidR="00A0236C">
          <w:rPr>
            <w:rStyle w:val="Hyperlink"/>
          </w:rPr>
          <w:t>.</w:t>
        </w:r>
        <w:r w:rsidR="005E4D00" w:rsidRPr="00916175">
          <w:rPr>
            <w:rStyle w:val="Hyperlink"/>
          </w:rPr>
          <w:t xml:space="preserve"> </w:t>
        </w:r>
      </w:hyperlink>
      <w:r w:rsidR="00D34CBF" w:rsidRPr="009A74F2">
        <w:rPr>
          <w:rStyle w:val="Hyperlink"/>
          <w:color w:val="auto"/>
          <w:u w:val="none"/>
        </w:rPr>
        <w:t>The NIAA may consider, on an exception basis with the express agreement of the NIAA, a location that is adjacent to or connected to a CDP region or the CDP participant undertaking the job,</w:t>
      </w:r>
    </w:p>
    <w:p w14:paraId="391BA773" w14:textId="27535597" w:rsidR="00E77DAE" w:rsidRDefault="00657182" w:rsidP="00C96C6A">
      <w:r w:rsidRPr="005A1754">
        <w:t xml:space="preserve">If </w:t>
      </w:r>
      <w:r w:rsidR="005A1754">
        <w:t>your grant activity seeks funding for</w:t>
      </w:r>
      <w:r w:rsidRPr="005A1754">
        <w:t xml:space="preserve"> jobs located in multiple CDP regions, </w:t>
      </w:r>
      <w:r w:rsidR="00D34CBF" w:rsidRPr="005A1754">
        <w:t>you</w:t>
      </w:r>
      <w:r w:rsidR="00D34CBF">
        <w:t xml:space="preserve">r application must clearly indicate each region you are applying for and the number of jobs proposed per region. </w:t>
      </w:r>
    </w:p>
    <w:p w14:paraId="74F3BB25" w14:textId="29D07281" w:rsidR="00150DA7" w:rsidRDefault="00EC04E1" w:rsidP="00C22ACF">
      <w:pPr>
        <w:pStyle w:val="Heading3"/>
        <w:ind w:left="1134"/>
      </w:pPr>
      <w:bookmarkStart w:id="48" w:name="_Toc170734120"/>
      <w:r>
        <w:t>Eligible expenditure</w:t>
      </w:r>
      <w:bookmarkEnd w:id="48"/>
    </w:p>
    <w:p w14:paraId="455F6883" w14:textId="77777777" w:rsidR="005A2004" w:rsidRPr="00BA5868" w:rsidRDefault="005A2004" w:rsidP="005A2004">
      <w:r>
        <w:t xml:space="preserve">Grant funding </w:t>
      </w:r>
      <w:r w:rsidRPr="00BB5D57">
        <w:t xml:space="preserve">can only </w:t>
      </w:r>
      <w:r>
        <w:t xml:space="preserve">be </w:t>
      </w:r>
      <w:r w:rsidRPr="00BB5D57">
        <w:t>spen</w:t>
      </w:r>
      <w:r>
        <w:t>t</w:t>
      </w:r>
      <w:r w:rsidRPr="00BB5D57">
        <w:t xml:space="preserve"> on </w:t>
      </w:r>
      <w:r w:rsidRPr="008E1832">
        <w:t>eligible grant activities</w:t>
      </w:r>
      <w:r>
        <w:t xml:space="preserve"> between the dates specified in your agreement with NIAA,</w:t>
      </w:r>
      <w:r w:rsidRPr="00BA5868">
        <w:t xml:space="preserve"> unless we provide prior agreement in writing to an alternative use. </w:t>
      </w:r>
    </w:p>
    <w:p w14:paraId="78393CFB" w14:textId="77777777" w:rsidR="005A2004" w:rsidRPr="00BA5868" w:rsidRDefault="005A2004" w:rsidP="005A2004">
      <w:r>
        <w:t xml:space="preserve">A </w:t>
      </w:r>
      <w:r w:rsidR="00336852">
        <w:t xml:space="preserve">grant agreement </w:t>
      </w:r>
      <w:r>
        <w:t>must be executed before the NIAA can make any payments</w:t>
      </w:r>
      <w:r w:rsidRPr="00BA5868">
        <w:t>. If you choose to start your grant activit</w:t>
      </w:r>
      <w:r>
        <w:t xml:space="preserve">y before a </w:t>
      </w:r>
      <w:r w:rsidR="00336852">
        <w:t>g</w:t>
      </w:r>
      <w:r w:rsidR="00336852" w:rsidRPr="00BA5868">
        <w:t xml:space="preserve">rant </w:t>
      </w:r>
      <w:r w:rsidR="00336852">
        <w:t>a</w:t>
      </w:r>
      <w:r w:rsidR="00336852" w:rsidRPr="00BA5868">
        <w:t xml:space="preserve">greement </w:t>
      </w:r>
      <w:r w:rsidR="00336852">
        <w:t xml:space="preserve">is </w:t>
      </w:r>
      <w:r w:rsidRPr="00BA5868">
        <w:t xml:space="preserve">executed, the NIAA is not responsible for this expenditure and you do so at your own risk. </w:t>
      </w:r>
    </w:p>
    <w:p w14:paraId="46E56FC1" w14:textId="2AE80595" w:rsidR="005A2004" w:rsidRDefault="00336852" w:rsidP="005A2004">
      <w:r>
        <w:t xml:space="preserve">Grant recipients </w:t>
      </w:r>
      <w:r w:rsidR="00755A84">
        <w:t>will be</w:t>
      </w:r>
      <w:r w:rsidRPr="00BA5868">
        <w:t xml:space="preserve"> </w:t>
      </w:r>
      <w:r w:rsidR="00EA07F9">
        <w:t>required</w:t>
      </w:r>
      <w:r w:rsidR="005A2004" w:rsidRPr="00BA5868">
        <w:t xml:space="preserve"> to verify relevant activity-related </w:t>
      </w:r>
      <w:r w:rsidR="009250D3">
        <w:t>expenditure</w:t>
      </w:r>
      <w:r w:rsidR="005A2004" w:rsidRPr="00BA5868">
        <w:t xml:space="preserve"> (see </w:t>
      </w:r>
      <w:r w:rsidR="005A2004" w:rsidRPr="005A1754">
        <w:t xml:space="preserve">section </w:t>
      </w:r>
      <w:r w:rsidR="00A0236C" w:rsidRPr="005A1754">
        <w:t>12</w:t>
      </w:r>
      <w:r>
        <w:t>.3</w:t>
      </w:r>
      <w:r w:rsidR="005A2004" w:rsidRPr="00BA5868">
        <w:t xml:space="preserve"> for more detail).</w:t>
      </w:r>
    </w:p>
    <w:p w14:paraId="6AFD21A4" w14:textId="77777777" w:rsidR="00C96C6A" w:rsidRPr="005B1835" w:rsidRDefault="00ED451E" w:rsidP="00B75EBB">
      <w:pPr>
        <w:pStyle w:val="Heading3"/>
        <w:ind w:left="1134"/>
      </w:pPr>
      <w:bookmarkStart w:id="49" w:name="_Toc170734121"/>
      <w:r>
        <w:t>A</w:t>
      </w:r>
      <w:r w:rsidR="00C96C6A" w:rsidRPr="005B1835">
        <w:t xml:space="preserve">. </w:t>
      </w:r>
      <w:r>
        <w:t>Job creation</w:t>
      </w:r>
      <w:bookmarkEnd w:id="49"/>
      <w:r w:rsidR="00C96C6A" w:rsidRPr="005B1835">
        <w:t xml:space="preserve"> </w:t>
      </w:r>
    </w:p>
    <w:p w14:paraId="0C008B50" w14:textId="77777777" w:rsidR="005A2004" w:rsidRDefault="005A2004" w:rsidP="005A2004">
      <w:pPr>
        <w:pStyle w:val="ListBullet"/>
        <w:numPr>
          <w:ilvl w:val="0"/>
          <w:numId w:val="0"/>
        </w:numPr>
        <w:ind w:left="360" w:hanging="360"/>
      </w:pPr>
      <w:r>
        <w:t>Eligible expenditure items under this element are:</w:t>
      </w:r>
    </w:p>
    <w:p w14:paraId="0BED43EC" w14:textId="77777777" w:rsidR="005A2004" w:rsidRDefault="005A2004" w:rsidP="005A2004">
      <w:pPr>
        <w:pStyle w:val="ListBullet"/>
        <w:numPr>
          <w:ilvl w:val="0"/>
          <w:numId w:val="7"/>
        </w:numPr>
      </w:pPr>
      <w:r>
        <w:t>Wages and salary</w:t>
      </w:r>
      <w:r w:rsidRPr="00C96C6A">
        <w:t xml:space="preserve"> expenses </w:t>
      </w:r>
      <w:r w:rsidR="00657182">
        <w:t>at the</w:t>
      </w:r>
      <w:r>
        <w:t xml:space="preserve"> relevant </w:t>
      </w:r>
      <w:r w:rsidR="00336852">
        <w:t xml:space="preserve">Award </w:t>
      </w:r>
      <w:r>
        <w:t xml:space="preserve">rate for entry level positions (if applicable) or </w:t>
      </w:r>
      <w:r w:rsidRPr="003C4DF6">
        <w:t xml:space="preserve">National </w:t>
      </w:r>
      <w:r w:rsidR="00657182">
        <w:t>M</w:t>
      </w:r>
      <w:r w:rsidRPr="003C4DF6">
        <w:t>inimum Wage</w:t>
      </w:r>
      <w:r w:rsidRPr="00FB6DB5">
        <w:t xml:space="preserve"> rate</w:t>
      </w:r>
      <w:r>
        <w:t xml:space="preserve"> </w:t>
      </w:r>
    </w:p>
    <w:p w14:paraId="28536FA1" w14:textId="77777777" w:rsidR="00657182" w:rsidRDefault="00657182" w:rsidP="009F02A2">
      <w:pPr>
        <w:pStyle w:val="ListBullet"/>
        <w:numPr>
          <w:ilvl w:val="1"/>
          <w:numId w:val="36"/>
        </w:numPr>
      </w:pPr>
      <w:r>
        <w:t>Determining the appropriate rates of pay will be the applicant’s responsibility and, as an employer, you must ensure your employees receive the correct payments for the hours worked, along with other entitlements.</w:t>
      </w:r>
    </w:p>
    <w:p w14:paraId="23EE447D" w14:textId="77777777" w:rsidR="005A2004" w:rsidRPr="00B75D8E" w:rsidRDefault="005A1754" w:rsidP="009F02A2">
      <w:pPr>
        <w:pStyle w:val="ListBullet"/>
        <w:numPr>
          <w:ilvl w:val="1"/>
          <w:numId w:val="36"/>
        </w:numPr>
      </w:pPr>
      <w:r>
        <w:t>Funding includes</w:t>
      </w:r>
      <w:r w:rsidR="005A2004">
        <w:t xml:space="preserve"> penalty rates, overtime and other allowances as prescribed by the relevant Award or National Employment Standards, including casual loading and leave </w:t>
      </w:r>
      <w:r w:rsidR="00F420BA">
        <w:t>entitlements</w:t>
      </w:r>
      <w:r w:rsidR="005A2004">
        <w:t>, if applicable</w:t>
      </w:r>
      <w:r w:rsidR="00116E58">
        <w:t>.</w:t>
      </w:r>
    </w:p>
    <w:p w14:paraId="06C63074" w14:textId="77777777" w:rsidR="005A2004" w:rsidRDefault="005A2004" w:rsidP="005A2004">
      <w:pPr>
        <w:pStyle w:val="ListBullet"/>
        <w:numPr>
          <w:ilvl w:val="0"/>
          <w:numId w:val="7"/>
        </w:numPr>
      </w:pPr>
      <w:r w:rsidRPr="00FB6DB5">
        <w:t>Superannuation</w:t>
      </w:r>
    </w:p>
    <w:p w14:paraId="7C3D78BA" w14:textId="77777777" w:rsidR="005A2004" w:rsidRDefault="00826BB8" w:rsidP="009F02A2">
      <w:pPr>
        <w:pStyle w:val="ListBullet"/>
        <w:numPr>
          <w:ilvl w:val="1"/>
          <w:numId w:val="36"/>
        </w:numPr>
      </w:pPr>
      <w:r>
        <w:t>Applicants</w:t>
      </w:r>
      <w:r w:rsidR="005A2004">
        <w:t xml:space="preserve"> must </w:t>
      </w:r>
      <w:r>
        <w:t xml:space="preserve">determine the appropriate superannuation payments to </w:t>
      </w:r>
      <w:r w:rsidR="005A2004">
        <w:t xml:space="preserve">meet </w:t>
      </w:r>
      <w:r>
        <w:t>relevant requirements</w:t>
      </w:r>
      <w:r w:rsidRPr="00826BB8">
        <w:t xml:space="preserve"> </w:t>
      </w:r>
      <w:r>
        <w:t xml:space="preserve">paying employees their superannuation entitlements, as set out in </w:t>
      </w:r>
      <w:r w:rsidR="005A2004">
        <w:t xml:space="preserve">legislation and </w:t>
      </w:r>
      <w:r>
        <w:t xml:space="preserve">by </w:t>
      </w:r>
      <w:r w:rsidR="005A2004">
        <w:t>the Australian Taxation Office.</w:t>
      </w:r>
    </w:p>
    <w:p w14:paraId="5D4D6650" w14:textId="77777777" w:rsidR="005A2004" w:rsidRDefault="005A2004" w:rsidP="005A2004">
      <w:pPr>
        <w:pStyle w:val="ListBullet"/>
        <w:numPr>
          <w:ilvl w:val="0"/>
          <w:numId w:val="7"/>
        </w:numPr>
      </w:pPr>
      <w:r>
        <w:t>L</w:t>
      </w:r>
      <w:r w:rsidRPr="00FB6DB5">
        <w:t xml:space="preserve">eave </w:t>
      </w:r>
      <w:r>
        <w:t>entitlements</w:t>
      </w:r>
    </w:p>
    <w:p w14:paraId="7D5AF6E2" w14:textId="77777777" w:rsidR="005A2004" w:rsidRDefault="005A2004" w:rsidP="009F02A2">
      <w:pPr>
        <w:pStyle w:val="ListBullet"/>
        <w:numPr>
          <w:ilvl w:val="1"/>
          <w:numId w:val="36"/>
        </w:numPr>
      </w:pPr>
      <w:r>
        <w:t>Applicants are required to understand and comply with any l</w:t>
      </w:r>
      <w:r w:rsidRPr="003A2B88">
        <w:t xml:space="preserve">eave </w:t>
      </w:r>
      <w:r w:rsidR="00116E58">
        <w:t>entitlements</w:t>
      </w:r>
      <w:r>
        <w:t xml:space="preserve"> prescribed by the relevant Award o</w:t>
      </w:r>
      <w:r w:rsidR="00810892">
        <w:t>r</w:t>
      </w:r>
      <w:r>
        <w:t xml:space="preserve"> National Employment standards</w:t>
      </w:r>
    </w:p>
    <w:p w14:paraId="25BE248E" w14:textId="77777777" w:rsidR="005A2004" w:rsidRPr="00B75D8E" w:rsidRDefault="005A2004" w:rsidP="00810892">
      <w:pPr>
        <w:pStyle w:val="ListBullet"/>
        <w:numPr>
          <w:ilvl w:val="0"/>
          <w:numId w:val="0"/>
        </w:numPr>
      </w:pPr>
      <w:r>
        <w:t xml:space="preserve">The amount of funding provided </w:t>
      </w:r>
      <w:r w:rsidRPr="003A2B88">
        <w:t xml:space="preserve">to approved applicants will depend on the job/s they are creating and whether an employee </w:t>
      </w:r>
      <w:r>
        <w:t>is entitled to</w:t>
      </w:r>
      <w:r w:rsidRPr="003A2B88">
        <w:t xml:space="preserve"> receive an adult or a youth wage</w:t>
      </w:r>
      <w:r>
        <w:t>, part time or full time, award or minimum wage.</w:t>
      </w:r>
    </w:p>
    <w:p w14:paraId="0A8D1728" w14:textId="77777777" w:rsidR="00C96C6A" w:rsidRPr="005B1835" w:rsidRDefault="00236F21" w:rsidP="00B75EBB">
      <w:pPr>
        <w:pStyle w:val="Heading3"/>
        <w:ind w:left="1134"/>
      </w:pPr>
      <w:bookmarkStart w:id="50" w:name="_Toc170734122"/>
      <w:r>
        <w:t>B</w:t>
      </w:r>
      <w:r w:rsidR="00C96C6A" w:rsidRPr="005B1835">
        <w:t>. Community Jobs and Business Fund</w:t>
      </w:r>
      <w:r w:rsidR="00184CC3" w:rsidRPr="00184CC3">
        <w:t xml:space="preserve"> </w:t>
      </w:r>
      <w:r w:rsidR="009B069A">
        <w:t xml:space="preserve">(CJBF) </w:t>
      </w:r>
      <w:r w:rsidR="0088044B" w:rsidRPr="0088044B">
        <w:rPr>
          <w:color w:val="FF0000"/>
        </w:rPr>
        <w:t>SUBJECT TO CHANGE</w:t>
      </w:r>
      <w:bookmarkEnd w:id="50"/>
    </w:p>
    <w:p w14:paraId="498FA796" w14:textId="23687C6F" w:rsidR="000F2B70" w:rsidRDefault="005A2004" w:rsidP="005A2004">
      <w:pPr>
        <w:pStyle w:val="ListBullet"/>
        <w:numPr>
          <w:ilvl w:val="0"/>
          <w:numId w:val="0"/>
        </w:numPr>
      </w:pPr>
      <w:r w:rsidRPr="006712D6">
        <w:t>This</w:t>
      </w:r>
      <w:r>
        <w:rPr>
          <w:lang w:val="en-US"/>
        </w:rPr>
        <w:t xml:space="preserve"> element</w:t>
      </w:r>
      <w:r w:rsidRPr="00B75D8E">
        <w:rPr>
          <w:lang w:val="en-US"/>
        </w:rPr>
        <w:t xml:space="preserve"> will provide </w:t>
      </w:r>
      <w:r>
        <w:rPr>
          <w:lang w:val="en-US"/>
        </w:rPr>
        <w:t>funding for</w:t>
      </w:r>
      <w:r w:rsidRPr="00B75D8E">
        <w:rPr>
          <w:lang w:val="en-US"/>
        </w:rPr>
        <w:t xml:space="preserve"> </w:t>
      </w:r>
      <w:r>
        <w:rPr>
          <w:lang w:val="en-US"/>
        </w:rPr>
        <w:t>minor</w:t>
      </w:r>
      <w:r w:rsidRPr="00B75D8E">
        <w:rPr>
          <w:lang w:val="en-US"/>
        </w:rPr>
        <w:t xml:space="preserve"> </w:t>
      </w:r>
      <w:r>
        <w:rPr>
          <w:lang w:val="en-US"/>
        </w:rPr>
        <w:t>capital, equipment and capacity</w:t>
      </w:r>
      <w:r w:rsidRPr="00B75D8E">
        <w:rPr>
          <w:lang w:val="en-US"/>
        </w:rPr>
        <w:t xml:space="preserve"> </w:t>
      </w:r>
      <w:r>
        <w:rPr>
          <w:lang w:val="en-US"/>
        </w:rPr>
        <w:t>building</w:t>
      </w:r>
      <w:r>
        <w:t xml:space="preserve">. Funding requested under the CJBF must </w:t>
      </w:r>
      <w:r w:rsidR="00116E58">
        <w:t xml:space="preserve">clearly and directly </w:t>
      </w:r>
      <w:r>
        <w:t xml:space="preserve">support and complement the job/s being created under the </w:t>
      </w:r>
      <w:r>
        <w:rPr>
          <w:i/>
        </w:rPr>
        <w:t>Jobs Creation</w:t>
      </w:r>
      <w:r>
        <w:t xml:space="preserve">.  </w:t>
      </w:r>
    </w:p>
    <w:p w14:paraId="5558DCA1" w14:textId="2FE13091" w:rsidR="005A2004" w:rsidRDefault="005A2004" w:rsidP="005A2004">
      <w:pPr>
        <w:pStyle w:val="ListBullet"/>
        <w:numPr>
          <w:ilvl w:val="0"/>
          <w:numId w:val="0"/>
        </w:numPr>
      </w:pPr>
      <w:r>
        <w:t>Additional funding or an increase to funds may be available over the period of the grant agreement, subject to approval by the NIAA.</w:t>
      </w:r>
    </w:p>
    <w:p w14:paraId="4D14DCD0" w14:textId="77777777" w:rsidR="001357D4" w:rsidRDefault="005A2004" w:rsidP="006712D6">
      <w:pPr>
        <w:pStyle w:val="ListBullet"/>
        <w:numPr>
          <w:ilvl w:val="0"/>
          <w:numId w:val="0"/>
        </w:numPr>
      </w:pPr>
      <w:r>
        <w:t>Eligible expenditure items include but are not limited to those outlined in the table below:</w:t>
      </w:r>
    </w:p>
    <w:tbl>
      <w:tblPr>
        <w:tblStyle w:val="TableGrid"/>
        <w:tblW w:w="0" w:type="auto"/>
        <w:tblLook w:val="04A0" w:firstRow="1" w:lastRow="0" w:firstColumn="1" w:lastColumn="0" w:noHBand="0" w:noVBand="1"/>
        <w:tblCaption w:val="Eligible expenditure items"/>
        <w:tblDescription w:val="The left column shows eligible expenditure items, the middle column shows the maximum expenditure amount, and the right column shows example items."/>
      </w:tblPr>
      <w:tblGrid>
        <w:gridCol w:w="2926"/>
        <w:gridCol w:w="2031"/>
        <w:gridCol w:w="3821"/>
      </w:tblGrid>
      <w:tr w:rsidR="00977C5E" w14:paraId="01C54D6B" w14:textId="77777777" w:rsidTr="00273062">
        <w:trPr>
          <w:tblHeader/>
        </w:trPr>
        <w:tc>
          <w:tcPr>
            <w:tcW w:w="2926" w:type="dxa"/>
            <w:shd w:val="clear" w:color="auto" w:fill="1F497D" w:themeFill="text2"/>
          </w:tcPr>
          <w:p w14:paraId="3467E69D" w14:textId="77777777" w:rsidR="00977C5E" w:rsidRPr="00A17D83" w:rsidRDefault="00977C5E" w:rsidP="006712D6">
            <w:pPr>
              <w:pStyle w:val="ListBullet"/>
              <w:numPr>
                <w:ilvl w:val="0"/>
                <w:numId w:val="0"/>
              </w:numPr>
              <w:rPr>
                <w:color w:val="FFFFFF" w:themeColor="background1"/>
              </w:rPr>
            </w:pPr>
            <w:r w:rsidRPr="00A17D83">
              <w:rPr>
                <w:color w:val="FFFFFF" w:themeColor="background1"/>
              </w:rPr>
              <w:t>Expenditure item</w:t>
            </w:r>
          </w:p>
        </w:tc>
        <w:tc>
          <w:tcPr>
            <w:tcW w:w="2031" w:type="dxa"/>
            <w:shd w:val="clear" w:color="auto" w:fill="1F497D" w:themeFill="text2"/>
          </w:tcPr>
          <w:p w14:paraId="1106E0B7" w14:textId="066F8E47" w:rsidR="00977C5E" w:rsidRPr="00A17D83" w:rsidRDefault="00977C5E" w:rsidP="006712D6">
            <w:pPr>
              <w:pStyle w:val="ListBullet"/>
              <w:numPr>
                <w:ilvl w:val="0"/>
                <w:numId w:val="0"/>
              </w:numPr>
              <w:rPr>
                <w:color w:val="FFFFFF" w:themeColor="background1"/>
              </w:rPr>
            </w:pPr>
            <w:r w:rsidRPr="00A17D83">
              <w:rPr>
                <w:color w:val="FFFFFF" w:themeColor="background1"/>
              </w:rPr>
              <w:t>Maximum expenditure amount</w:t>
            </w:r>
          </w:p>
        </w:tc>
        <w:tc>
          <w:tcPr>
            <w:tcW w:w="3821" w:type="dxa"/>
            <w:shd w:val="clear" w:color="auto" w:fill="1F497D" w:themeFill="text2"/>
          </w:tcPr>
          <w:p w14:paraId="4FE7917D" w14:textId="77777777" w:rsidR="00977C5E" w:rsidRPr="00A17D83" w:rsidRDefault="00977C5E" w:rsidP="00977C5E">
            <w:pPr>
              <w:pStyle w:val="ListBullet"/>
              <w:numPr>
                <w:ilvl w:val="0"/>
                <w:numId w:val="0"/>
              </w:numPr>
              <w:rPr>
                <w:color w:val="FFFFFF" w:themeColor="background1"/>
              </w:rPr>
            </w:pPr>
            <w:r w:rsidRPr="00A17D83">
              <w:rPr>
                <w:color w:val="FFFFFF" w:themeColor="background1"/>
              </w:rPr>
              <w:t>Example items</w:t>
            </w:r>
          </w:p>
        </w:tc>
      </w:tr>
      <w:tr w:rsidR="00273062" w14:paraId="60855AB6" w14:textId="77777777" w:rsidTr="00901E5B">
        <w:tc>
          <w:tcPr>
            <w:tcW w:w="2926" w:type="dxa"/>
          </w:tcPr>
          <w:p w14:paraId="0937AFA8" w14:textId="77777777" w:rsidR="00273062" w:rsidRDefault="00273062" w:rsidP="00FE3477">
            <w:pPr>
              <w:pStyle w:val="ListBullet"/>
              <w:numPr>
                <w:ilvl w:val="0"/>
                <w:numId w:val="0"/>
              </w:numPr>
            </w:pPr>
            <w:r>
              <w:t xml:space="preserve">Minor </w:t>
            </w:r>
            <w:r w:rsidR="00FE3477">
              <w:t xml:space="preserve">refurbishment </w:t>
            </w:r>
            <w:r>
              <w:t xml:space="preserve">or </w:t>
            </w:r>
            <w:r w:rsidR="00FE3477">
              <w:t xml:space="preserve">modification to existing facilities </w:t>
            </w:r>
            <w:r w:rsidR="0088044B">
              <w:t xml:space="preserve">for the benefit of RJED employees </w:t>
            </w:r>
          </w:p>
        </w:tc>
        <w:tc>
          <w:tcPr>
            <w:tcW w:w="2031" w:type="dxa"/>
          </w:tcPr>
          <w:p w14:paraId="385A72D6" w14:textId="5C6FABAB" w:rsidR="00273062" w:rsidRDefault="00F420BA" w:rsidP="00F420BA">
            <w:pPr>
              <w:pStyle w:val="ListBullet"/>
              <w:numPr>
                <w:ilvl w:val="0"/>
                <w:numId w:val="0"/>
              </w:numPr>
            </w:pPr>
            <w:r>
              <w:t>U</w:t>
            </w:r>
            <w:r w:rsidR="00273062">
              <w:t xml:space="preserve">p to $100,000 </w:t>
            </w:r>
            <w:r w:rsidR="00273062" w:rsidRPr="00225659">
              <w:t>GST exclusive</w:t>
            </w:r>
            <w:r>
              <w:t xml:space="preserve"> per application</w:t>
            </w:r>
          </w:p>
        </w:tc>
        <w:tc>
          <w:tcPr>
            <w:tcW w:w="3821" w:type="dxa"/>
          </w:tcPr>
          <w:p w14:paraId="00F44C0F" w14:textId="77777777" w:rsidR="00273062" w:rsidRDefault="00FE3477" w:rsidP="005A2004">
            <w:pPr>
              <w:pStyle w:val="ListBullet"/>
              <w:numPr>
                <w:ilvl w:val="0"/>
                <w:numId w:val="0"/>
              </w:numPr>
            </w:pPr>
            <w:r>
              <w:t>T</w:t>
            </w:r>
            <w:r w:rsidR="00273062">
              <w:t>ransportable buildings</w:t>
            </w:r>
            <w:r>
              <w:t xml:space="preserve"> for office space</w:t>
            </w:r>
          </w:p>
          <w:p w14:paraId="37169B37" w14:textId="77777777" w:rsidR="00273062" w:rsidRDefault="00FE3477" w:rsidP="005A2004">
            <w:pPr>
              <w:pStyle w:val="ListBullet"/>
              <w:numPr>
                <w:ilvl w:val="0"/>
                <w:numId w:val="0"/>
              </w:numPr>
            </w:pPr>
            <w:r>
              <w:t>Provision of safe work spaces and amenities for RJED employees</w:t>
            </w:r>
          </w:p>
          <w:p w14:paraId="794D568F" w14:textId="77777777" w:rsidR="00273062" w:rsidRDefault="00273062" w:rsidP="005A2004">
            <w:pPr>
              <w:pStyle w:val="ListBullet"/>
              <w:numPr>
                <w:ilvl w:val="0"/>
                <w:numId w:val="0"/>
              </w:numPr>
            </w:pPr>
            <w:r>
              <w:t>Fixed furniture</w:t>
            </w:r>
          </w:p>
          <w:p w14:paraId="26FE9F7E" w14:textId="77777777" w:rsidR="00273062" w:rsidRDefault="00273062" w:rsidP="005A2004">
            <w:pPr>
              <w:pStyle w:val="ListBullet"/>
              <w:numPr>
                <w:ilvl w:val="0"/>
                <w:numId w:val="0"/>
              </w:numPr>
            </w:pPr>
            <w:r>
              <w:t>WHS modifications/adjustments</w:t>
            </w:r>
          </w:p>
          <w:p w14:paraId="11395BD9" w14:textId="77777777" w:rsidR="00FE3477" w:rsidRDefault="00FE3477" w:rsidP="005A2004">
            <w:pPr>
              <w:pStyle w:val="ListBullet"/>
              <w:numPr>
                <w:ilvl w:val="0"/>
                <w:numId w:val="0"/>
              </w:numPr>
            </w:pPr>
            <w:r>
              <w:t>Sheds for equipment storage or work areas</w:t>
            </w:r>
          </w:p>
        </w:tc>
      </w:tr>
      <w:tr w:rsidR="005A2004" w14:paraId="05AC13F2" w14:textId="77777777" w:rsidTr="00901E5B">
        <w:tc>
          <w:tcPr>
            <w:tcW w:w="2926" w:type="dxa"/>
          </w:tcPr>
          <w:p w14:paraId="76F5F1DF" w14:textId="77777777" w:rsidR="005A2004" w:rsidRDefault="00FE3477" w:rsidP="00FE3477">
            <w:pPr>
              <w:pStyle w:val="ListBullet"/>
              <w:numPr>
                <w:ilvl w:val="0"/>
                <w:numId w:val="0"/>
              </w:numPr>
            </w:pPr>
            <w:r>
              <w:t xml:space="preserve">Lease or purchase of </w:t>
            </w:r>
            <w:r w:rsidR="005A2004">
              <w:t xml:space="preserve">equipment </w:t>
            </w:r>
            <w:r>
              <w:t xml:space="preserve">and materials </w:t>
            </w:r>
            <w:r w:rsidR="005A2004">
              <w:t xml:space="preserve">needed </w:t>
            </w:r>
            <w:r>
              <w:t xml:space="preserve">by </w:t>
            </w:r>
            <w:r w:rsidR="0088044B">
              <w:t xml:space="preserve">RJED </w:t>
            </w:r>
            <w:r w:rsidR="005A2004">
              <w:t>employees to do their jobs</w:t>
            </w:r>
          </w:p>
        </w:tc>
        <w:tc>
          <w:tcPr>
            <w:tcW w:w="2031" w:type="dxa"/>
          </w:tcPr>
          <w:p w14:paraId="544CFE95" w14:textId="6A4B94B4" w:rsidR="005A2004" w:rsidRDefault="005A2004" w:rsidP="00273062">
            <w:pPr>
              <w:pStyle w:val="ListBullet"/>
              <w:numPr>
                <w:ilvl w:val="0"/>
                <w:numId w:val="0"/>
              </w:numPr>
            </w:pPr>
            <w:r>
              <w:t>Up</w:t>
            </w:r>
            <w:r w:rsidRPr="00225659">
              <w:t xml:space="preserve"> to $</w:t>
            </w:r>
            <w:r w:rsidR="00273062">
              <w:t>10</w:t>
            </w:r>
            <w:r>
              <w:t>0</w:t>
            </w:r>
            <w:r w:rsidRPr="00225659">
              <w:t>,000 GST exclusive</w:t>
            </w:r>
          </w:p>
        </w:tc>
        <w:tc>
          <w:tcPr>
            <w:tcW w:w="3821" w:type="dxa"/>
          </w:tcPr>
          <w:p w14:paraId="28CF7CA9" w14:textId="77777777" w:rsidR="005A2004" w:rsidRDefault="0088044B" w:rsidP="005A2004">
            <w:pPr>
              <w:pStyle w:val="ListBullet"/>
              <w:numPr>
                <w:ilvl w:val="0"/>
                <w:numId w:val="0"/>
              </w:numPr>
            </w:pPr>
            <w:r>
              <w:t xml:space="preserve">Tools </w:t>
            </w:r>
            <w:r w:rsidR="00FE3477">
              <w:t>and small machinery</w:t>
            </w:r>
          </w:p>
          <w:p w14:paraId="3AEE33C4" w14:textId="77777777" w:rsidR="005A2004" w:rsidRDefault="00273062" w:rsidP="005A2004">
            <w:pPr>
              <w:pStyle w:val="ListBullet"/>
              <w:numPr>
                <w:ilvl w:val="0"/>
                <w:numId w:val="0"/>
              </w:numPr>
            </w:pPr>
            <w:r>
              <w:t>Purchase or l</w:t>
            </w:r>
            <w:r w:rsidR="005A2004">
              <w:t>eased vehicle for employee to complete their duties</w:t>
            </w:r>
          </w:p>
          <w:p w14:paraId="5F44ADE8" w14:textId="77777777" w:rsidR="005A2004" w:rsidRDefault="005A2004" w:rsidP="005A2004">
            <w:pPr>
              <w:pStyle w:val="ListBullet"/>
              <w:numPr>
                <w:ilvl w:val="0"/>
                <w:numId w:val="0"/>
              </w:numPr>
            </w:pPr>
            <w:r>
              <w:t>Uniforms and protective equipment</w:t>
            </w:r>
            <w:r w:rsidRPr="00184CC3">
              <w:t xml:space="preserve"> </w:t>
            </w:r>
          </w:p>
          <w:p w14:paraId="68D096F6" w14:textId="77777777" w:rsidR="005A2004" w:rsidRPr="00184CC3" w:rsidRDefault="005A2004" w:rsidP="005A2004">
            <w:pPr>
              <w:pStyle w:val="ListBullet"/>
              <w:numPr>
                <w:ilvl w:val="0"/>
                <w:numId w:val="0"/>
              </w:numPr>
            </w:pPr>
            <w:r w:rsidRPr="00184CC3">
              <w:t>WHS modifications/ adjustments</w:t>
            </w:r>
          </w:p>
          <w:p w14:paraId="253C5AF9" w14:textId="77777777" w:rsidR="005A2004" w:rsidRDefault="005A2004" w:rsidP="005A2004">
            <w:pPr>
              <w:pStyle w:val="ListBullet"/>
              <w:numPr>
                <w:ilvl w:val="0"/>
                <w:numId w:val="0"/>
              </w:numPr>
            </w:pPr>
            <w:r w:rsidRPr="00184CC3">
              <w:t>ICT equipment</w:t>
            </w:r>
            <w:r w:rsidR="00FE3477">
              <w:t>, including satellite phones and mobile devices</w:t>
            </w:r>
          </w:p>
          <w:p w14:paraId="177AC2C0" w14:textId="77777777" w:rsidR="00273062" w:rsidRDefault="0088044B" w:rsidP="005A2004">
            <w:pPr>
              <w:pStyle w:val="ListBullet"/>
              <w:numPr>
                <w:ilvl w:val="0"/>
                <w:numId w:val="0"/>
              </w:numPr>
            </w:pPr>
            <w:r>
              <w:t>T</w:t>
            </w:r>
            <w:r w:rsidR="00FE3477">
              <w:t>echnical and specialist equipment, such as screen printing, earth moving machinery</w:t>
            </w:r>
          </w:p>
          <w:p w14:paraId="5B8DED61" w14:textId="77777777" w:rsidR="00FE3477" w:rsidRDefault="00FE3477" w:rsidP="00FE3477">
            <w:pPr>
              <w:pStyle w:val="ListBullet"/>
              <w:numPr>
                <w:ilvl w:val="0"/>
                <w:numId w:val="0"/>
              </w:numPr>
            </w:pPr>
            <w:r>
              <w:t xml:space="preserve">Vehicles and </w:t>
            </w:r>
            <w:r w:rsidR="0088044B">
              <w:t>vessels</w:t>
            </w:r>
            <w:r>
              <w:t xml:space="preserve">, such as all-terrain vehicles and fishing vessels </w:t>
            </w:r>
          </w:p>
          <w:p w14:paraId="6ED893D4" w14:textId="77777777" w:rsidR="00FE3477" w:rsidRDefault="00FE3477" w:rsidP="005A2004">
            <w:pPr>
              <w:pStyle w:val="ListBullet"/>
              <w:numPr>
                <w:ilvl w:val="0"/>
                <w:numId w:val="0"/>
              </w:numPr>
            </w:pPr>
            <w:r>
              <w:t>Lease or purchase of a bus for employee transport</w:t>
            </w:r>
          </w:p>
        </w:tc>
      </w:tr>
      <w:tr w:rsidR="00273062" w14:paraId="68378170" w14:textId="77777777" w:rsidTr="00901E5B">
        <w:tc>
          <w:tcPr>
            <w:tcW w:w="2926" w:type="dxa"/>
          </w:tcPr>
          <w:p w14:paraId="3585DBFE" w14:textId="77777777" w:rsidR="00273062" w:rsidRDefault="00273062" w:rsidP="00FE3477">
            <w:pPr>
              <w:pStyle w:val="ListBullet"/>
              <w:numPr>
                <w:ilvl w:val="0"/>
                <w:numId w:val="0"/>
              </w:numPr>
            </w:pPr>
            <w:r>
              <w:t>M</w:t>
            </w:r>
            <w:r w:rsidRPr="008F5021">
              <w:t>aterials</w:t>
            </w:r>
            <w:r>
              <w:t xml:space="preserve"> </w:t>
            </w:r>
            <w:r w:rsidRPr="008F5021">
              <w:t xml:space="preserve">and consumables </w:t>
            </w:r>
            <w:r>
              <w:t xml:space="preserve">to </w:t>
            </w:r>
            <w:r w:rsidR="00FE3477">
              <w:t xml:space="preserve">support </w:t>
            </w:r>
            <w:r w:rsidR="0088044B">
              <w:t xml:space="preserve">RJED employees </w:t>
            </w:r>
            <w:r w:rsidR="00FE3477">
              <w:t xml:space="preserve">entering and staying in </w:t>
            </w:r>
            <w:r>
              <w:t>employment</w:t>
            </w:r>
          </w:p>
        </w:tc>
        <w:tc>
          <w:tcPr>
            <w:tcW w:w="2031" w:type="dxa"/>
          </w:tcPr>
          <w:p w14:paraId="6B557823" w14:textId="7094A071" w:rsidR="00273062" w:rsidRPr="00184CC3" w:rsidRDefault="00273062" w:rsidP="00273062">
            <w:pPr>
              <w:pStyle w:val="ListBullet"/>
              <w:numPr>
                <w:ilvl w:val="0"/>
                <w:numId w:val="0"/>
              </w:numPr>
            </w:pPr>
            <w:r>
              <w:t>maximum expenditure to be considered on a case by case basis</w:t>
            </w:r>
          </w:p>
        </w:tc>
        <w:tc>
          <w:tcPr>
            <w:tcW w:w="3821" w:type="dxa"/>
          </w:tcPr>
          <w:p w14:paraId="48EEC0E3" w14:textId="6B7D7CBE" w:rsidR="00FE3477" w:rsidRDefault="000F2B70" w:rsidP="00FE3477">
            <w:pPr>
              <w:pStyle w:val="ListBullet"/>
              <w:numPr>
                <w:ilvl w:val="0"/>
                <w:numId w:val="0"/>
              </w:numPr>
            </w:pPr>
            <w:r>
              <w:t>E</w:t>
            </w:r>
            <w:r w:rsidR="00FE3477">
              <w:t>ngagement of mentoring or other employee support services</w:t>
            </w:r>
            <w:r w:rsidR="00FE3477" w:rsidRPr="008F5021">
              <w:t xml:space="preserve"> </w:t>
            </w:r>
          </w:p>
          <w:p w14:paraId="0A6AAD25" w14:textId="09DAA0A4" w:rsidR="00FE3477" w:rsidRDefault="00FE3477" w:rsidP="00FE3477">
            <w:pPr>
              <w:pStyle w:val="ListBullet"/>
              <w:numPr>
                <w:ilvl w:val="0"/>
                <w:numId w:val="0"/>
              </w:numPr>
            </w:pPr>
            <w:r>
              <w:t>Development of bespoke employment, training and induction resources for RJED employees</w:t>
            </w:r>
          </w:p>
          <w:p w14:paraId="39810E67" w14:textId="77777777" w:rsidR="00FE3477" w:rsidRDefault="00FE3477" w:rsidP="00FE3477">
            <w:pPr>
              <w:pStyle w:val="ListBullet"/>
              <w:numPr>
                <w:ilvl w:val="0"/>
                <w:numId w:val="0"/>
              </w:numPr>
            </w:pPr>
            <w:r>
              <w:t>Cultural competency training</w:t>
            </w:r>
          </w:p>
          <w:p w14:paraId="27125478" w14:textId="77777777" w:rsidR="00FE3477" w:rsidRDefault="00FE3477" w:rsidP="00FE3477">
            <w:pPr>
              <w:pStyle w:val="ListBullet"/>
              <w:numPr>
                <w:ilvl w:val="0"/>
                <w:numId w:val="0"/>
              </w:numPr>
            </w:pPr>
            <w:r>
              <w:t>Wages for supervisory staff for RJED-funded employees (maximum 12 months)</w:t>
            </w:r>
          </w:p>
          <w:p w14:paraId="053F4B46" w14:textId="77777777" w:rsidR="00273062" w:rsidRPr="00184CC3" w:rsidRDefault="00273062" w:rsidP="00273062">
            <w:pPr>
              <w:pStyle w:val="ListBullet"/>
              <w:numPr>
                <w:ilvl w:val="0"/>
                <w:numId w:val="0"/>
              </w:numPr>
            </w:pPr>
          </w:p>
        </w:tc>
      </w:tr>
      <w:tr w:rsidR="000F2B70" w14:paraId="06B45E81" w14:textId="77777777" w:rsidTr="00901E5B">
        <w:tc>
          <w:tcPr>
            <w:tcW w:w="2926" w:type="dxa"/>
          </w:tcPr>
          <w:p w14:paraId="346D8AB1" w14:textId="77777777" w:rsidR="000F2B70" w:rsidRDefault="000F2B70" w:rsidP="000F2B70">
            <w:pPr>
              <w:pStyle w:val="ListBullet"/>
              <w:numPr>
                <w:ilvl w:val="0"/>
                <w:numId w:val="0"/>
              </w:numPr>
            </w:pPr>
            <w:r>
              <w:t>C</w:t>
            </w:r>
            <w:r w:rsidRPr="008F5021">
              <w:t xml:space="preserve">apacity </w:t>
            </w:r>
            <w:r>
              <w:t xml:space="preserve">and capability </w:t>
            </w:r>
            <w:r w:rsidRPr="008F5021">
              <w:t>building for organisations</w:t>
            </w:r>
            <w:r>
              <w:t xml:space="preserve"> to support RJED employees</w:t>
            </w:r>
          </w:p>
        </w:tc>
        <w:tc>
          <w:tcPr>
            <w:tcW w:w="2031" w:type="dxa"/>
          </w:tcPr>
          <w:p w14:paraId="696E7C71" w14:textId="65FFB9D3" w:rsidR="000F2B70" w:rsidRDefault="000F2B70" w:rsidP="000F2B70">
            <w:pPr>
              <w:pStyle w:val="ListBullet"/>
              <w:numPr>
                <w:ilvl w:val="0"/>
                <w:numId w:val="0"/>
              </w:numPr>
            </w:pPr>
            <w:r>
              <w:t>Up to $50,000 (GST exclusive)</w:t>
            </w:r>
          </w:p>
        </w:tc>
        <w:tc>
          <w:tcPr>
            <w:tcW w:w="3821" w:type="dxa"/>
          </w:tcPr>
          <w:p w14:paraId="0C5D2DEF" w14:textId="0F4CB33F" w:rsidR="000F2B70" w:rsidRDefault="000F2B70" w:rsidP="000F2B70">
            <w:pPr>
              <w:pStyle w:val="ListBullet"/>
              <w:numPr>
                <w:ilvl w:val="0"/>
                <w:numId w:val="0"/>
              </w:numPr>
            </w:pPr>
            <w:r w:rsidRPr="00591AA2">
              <w:t>One</w:t>
            </w:r>
            <w:r w:rsidR="005A1D20">
              <w:t>-</w:t>
            </w:r>
            <w:r w:rsidRPr="00591AA2">
              <w:t>off purchase of payroll processing software or HR software</w:t>
            </w:r>
          </w:p>
          <w:p w14:paraId="43A1DF73" w14:textId="77777777" w:rsidR="000F2B70" w:rsidRPr="00591AA2" w:rsidRDefault="000F2B70" w:rsidP="000F2B70">
            <w:pPr>
              <w:pStyle w:val="ListBullet"/>
              <w:numPr>
                <w:ilvl w:val="0"/>
                <w:numId w:val="0"/>
              </w:numPr>
            </w:pPr>
            <w:r w:rsidRPr="00591AA2">
              <w:t>Business planning in relation to employees or employment, e.g. workforce planning, succession planning or career planning</w:t>
            </w:r>
          </w:p>
          <w:p w14:paraId="340616E5" w14:textId="77777777" w:rsidR="000F2B70" w:rsidRPr="00591AA2" w:rsidRDefault="000F2B70" w:rsidP="000F2B70">
            <w:pPr>
              <w:pStyle w:val="ListBullet"/>
              <w:numPr>
                <w:ilvl w:val="0"/>
                <w:numId w:val="0"/>
              </w:numPr>
            </w:pPr>
            <w:r w:rsidRPr="00591AA2">
              <w:t>Support for development of employee-related policy and processes, e.g. legal advice</w:t>
            </w:r>
          </w:p>
          <w:p w14:paraId="59857A95" w14:textId="77777777" w:rsidR="003A6E2D" w:rsidRDefault="000F2B70" w:rsidP="000F2B70">
            <w:pPr>
              <w:pStyle w:val="ListBullet"/>
              <w:numPr>
                <w:ilvl w:val="0"/>
                <w:numId w:val="0"/>
              </w:numPr>
            </w:pPr>
            <w:r w:rsidRPr="00591AA2">
              <w:t xml:space="preserve">Time limited payment of supervisor or trainer wages, e.g. six months to train RJED employees to replace </w:t>
            </w:r>
            <w:r>
              <w:t>fly in / fly out or drive in / drive out services</w:t>
            </w:r>
          </w:p>
          <w:p w14:paraId="3A590372" w14:textId="1359079B" w:rsidR="000F2B70" w:rsidRDefault="000F2B70" w:rsidP="000F2B70">
            <w:pPr>
              <w:pStyle w:val="ListBullet"/>
              <w:numPr>
                <w:ilvl w:val="0"/>
                <w:numId w:val="0"/>
              </w:numPr>
            </w:pPr>
            <w:r w:rsidRPr="00591AA2">
              <w:t>Development of secure remote IT systems to enable RJED employees to work away from the office</w:t>
            </w:r>
          </w:p>
          <w:p w14:paraId="03E5F207" w14:textId="1709A0A1" w:rsidR="000F2B70" w:rsidRPr="00FE3477" w:rsidRDefault="000F2B70" w:rsidP="000F2B70">
            <w:pPr>
              <w:pStyle w:val="Header"/>
              <w:rPr>
                <w:iCs/>
              </w:rPr>
            </w:pPr>
            <w:r w:rsidRPr="00FE3477">
              <w:rPr>
                <w:iCs/>
              </w:rPr>
              <w:t>Training, support and advice related to:</w:t>
            </w:r>
          </w:p>
          <w:p w14:paraId="2782A034" w14:textId="77777777" w:rsidR="000F2B70" w:rsidRPr="00FE3477" w:rsidRDefault="000F2B70" w:rsidP="000F2B70">
            <w:pPr>
              <w:pStyle w:val="Header"/>
              <w:numPr>
                <w:ilvl w:val="0"/>
                <w:numId w:val="40"/>
              </w:numPr>
              <w:rPr>
                <w:iCs/>
              </w:rPr>
            </w:pPr>
            <w:r w:rsidRPr="00FE3477">
              <w:rPr>
                <w:iCs/>
              </w:rPr>
              <w:t>Human Resource Management</w:t>
            </w:r>
          </w:p>
          <w:p w14:paraId="5948C46E" w14:textId="77777777" w:rsidR="000F2B70" w:rsidRPr="00FE3477" w:rsidRDefault="000F2B70" w:rsidP="000F2B70">
            <w:pPr>
              <w:pStyle w:val="Header"/>
              <w:numPr>
                <w:ilvl w:val="0"/>
                <w:numId w:val="40"/>
              </w:numPr>
              <w:rPr>
                <w:iCs/>
              </w:rPr>
            </w:pPr>
            <w:r w:rsidRPr="00FE3477">
              <w:rPr>
                <w:iCs/>
              </w:rPr>
              <w:t>Workplace Health and Safety</w:t>
            </w:r>
          </w:p>
          <w:p w14:paraId="57A48C1F" w14:textId="77777777" w:rsidR="000F2B70" w:rsidRPr="00FE3477" w:rsidRDefault="000F2B70" w:rsidP="000F2B70">
            <w:pPr>
              <w:pStyle w:val="Header"/>
              <w:numPr>
                <w:ilvl w:val="0"/>
                <w:numId w:val="40"/>
              </w:numPr>
              <w:rPr>
                <w:iCs/>
              </w:rPr>
            </w:pPr>
            <w:r w:rsidRPr="00FE3477">
              <w:rPr>
                <w:iCs/>
              </w:rPr>
              <w:t>Workplace Relations</w:t>
            </w:r>
          </w:p>
          <w:p w14:paraId="5EA06B22" w14:textId="77777777" w:rsidR="000F2B70" w:rsidRPr="00CB332E" w:rsidRDefault="000F2B70" w:rsidP="000F2B70">
            <w:pPr>
              <w:pStyle w:val="Header"/>
              <w:rPr>
                <w:iCs/>
              </w:rPr>
            </w:pPr>
            <w:r w:rsidRPr="00CB332E">
              <w:rPr>
                <w:iCs/>
              </w:rPr>
              <w:t>Leadership and management training specific to the supervision, leading and management of employees</w:t>
            </w:r>
          </w:p>
          <w:p w14:paraId="4B3AEA71" w14:textId="77777777" w:rsidR="000F2B70" w:rsidRPr="00591AA2" w:rsidRDefault="000F2B70" w:rsidP="000F2B70">
            <w:pPr>
              <w:pStyle w:val="ListBullet"/>
              <w:numPr>
                <w:ilvl w:val="0"/>
                <w:numId w:val="0"/>
              </w:numPr>
            </w:pPr>
            <w:r w:rsidRPr="00A5041D">
              <w:t>Consultancy and advice on developing programs, policies and processes to recruit, develop and retain employees</w:t>
            </w:r>
          </w:p>
          <w:p w14:paraId="2E40CAE4" w14:textId="77777777" w:rsidR="000F2B70" w:rsidRDefault="000F2B70" w:rsidP="000F2B70">
            <w:pPr>
              <w:pStyle w:val="ListBullet"/>
              <w:numPr>
                <w:ilvl w:val="0"/>
                <w:numId w:val="0"/>
              </w:numPr>
            </w:pPr>
          </w:p>
        </w:tc>
      </w:tr>
      <w:tr w:rsidR="000F2B70" w14:paraId="6304C601" w14:textId="77777777" w:rsidTr="00901E5B">
        <w:tc>
          <w:tcPr>
            <w:tcW w:w="2926" w:type="dxa"/>
          </w:tcPr>
          <w:p w14:paraId="509A2DE4" w14:textId="77777777" w:rsidR="000F2B70" w:rsidRPr="008F5021" w:rsidDel="00FE3477" w:rsidRDefault="000F2B70" w:rsidP="000F2B70">
            <w:pPr>
              <w:pStyle w:val="ListBullet"/>
              <w:numPr>
                <w:ilvl w:val="0"/>
                <w:numId w:val="0"/>
              </w:numPr>
            </w:pPr>
            <w:r>
              <w:t>On costs</w:t>
            </w:r>
            <w:r w:rsidRPr="00810892">
              <w:t xml:space="preserve"> </w:t>
            </w:r>
            <w:r>
              <w:t>and overheads</w:t>
            </w:r>
          </w:p>
        </w:tc>
        <w:tc>
          <w:tcPr>
            <w:tcW w:w="2031" w:type="dxa"/>
          </w:tcPr>
          <w:p w14:paraId="45DF520E" w14:textId="67BF7587" w:rsidR="000F2B70" w:rsidRDefault="00C22ACF" w:rsidP="00C22ACF">
            <w:pPr>
              <w:pStyle w:val="ListBullet"/>
              <w:numPr>
                <w:ilvl w:val="0"/>
                <w:numId w:val="0"/>
              </w:numPr>
            </w:pPr>
            <w:r>
              <w:t>O</w:t>
            </w:r>
            <w:r w:rsidR="000F2B70">
              <w:t>ne-off funding up to 15% of the total job creation costs to cover on-costs</w:t>
            </w:r>
          </w:p>
        </w:tc>
        <w:tc>
          <w:tcPr>
            <w:tcW w:w="3821" w:type="dxa"/>
          </w:tcPr>
          <w:p w14:paraId="235BAED7" w14:textId="77777777" w:rsidR="000F2B70" w:rsidRPr="00F828E5" w:rsidRDefault="000F2B70" w:rsidP="000F2B70">
            <w:pPr>
              <w:pStyle w:val="Header"/>
              <w:rPr>
                <w:iCs/>
              </w:rPr>
            </w:pPr>
            <w:r>
              <w:rPr>
                <w:iCs/>
              </w:rPr>
              <w:t>W</w:t>
            </w:r>
            <w:r w:rsidRPr="00F828E5">
              <w:rPr>
                <w:iCs/>
              </w:rPr>
              <w:t>orkers compensation/ insurance</w:t>
            </w:r>
          </w:p>
          <w:p w14:paraId="0F4F3A16" w14:textId="77777777" w:rsidR="000F2B70" w:rsidRPr="00F828E5" w:rsidRDefault="000F2B70" w:rsidP="000F2B70">
            <w:pPr>
              <w:pStyle w:val="Header"/>
              <w:rPr>
                <w:iCs/>
              </w:rPr>
            </w:pPr>
            <w:r>
              <w:rPr>
                <w:iCs/>
              </w:rPr>
              <w:t>H</w:t>
            </w:r>
            <w:r w:rsidRPr="00F828E5">
              <w:rPr>
                <w:iCs/>
              </w:rPr>
              <w:t>uman resources support, such as HR/pay roll costs or upgrading to One-Touch Payroll</w:t>
            </w:r>
          </w:p>
          <w:p w14:paraId="6D741882" w14:textId="77777777" w:rsidR="000F2B70" w:rsidRPr="00F828E5" w:rsidRDefault="000F2B70" w:rsidP="000F2B70">
            <w:pPr>
              <w:pStyle w:val="Header"/>
              <w:rPr>
                <w:iCs/>
              </w:rPr>
            </w:pPr>
            <w:r w:rsidRPr="00F828E5">
              <w:rPr>
                <w:iCs/>
              </w:rPr>
              <w:t>Property operating expenses</w:t>
            </w:r>
          </w:p>
          <w:p w14:paraId="19DD2E1D" w14:textId="77777777" w:rsidR="000F2B70" w:rsidRPr="007B6D1E" w:rsidRDefault="000F2B70" w:rsidP="000F2B70">
            <w:pPr>
              <w:pStyle w:val="Header"/>
              <w:rPr>
                <w:iCs/>
              </w:rPr>
            </w:pPr>
            <w:r w:rsidRPr="00F828E5">
              <w:rPr>
                <w:iCs/>
              </w:rPr>
              <w:t>Desktop ICT equipment and costs (for example – comput</w:t>
            </w:r>
            <w:r w:rsidRPr="007B6D1E">
              <w:rPr>
                <w:iCs/>
              </w:rPr>
              <w:t>er, attributed IT costs such as internet or IT support</w:t>
            </w:r>
          </w:p>
          <w:p w14:paraId="553EBDD0" w14:textId="77777777" w:rsidR="000F2B70" w:rsidRPr="00F828E5" w:rsidRDefault="000F2B70" w:rsidP="000F2B70">
            <w:pPr>
              <w:pStyle w:val="Header"/>
              <w:rPr>
                <w:iCs/>
              </w:rPr>
            </w:pPr>
            <w:r>
              <w:rPr>
                <w:iCs/>
              </w:rPr>
              <w:t>T</w:t>
            </w:r>
            <w:r w:rsidRPr="003B3761">
              <w:rPr>
                <w:iCs/>
              </w:rPr>
              <w:t>raining costs</w:t>
            </w:r>
          </w:p>
        </w:tc>
      </w:tr>
    </w:tbl>
    <w:p w14:paraId="5BC0D24D" w14:textId="77777777" w:rsidR="005A2004" w:rsidRDefault="005A2004" w:rsidP="00F91DE2">
      <w:pPr>
        <w:pStyle w:val="ListBullet"/>
        <w:numPr>
          <w:ilvl w:val="0"/>
          <w:numId w:val="0"/>
        </w:numPr>
        <w:spacing w:before="240" w:after="120"/>
      </w:pPr>
      <w:bookmarkStart w:id="51" w:name="_Toc506537745"/>
      <w:bookmarkStart w:id="52" w:name="_Toc506537746"/>
      <w:bookmarkStart w:id="53" w:name="_Toc506537747"/>
      <w:bookmarkStart w:id="54" w:name="_Toc506537748"/>
      <w:bookmarkStart w:id="55" w:name="_Toc506537749"/>
      <w:bookmarkStart w:id="56" w:name="_Toc506537751"/>
      <w:bookmarkStart w:id="57" w:name="_Toc506537752"/>
      <w:bookmarkStart w:id="58" w:name="_Toc506537753"/>
      <w:bookmarkStart w:id="59" w:name="_Toc506537754"/>
      <w:bookmarkStart w:id="60" w:name="_Toc506537755"/>
      <w:bookmarkStart w:id="61" w:name="_Toc506537756"/>
      <w:bookmarkStart w:id="62" w:name="_Toc506537757"/>
      <w:bookmarkEnd w:id="45"/>
      <w:bookmarkEnd w:id="51"/>
      <w:bookmarkEnd w:id="52"/>
      <w:bookmarkEnd w:id="53"/>
      <w:bookmarkEnd w:id="54"/>
      <w:bookmarkEnd w:id="55"/>
      <w:bookmarkEnd w:id="56"/>
      <w:bookmarkEnd w:id="57"/>
      <w:bookmarkEnd w:id="58"/>
      <w:bookmarkEnd w:id="59"/>
      <w:bookmarkEnd w:id="60"/>
      <w:bookmarkEnd w:id="61"/>
      <w:bookmarkEnd w:id="62"/>
      <w:r>
        <w:t xml:space="preserve">The NIAA may </w:t>
      </w:r>
      <w:r w:rsidR="0088044B">
        <w:t xml:space="preserve">change </w:t>
      </w:r>
      <w:r>
        <w:t xml:space="preserve">the list of eligible and ineligible expenditure </w:t>
      </w:r>
      <w:r w:rsidR="0088044B">
        <w:t>from time to time</w:t>
      </w:r>
      <w:r>
        <w:t xml:space="preserve">. If your application is successful, the version </w:t>
      </w:r>
      <w:r w:rsidR="0088044B">
        <w:t xml:space="preserve">that was applicable on the date </w:t>
      </w:r>
      <w:r>
        <w:t>you submitted your application applies to your grant activity.</w:t>
      </w:r>
    </w:p>
    <w:p w14:paraId="0F50CB7D" w14:textId="77777777" w:rsidR="005A2004" w:rsidRDefault="005A2004" w:rsidP="005A2004">
      <w:pPr>
        <w:pStyle w:val="ListBullet"/>
        <w:numPr>
          <w:ilvl w:val="0"/>
          <w:numId w:val="0"/>
        </w:numPr>
        <w:spacing w:after="200"/>
      </w:pPr>
      <w:r>
        <w:t xml:space="preserve">Not all expenditure may be eligible for grant funding. </w:t>
      </w:r>
      <w:r w:rsidRPr="00E162FF">
        <w:t xml:space="preserve">The </w:t>
      </w:r>
      <w:r>
        <w:t>Program</w:t>
      </w:r>
      <w:r w:rsidRPr="00E162FF">
        <w:t xml:space="preserve"> Delegate </w:t>
      </w:r>
      <w:r>
        <w:t>will make</w:t>
      </w:r>
      <w:r w:rsidRPr="00E162FF">
        <w:t xml:space="preserve">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299B2306" w14:textId="77777777" w:rsidR="00E95540" w:rsidRDefault="00907078" w:rsidP="00B75EBB">
      <w:pPr>
        <w:pStyle w:val="Heading3"/>
        <w:ind w:left="1134"/>
      </w:pPr>
      <w:bookmarkStart w:id="63" w:name="_Toc170734123"/>
      <w:r>
        <w:t>What the grant money cannot be used for</w:t>
      </w:r>
      <w:bookmarkEnd w:id="63"/>
    </w:p>
    <w:p w14:paraId="3F9B61E4" w14:textId="77777777" w:rsidR="00385E80" w:rsidRPr="00573B3F" w:rsidRDefault="00FA26DC" w:rsidP="00385E80">
      <w:pPr>
        <w:pStyle w:val="ListBullet"/>
        <w:numPr>
          <w:ilvl w:val="0"/>
          <w:numId w:val="0"/>
        </w:numPr>
        <w:rPr>
          <w:rStyle w:val="ui-provider"/>
        </w:rPr>
      </w:pPr>
      <w:bookmarkStart w:id="64" w:name="_Ref468355804"/>
      <w:r>
        <w:rPr>
          <w:rStyle w:val="ui-provider"/>
        </w:rPr>
        <w:t xml:space="preserve">This section applies to both the Job Creation and CJBF elements of RJED. </w:t>
      </w:r>
      <w:r w:rsidR="00385E80" w:rsidRPr="00573B3F">
        <w:rPr>
          <w:rStyle w:val="ui-provider"/>
        </w:rPr>
        <w:t xml:space="preserve">Grant funding cannot be used for a purpose that does not directly contribute to the outcomes of </w:t>
      </w:r>
      <w:r w:rsidR="00385E80">
        <w:rPr>
          <w:rStyle w:val="ui-provider"/>
        </w:rPr>
        <w:t>RJED, including</w:t>
      </w:r>
      <w:r w:rsidR="00385E80" w:rsidRPr="00573B3F">
        <w:rPr>
          <w:rStyle w:val="ui-provider"/>
        </w:rPr>
        <w:t xml:space="preserve">:  </w:t>
      </w:r>
    </w:p>
    <w:p w14:paraId="470730F5" w14:textId="77777777" w:rsidR="00385E80" w:rsidRPr="00630074" w:rsidRDefault="00385E80" w:rsidP="00385E80">
      <w:pPr>
        <w:pStyle w:val="ListBullet"/>
      </w:pPr>
      <w:r>
        <w:t>a</w:t>
      </w:r>
      <w:r w:rsidRPr="00630074">
        <w:t>ctivities that do not clearly align to the</w:t>
      </w:r>
      <w:r w:rsidRPr="003416FA">
        <w:t xml:space="preserve"> </w:t>
      </w:r>
      <w:r w:rsidR="00FA26DC">
        <w:t>RJED</w:t>
      </w:r>
      <w:r w:rsidRPr="003416FA">
        <w:t xml:space="preserve"> outcomes</w:t>
      </w:r>
    </w:p>
    <w:p w14:paraId="79EE0BA1" w14:textId="77777777" w:rsidR="00385E80" w:rsidRPr="00AD338B" w:rsidRDefault="00385E80" w:rsidP="00385E80">
      <w:pPr>
        <w:pStyle w:val="ListBullet"/>
      </w:pPr>
      <w:r>
        <w:t>p</w:t>
      </w:r>
      <w:r w:rsidRPr="003416FA">
        <w:t>urposes that do not directly contribute to the outcomes of the activity, typically including (but not limited to) payment of fines or loans, purchase of gifts, personal debts, or sitting fees</w:t>
      </w:r>
    </w:p>
    <w:p w14:paraId="3C411D85" w14:textId="77777777" w:rsidR="004707DC" w:rsidRPr="00AB727E" w:rsidRDefault="004707DC" w:rsidP="004707DC">
      <w:pPr>
        <w:pStyle w:val="ListBullet"/>
      </w:pPr>
      <w:r>
        <w:t>r</w:t>
      </w:r>
      <w:r w:rsidRPr="00AB727E">
        <w:t>etrospective costs (</w:t>
      </w:r>
      <w:r>
        <w:t xml:space="preserve">i.e. costs incurred </w:t>
      </w:r>
      <w:r w:rsidRPr="00AB727E">
        <w:t>before the date of the agreement</w:t>
      </w:r>
      <w:r>
        <w:t>)</w:t>
      </w:r>
    </w:p>
    <w:p w14:paraId="29163EE0" w14:textId="77777777" w:rsidR="00385E80" w:rsidRPr="00310495" w:rsidRDefault="00385E80" w:rsidP="00385E80">
      <w:pPr>
        <w:pStyle w:val="ListBullet"/>
      </w:pPr>
      <w:r>
        <w:t>c</w:t>
      </w:r>
      <w:r w:rsidRPr="00D15296">
        <w:t xml:space="preserve">osts incurred in the preparation of a grant application or related documentation unless specifically agreed with the </w:t>
      </w:r>
      <w:r>
        <w:t>NIAA</w:t>
      </w:r>
    </w:p>
    <w:p w14:paraId="5576DCC2" w14:textId="77777777" w:rsidR="00273062" w:rsidRPr="00587BE8" w:rsidRDefault="00FA26DC" w:rsidP="00273062">
      <w:pPr>
        <w:pStyle w:val="ListBullet"/>
      </w:pPr>
      <w:r>
        <w:t>a</w:t>
      </w:r>
      <w:r w:rsidRPr="00587BE8">
        <w:t xml:space="preserve">ctivities </w:t>
      </w:r>
      <w:r w:rsidR="00273062" w:rsidRPr="00587BE8">
        <w:t>for which other Commonwealth, state, territory or local government bodies have primary responsibility.</w:t>
      </w:r>
    </w:p>
    <w:p w14:paraId="4BFFDFF5" w14:textId="77777777" w:rsidR="00273062" w:rsidRPr="00587BE8" w:rsidRDefault="00FA26DC" w:rsidP="00273062">
      <w:pPr>
        <w:pStyle w:val="ListBullet"/>
      </w:pPr>
      <w:r>
        <w:t>e</w:t>
      </w:r>
      <w:r w:rsidRPr="00587BE8">
        <w:t xml:space="preserve">xpenses </w:t>
      </w:r>
      <w:r w:rsidR="00273062" w:rsidRPr="00587BE8">
        <w:t>for which other Commonwealth, state, territory or local government bodies have primary responsibility to provide the source of funding, unless otherwise specifically agreed with the Agency.</w:t>
      </w:r>
    </w:p>
    <w:p w14:paraId="323F9FE8" w14:textId="77777777" w:rsidR="00273062" w:rsidRPr="00D771A7" w:rsidRDefault="00273062" w:rsidP="00385E80">
      <w:pPr>
        <w:pStyle w:val="ListBullet"/>
      </w:pPr>
      <w:r>
        <w:t>jobs that are already funded or should be funded from another source</w:t>
      </w:r>
      <w:r w:rsidR="00755A84">
        <w:t xml:space="preserve">, including but not limited to </w:t>
      </w:r>
      <w:r w:rsidR="00755A84" w:rsidRPr="00587BE8">
        <w:t>Commonwealth, state, territory or local government bodies</w:t>
      </w:r>
    </w:p>
    <w:p w14:paraId="4DE66252" w14:textId="77777777" w:rsidR="00385E80" w:rsidRPr="00AB727E" w:rsidRDefault="00385E80" w:rsidP="00385E80">
      <w:pPr>
        <w:pStyle w:val="ListBullet"/>
      </w:pPr>
      <w:r>
        <w:t>p</w:t>
      </w:r>
      <w:r w:rsidRPr="00AB727E">
        <w:t>urchase of land</w:t>
      </w:r>
    </w:p>
    <w:p w14:paraId="1A56B1DE" w14:textId="77777777" w:rsidR="008F5021" w:rsidRPr="008F5021" w:rsidRDefault="00963763" w:rsidP="008F5021">
      <w:pPr>
        <w:pStyle w:val="ListBullet"/>
      </w:pPr>
      <w:r>
        <w:t>o</w:t>
      </w:r>
      <w:r w:rsidR="008F5021" w:rsidRPr="008F5021">
        <w:t>ngoing operational expenses</w:t>
      </w:r>
      <w:r w:rsidR="00273062">
        <w:t xml:space="preserve"> not listed at section 5.5</w:t>
      </w:r>
      <w:r w:rsidR="008F5021" w:rsidRPr="008F5021">
        <w:t xml:space="preserve"> (</w:t>
      </w:r>
      <w:r w:rsidR="00273062">
        <w:t>for example but not limited to</w:t>
      </w:r>
      <w:r w:rsidR="008F5021" w:rsidRPr="008F5021">
        <w:t xml:space="preserve"> salaries and wages for existing organisational staff)</w:t>
      </w:r>
      <w:r w:rsidR="00116E58">
        <w:t xml:space="preserve"> not related to the employment of RJED participants.</w:t>
      </w:r>
    </w:p>
    <w:p w14:paraId="0AF24F78" w14:textId="77777777" w:rsidR="00385E80" w:rsidRDefault="00385E80" w:rsidP="00385E80">
      <w:pPr>
        <w:pStyle w:val="ListBullet"/>
      </w:pPr>
      <w:r w:rsidRPr="00D33365">
        <w:t xml:space="preserve">existing employees’ administrative and/or miscellaneous costs not involved in </w:t>
      </w:r>
      <w:r>
        <w:t>RJED</w:t>
      </w:r>
      <w:r w:rsidRPr="00D33365">
        <w:t xml:space="preserve"> activities– e.g. wages, rent, overseas travel etc.</w:t>
      </w:r>
    </w:p>
    <w:p w14:paraId="0CDF5C74" w14:textId="77777777" w:rsidR="003848A4" w:rsidRPr="00283B63" w:rsidRDefault="003848A4" w:rsidP="003848A4">
      <w:pPr>
        <w:pStyle w:val="ListBullet"/>
      </w:pPr>
      <w:r w:rsidRPr="00283B63">
        <w:t xml:space="preserve">overseas travel </w:t>
      </w:r>
    </w:p>
    <w:p w14:paraId="6FEA87E8" w14:textId="77777777" w:rsidR="00423D29" w:rsidRDefault="002F082A" w:rsidP="009A00E5">
      <w:pPr>
        <w:pStyle w:val="ListBullet"/>
      </w:pPr>
      <w:r>
        <w:t>p</w:t>
      </w:r>
      <w:r w:rsidR="00423D29">
        <w:t>roposed grant</w:t>
      </w:r>
      <w:r w:rsidR="00423D29" w:rsidRPr="00F56535">
        <w:t xml:space="preserve"> a</w:t>
      </w:r>
      <w:r w:rsidR="00385E80">
        <w:t>ctivities outside of Australia</w:t>
      </w:r>
    </w:p>
    <w:p w14:paraId="136CD136" w14:textId="77777777" w:rsidR="00423D29" w:rsidRPr="00EF0D52" w:rsidRDefault="00423D29" w:rsidP="009A00E5">
      <w:pPr>
        <w:pStyle w:val="ListBullet"/>
      </w:pPr>
      <w:r w:rsidRPr="00EF0D52">
        <w:t xml:space="preserve">marketing campaigns </w:t>
      </w:r>
      <w:r w:rsidR="00FA26DC">
        <w:t>or</w:t>
      </w:r>
    </w:p>
    <w:p w14:paraId="50A2B6E5" w14:textId="77777777" w:rsidR="00423D29" w:rsidRDefault="00423D29" w:rsidP="009A00E5">
      <w:pPr>
        <w:pStyle w:val="ListBullet"/>
      </w:pPr>
      <w:r w:rsidRPr="00F56535">
        <w:t>activities that commenced prior to the grant agreement being finalised.</w:t>
      </w:r>
    </w:p>
    <w:p w14:paraId="0D4F4477" w14:textId="07682152" w:rsidR="0039610D" w:rsidRPr="00747B26" w:rsidRDefault="0036055C" w:rsidP="00A4685F">
      <w:pPr>
        <w:pStyle w:val="Heading2"/>
        <w:numPr>
          <w:ilvl w:val="0"/>
          <w:numId w:val="8"/>
        </w:numPr>
      </w:pPr>
      <w:bookmarkStart w:id="65" w:name="_Toc494290504"/>
      <w:bookmarkStart w:id="66" w:name="_Toc494290505"/>
      <w:bookmarkStart w:id="67" w:name="_Toc494290506"/>
      <w:bookmarkStart w:id="68" w:name="_Toc494290507"/>
      <w:bookmarkStart w:id="69" w:name="_Toc494290508"/>
      <w:bookmarkStart w:id="70" w:name="_Toc494290509"/>
      <w:bookmarkStart w:id="71" w:name="_Toc494290510"/>
      <w:bookmarkStart w:id="72" w:name="_Toc494290511"/>
      <w:bookmarkStart w:id="73" w:name="_Ref485221187"/>
      <w:bookmarkStart w:id="74" w:name="_Toc170734124"/>
      <w:bookmarkEnd w:id="64"/>
      <w:bookmarkEnd w:id="65"/>
      <w:bookmarkEnd w:id="66"/>
      <w:bookmarkEnd w:id="67"/>
      <w:bookmarkEnd w:id="68"/>
      <w:bookmarkEnd w:id="69"/>
      <w:bookmarkEnd w:id="70"/>
      <w:bookmarkEnd w:id="71"/>
      <w:bookmarkEnd w:id="72"/>
      <w:r>
        <w:t xml:space="preserve">The </w:t>
      </w:r>
      <w:r w:rsidR="00B94249">
        <w:t>assessment criteria</w:t>
      </w:r>
      <w:bookmarkEnd w:id="73"/>
      <w:bookmarkEnd w:id="74"/>
    </w:p>
    <w:p w14:paraId="35023178" w14:textId="77777777" w:rsidR="00A71FF9" w:rsidRDefault="00CF2674" w:rsidP="00A71FF9">
      <w:r>
        <w:t>Y</w:t>
      </w:r>
      <w:r w:rsidR="00494050" w:rsidRPr="00E44E21">
        <w:t xml:space="preserve">ou </w:t>
      </w:r>
      <w:r w:rsidR="003816D7">
        <w:t>must</w:t>
      </w:r>
      <w:r w:rsidR="00494050" w:rsidRPr="00E44E21">
        <w:t xml:space="preserve"> </w:t>
      </w:r>
      <w:r w:rsidR="00142A92">
        <w:t xml:space="preserve">address </w:t>
      </w:r>
      <w:r w:rsidR="00494050" w:rsidRPr="00342D0A">
        <w:t>all</w:t>
      </w:r>
      <w:r w:rsidR="00832270">
        <w:t xml:space="preserve"> of</w:t>
      </w:r>
      <w:r w:rsidR="00494050" w:rsidRPr="00342D0A">
        <w:t xml:space="preserve"> </w:t>
      </w:r>
      <w:r w:rsidR="00055D5B">
        <w:t xml:space="preserve">Criterion 1-3 </w:t>
      </w:r>
      <w:r w:rsidR="00FA26DC">
        <w:t>in your application</w:t>
      </w:r>
      <w:r w:rsidR="00494050" w:rsidRPr="00E44E21">
        <w:t xml:space="preserve">. </w:t>
      </w:r>
      <w:r w:rsidR="00A71FF9" w:rsidRPr="00385E80">
        <w:t xml:space="preserve"> </w:t>
      </w:r>
      <w:r w:rsidR="00FA26DC">
        <w:t xml:space="preserve">The NIAA </w:t>
      </w:r>
      <w:r w:rsidR="00A71FF9" w:rsidRPr="00385E80">
        <w:t>will assess</w:t>
      </w:r>
      <w:r w:rsidR="00FA26DC">
        <w:t xml:space="preserve"> and score</w:t>
      </w:r>
      <w:r w:rsidR="00A71FF9" w:rsidRPr="00385E80">
        <w:t xml:space="preserve"> your application </w:t>
      </w:r>
      <w:r w:rsidR="00A71FF9">
        <w:t xml:space="preserve">against </w:t>
      </w:r>
      <w:r w:rsidR="00A71FF9" w:rsidRPr="00385E80">
        <w:t xml:space="preserve">the </w:t>
      </w:r>
      <w:r w:rsidR="00A71FF9">
        <w:t xml:space="preserve">points for </w:t>
      </w:r>
      <w:r w:rsidR="00A71FF9" w:rsidRPr="00385E80">
        <w:t>each criterion</w:t>
      </w:r>
      <w:r w:rsidR="00FA26DC">
        <w:t>, awarding a maximum 5 points for each criterion</w:t>
      </w:r>
      <w:r w:rsidR="00A71FF9" w:rsidRPr="00385E80">
        <w:t>.</w:t>
      </w:r>
    </w:p>
    <w:p w14:paraId="303090D3" w14:textId="77777777" w:rsidR="00A71FF9" w:rsidRDefault="00055D5B" w:rsidP="00494050">
      <w:r>
        <w:t xml:space="preserve">A further criterion (Criterion 4) is included </w:t>
      </w:r>
      <w:r w:rsidR="00A71FF9" w:rsidRPr="00A71FF9">
        <w:rPr>
          <w:u w:val="single"/>
        </w:rPr>
        <w:t xml:space="preserve">only </w:t>
      </w:r>
      <w:r w:rsidRPr="00A71FF9">
        <w:rPr>
          <w:u w:val="single"/>
        </w:rPr>
        <w:t>for those applicants also seeking funding from the CJBF</w:t>
      </w:r>
      <w:r w:rsidRPr="00E44E21">
        <w:t xml:space="preserve">. </w:t>
      </w:r>
    </w:p>
    <w:p w14:paraId="5230CC63" w14:textId="77777777" w:rsidR="00055D5B" w:rsidRDefault="00055D5B" w:rsidP="00494050">
      <w:r w:rsidRPr="00055D5B">
        <w:t>The amount of detail and supporting evidence you provide in your application should be relative to the size, complexity and grant amount requested. The application form includes word limits.</w:t>
      </w:r>
      <w:r w:rsidR="00DC24E8">
        <w:t xml:space="preserve"> </w:t>
      </w:r>
    </w:p>
    <w:p w14:paraId="5476801E" w14:textId="77777777" w:rsidR="00E779A1" w:rsidRPr="00B95399" w:rsidRDefault="00E779A1" w:rsidP="00B75EBB">
      <w:pPr>
        <w:pStyle w:val="Heading3"/>
        <w:ind w:left="1134"/>
      </w:pPr>
      <w:bookmarkStart w:id="75" w:name="_Toc170734125"/>
      <w:r w:rsidRPr="00B95399">
        <w:t>Criterion 1: Creating new jobs (5 points)</w:t>
      </w:r>
      <w:bookmarkEnd w:id="75"/>
    </w:p>
    <w:p w14:paraId="611DE09A" w14:textId="77777777" w:rsidR="00901E5B" w:rsidRDefault="00756BAE" w:rsidP="00901E5B">
      <w:r>
        <w:t>Applicants must d</w:t>
      </w:r>
      <w:r w:rsidR="00901E5B">
        <w:t xml:space="preserve">escribe the proposed job/s and </w:t>
      </w:r>
      <w:r>
        <w:t>the</w:t>
      </w:r>
      <w:r w:rsidR="00901E5B">
        <w:t xml:space="preserve"> plan for support</w:t>
      </w:r>
      <w:r>
        <w:t>ing</w:t>
      </w:r>
      <w:r w:rsidR="00901E5B">
        <w:t xml:space="preserve"> CDP participants living in the community/ies move into employment. </w:t>
      </w:r>
    </w:p>
    <w:p w14:paraId="523E6EC1" w14:textId="77777777" w:rsidR="00901E5B" w:rsidRPr="00E779A1" w:rsidRDefault="00756BAE" w:rsidP="00901E5B">
      <w:r>
        <w:t>Applicants should provide a description of</w:t>
      </w:r>
      <w:r w:rsidR="00901E5B">
        <w:t xml:space="preserve">: </w:t>
      </w:r>
    </w:p>
    <w:p w14:paraId="402BB0CA" w14:textId="77777777" w:rsidR="00901E5B" w:rsidRPr="00901E5B" w:rsidRDefault="006D5009" w:rsidP="009F02A2">
      <w:pPr>
        <w:pStyle w:val="ListParagraph"/>
        <w:numPr>
          <w:ilvl w:val="0"/>
          <w:numId w:val="37"/>
        </w:numPr>
      </w:pPr>
      <w:r>
        <w:t>w</w:t>
      </w:r>
      <w:r w:rsidR="00901E5B">
        <w:t xml:space="preserve">hat the proposed job/s are, how they are </w:t>
      </w:r>
      <w:r>
        <w:t>‘</w:t>
      </w:r>
      <w:r w:rsidR="00901E5B">
        <w:t>new’ and your plan to</w:t>
      </w:r>
      <w:r w:rsidR="00A71FF9">
        <w:t xml:space="preserve"> work towards making the jobs sustainable</w:t>
      </w:r>
      <w:r w:rsidR="00A71FF9">
        <w:rPr>
          <w:rFonts w:cstheme="minorHAnsi"/>
        </w:rPr>
        <w:t>, including how</w:t>
      </w:r>
      <w:r w:rsidR="00A71FF9" w:rsidRPr="00A71FF9">
        <w:t xml:space="preserve"> </w:t>
      </w:r>
      <w:r w:rsidR="00A71FF9">
        <w:t>overhead/on</w:t>
      </w:r>
      <w:r>
        <w:t>-</w:t>
      </w:r>
      <w:r w:rsidR="00A71FF9">
        <w:t>costs will contribute to the creation of the new job</w:t>
      </w:r>
    </w:p>
    <w:p w14:paraId="672A0494" w14:textId="77777777" w:rsidR="00901E5B" w:rsidRDefault="006D5009" w:rsidP="009F02A2">
      <w:pPr>
        <w:pStyle w:val="ListParagraph"/>
        <w:numPr>
          <w:ilvl w:val="0"/>
          <w:numId w:val="37"/>
        </w:numPr>
      </w:pPr>
      <w:r>
        <w:t>For each job, t</w:t>
      </w:r>
      <w:r w:rsidR="00901E5B">
        <w:t>he type of job</w:t>
      </w:r>
      <w:r>
        <w:t>/s</w:t>
      </w:r>
      <w:r w:rsidR="00755A84">
        <w:t xml:space="preserve"> (industry/sector)</w:t>
      </w:r>
      <w:r w:rsidR="00901E5B">
        <w:t xml:space="preserve">, expected hours of work and the type of employment (casual, part-time </w:t>
      </w:r>
      <w:r>
        <w:t xml:space="preserve">or </w:t>
      </w:r>
      <w:r w:rsidR="00901E5B">
        <w:t>full time)</w:t>
      </w:r>
    </w:p>
    <w:p w14:paraId="51FEA1BE" w14:textId="77777777" w:rsidR="00901E5B" w:rsidRDefault="006D5009" w:rsidP="009F02A2">
      <w:pPr>
        <w:pStyle w:val="ListParagraph"/>
        <w:numPr>
          <w:ilvl w:val="0"/>
          <w:numId w:val="37"/>
        </w:numPr>
      </w:pPr>
      <w:r>
        <w:t>how</w:t>
      </w:r>
      <w:r w:rsidR="001B2C4F">
        <w:t xml:space="preserve"> </w:t>
      </w:r>
      <w:r w:rsidR="00901E5B">
        <w:t xml:space="preserve">you will work with CDP Providers to identify suitable CDP participants and how you will support </w:t>
      </w:r>
      <w:r w:rsidR="00A71FF9">
        <w:t>these employees</w:t>
      </w:r>
      <w:r w:rsidR="00901E5B">
        <w:t xml:space="preserve"> </w:t>
      </w:r>
      <w:r>
        <w:t xml:space="preserve">to </w:t>
      </w:r>
      <w:r w:rsidR="00901E5B">
        <w:t>obtain skills, experience and confidence to move off welfare</w:t>
      </w:r>
      <w:r w:rsidR="00A71FF9">
        <w:t xml:space="preserve"> and</w:t>
      </w:r>
      <w:r w:rsidR="00901E5B">
        <w:t xml:space="preserve"> into employment</w:t>
      </w:r>
    </w:p>
    <w:p w14:paraId="308FD928" w14:textId="77777777" w:rsidR="00D64B35" w:rsidRDefault="006D5009" w:rsidP="009F02A2">
      <w:pPr>
        <w:pStyle w:val="ListParagraph"/>
        <w:numPr>
          <w:ilvl w:val="0"/>
          <w:numId w:val="37"/>
        </w:numPr>
      </w:pPr>
      <w:r>
        <w:t>w</w:t>
      </w:r>
      <w:r w:rsidR="00D64B35">
        <w:t xml:space="preserve">hether the jobs will be focused on supporting priority cohorts, including youth, people leaving prison or people with disability and how you will design the job to support ongoing </w:t>
      </w:r>
      <w:r w:rsidR="00755A84">
        <w:t>engagement in employment</w:t>
      </w:r>
    </w:p>
    <w:p w14:paraId="198A92EC" w14:textId="66AF3C28" w:rsidR="00901E5B" w:rsidRDefault="006D5009" w:rsidP="009F02A2">
      <w:pPr>
        <w:pStyle w:val="ListParagraph"/>
        <w:numPr>
          <w:ilvl w:val="0"/>
          <w:numId w:val="37"/>
        </w:numPr>
        <w:rPr>
          <w:rFonts w:cstheme="minorHAnsi"/>
          <w:bCs/>
          <w:color w:val="000000"/>
        </w:rPr>
      </w:pPr>
      <w:r>
        <w:t xml:space="preserve">how </w:t>
      </w:r>
      <w:r w:rsidR="00901E5B">
        <w:t>the proposed job/s align</w:t>
      </w:r>
      <w:r w:rsidR="00901E5B">
        <w:rPr>
          <w:rFonts w:cstheme="minorHAnsi"/>
          <w:bCs/>
          <w:color w:val="000000"/>
        </w:rPr>
        <w:t xml:space="preserve"> with local priorities identified through employment, economic, development and/or leadership planning</w:t>
      </w:r>
      <w:r w:rsidR="00A71FF9">
        <w:rPr>
          <w:rFonts w:cstheme="minorHAnsi"/>
          <w:bCs/>
          <w:color w:val="000000"/>
        </w:rPr>
        <w:t>. For example</w:t>
      </w:r>
      <w:r w:rsidR="00901E5B">
        <w:rPr>
          <w:rFonts w:cstheme="minorHAnsi"/>
          <w:bCs/>
          <w:color w:val="000000"/>
        </w:rPr>
        <w:t xml:space="preserve"> Community Development, Local Thriving Communities, Empowered Communities, etc.</w:t>
      </w:r>
      <w:r w:rsidR="009250D3">
        <w:rPr>
          <w:rFonts w:cstheme="minorHAnsi"/>
          <w:bCs/>
          <w:color w:val="000000"/>
        </w:rPr>
        <w:t xml:space="preserve">, </w:t>
      </w:r>
      <w:r>
        <w:rPr>
          <w:rFonts w:cstheme="minorHAnsi"/>
          <w:bCs/>
          <w:color w:val="000000"/>
        </w:rPr>
        <w:t>and</w:t>
      </w:r>
    </w:p>
    <w:p w14:paraId="743334D5" w14:textId="77777777" w:rsidR="00756BAE" w:rsidRDefault="006D5009" w:rsidP="009F02A2">
      <w:pPr>
        <w:pStyle w:val="ListParagraph"/>
        <w:numPr>
          <w:ilvl w:val="0"/>
          <w:numId w:val="37"/>
        </w:numPr>
        <w:rPr>
          <w:rFonts w:cstheme="minorHAnsi"/>
          <w:bCs/>
          <w:color w:val="000000"/>
        </w:rPr>
      </w:pPr>
      <w:r>
        <w:t xml:space="preserve">how </w:t>
      </w:r>
      <w:r w:rsidR="00756BAE">
        <w:t>the job may be sustainable and actions that will be undertaken to ensure ongoing sustainability of the job beyond the RJED funding.</w:t>
      </w:r>
    </w:p>
    <w:p w14:paraId="65E41913" w14:textId="56DF9690" w:rsidR="00B0053F" w:rsidRPr="009A74F2" w:rsidRDefault="00756BAE" w:rsidP="00247DAA">
      <w:pPr>
        <w:tabs>
          <w:tab w:val="left" w:pos="924"/>
          <w:tab w:val="left" w:pos="2773"/>
          <w:tab w:val="left" w:pos="3697"/>
          <w:tab w:val="left" w:pos="4621"/>
          <w:tab w:val="left" w:pos="5545"/>
          <w:tab w:val="left" w:pos="6469"/>
          <w:tab w:val="left" w:pos="7394"/>
          <w:tab w:val="left" w:pos="8318"/>
          <w:tab w:val="right" w:pos="8930"/>
        </w:tabs>
        <w:spacing w:line="22" w:lineRule="atLeast"/>
        <w:rPr>
          <w:rFonts w:cstheme="minorHAnsi"/>
          <w:bCs/>
          <w:color w:val="000000"/>
        </w:rPr>
      </w:pPr>
      <w:r>
        <w:rPr>
          <w:rFonts w:cstheme="minorHAnsi"/>
          <w:bCs/>
          <w:color w:val="000000"/>
        </w:rPr>
        <w:t>Applicants must provide supporting evidence, which</w:t>
      </w:r>
      <w:r w:rsidRPr="007E2EC0">
        <w:rPr>
          <w:rFonts w:cstheme="minorHAnsi"/>
          <w:bCs/>
          <w:color w:val="000000"/>
        </w:rPr>
        <w:t xml:space="preserve"> include</w:t>
      </w:r>
      <w:r w:rsidR="00DC6AEF">
        <w:rPr>
          <w:rFonts w:cstheme="minorHAnsi"/>
          <w:bCs/>
          <w:color w:val="000000"/>
        </w:rPr>
        <w:t>s</w:t>
      </w:r>
      <w:r w:rsidRPr="007E2EC0">
        <w:rPr>
          <w:rFonts w:cstheme="minorHAnsi"/>
          <w:bCs/>
          <w:color w:val="000000"/>
        </w:rPr>
        <w:t>, but is not limited to</w:t>
      </w:r>
      <w:r w:rsidR="00247DAA">
        <w:rPr>
          <w:rFonts w:cstheme="minorHAnsi"/>
          <w:bCs/>
          <w:color w:val="000000"/>
        </w:rPr>
        <w:t xml:space="preserve"> </w:t>
      </w:r>
      <w:r w:rsidR="003A6E2D">
        <w:t>a</w:t>
      </w:r>
      <w:r w:rsidR="00DC6AEF">
        <w:t xml:space="preserve"> </w:t>
      </w:r>
      <w:r w:rsidR="00B0053F">
        <w:t>d</w:t>
      </w:r>
      <w:r w:rsidR="00B0053F" w:rsidRPr="00E779A1">
        <w:t>etailed budget breakdown of all costs</w:t>
      </w:r>
      <w:r w:rsidR="00901E5B">
        <w:t xml:space="preserve"> using the template provided</w:t>
      </w:r>
      <w:r w:rsidR="00B0053F">
        <w:t xml:space="preserve">, including evidence of expected costs </w:t>
      </w:r>
      <w:r w:rsidR="00901E5B">
        <w:t>(</w:t>
      </w:r>
      <w:r w:rsidR="00B0053F">
        <w:t>that may include, but is not limited to, quotes and invoices</w:t>
      </w:r>
      <w:r w:rsidR="00901E5B">
        <w:t>)</w:t>
      </w:r>
      <w:r w:rsidR="00247DAA">
        <w:t>.</w:t>
      </w:r>
    </w:p>
    <w:p w14:paraId="7AA2D7EC" w14:textId="3A43160D" w:rsidR="005F471A" w:rsidRPr="00DC6AEF" w:rsidRDefault="00DC6AEF" w:rsidP="00DC6AEF">
      <w:pPr>
        <w:rPr>
          <w:b/>
          <w:sz w:val="22"/>
          <w:szCs w:val="22"/>
        </w:rPr>
      </w:pPr>
      <w:r>
        <w:rPr>
          <w:rFonts w:cstheme="minorHAnsi"/>
          <w:bCs/>
          <w:color w:val="000000"/>
        </w:rPr>
        <w:t>Applicants</w:t>
      </w:r>
      <w:r w:rsidRPr="00DC6AEF">
        <w:rPr>
          <w:rFonts w:cstheme="minorHAnsi"/>
          <w:bCs/>
          <w:color w:val="000000"/>
        </w:rPr>
        <w:t xml:space="preserve"> may also be asked to provide a local </w:t>
      </w:r>
      <w:r w:rsidRPr="00DC6AEF">
        <w:t>employment</w:t>
      </w:r>
      <w:r w:rsidRPr="00DC6AEF">
        <w:rPr>
          <w:rFonts w:cstheme="minorHAnsi"/>
          <w:bCs/>
          <w:color w:val="000000"/>
        </w:rPr>
        <w:t xml:space="preserve"> or economic development plan. </w:t>
      </w:r>
    </w:p>
    <w:p w14:paraId="544279C3" w14:textId="77777777" w:rsidR="00494050" w:rsidRPr="00F91DE2" w:rsidRDefault="00494050" w:rsidP="00B75EBB">
      <w:pPr>
        <w:pStyle w:val="Heading3"/>
        <w:ind w:left="1134"/>
      </w:pPr>
      <w:bookmarkStart w:id="76" w:name="_Toc170734126"/>
      <w:r w:rsidRPr="00F91DE2">
        <w:t>Criterion 2</w:t>
      </w:r>
      <w:r w:rsidR="00EB68F0" w:rsidRPr="00F91DE2">
        <w:t xml:space="preserve">: </w:t>
      </w:r>
      <w:r w:rsidR="00E779A1" w:rsidRPr="00F91DE2">
        <w:t>Community need</w:t>
      </w:r>
      <w:r w:rsidR="000C2B51" w:rsidRPr="00F91DE2">
        <w:t xml:space="preserve"> </w:t>
      </w:r>
      <w:r w:rsidR="00B95399" w:rsidRPr="00F91DE2">
        <w:t>(5 points)</w:t>
      </w:r>
      <w:bookmarkEnd w:id="76"/>
    </w:p>
    <w:p w14:paraId="1545FF97" w14:textId="77777777" w:rsidR="00901E5B" w:rsidRDefault="00756BAE" w:rsidP="00901E5B">
      <w:pPr>
        <w:rPr>
          <w:rFonts w:cstheme="minorHAnsi"/>
          <w:bCs/>
          <w:color w:val="000000"/>
        </w:rPr>
      </w:pPr>
      <w:r>
        <w:rPr>
          <w:rFonts w:cstheme="minorHAnsi"/>
          <w:bCs/>
          <w:color w:val="000000"/>
        </w:rPr>
        <w:t xml:space="preserve">Applicants must demonstrate that they have worked with </w:t>
      </w:r>
      <w:r w:rsidR="00901E5B">
        <w:rPr>
          <w:rFonts w:cstheme="minorHAnsi"/>
          <w:bCs/>
          <w:color w:val="000000"/>
        </w:rPr>
        <w:t>the local communit</w:t>
      </w:r>
      <w:r w:rsidR="005F471A">
        <w:rPr>
          <w:rFonts w:cstheme="minorHAnsi"/>
          <w:bCs/>
          <w:color w:val="000000"/>
        </w:rPr>
        <w:t>y</w:t>
      </w:r>
      <w:r w:rsidR="00E823BA">
        <w:rPr>
          <w:rFonts w:cstheme="minorHAnsi"/>
          <w:bCs/>
          <w:color w:val="000000"/>
        </w:rPr>
        <w:t>/ies</w:t>
      </w:r>
      <w:r w:rsidR="00901E5B">
        <w:rPr>
          <w:rFonts w:cstheme="minorHAnsi"/>
          <w:bCs/>
          <w:color w:val="000000"/>
        </w:rPr>
        <w:t xml:space="preserve"> </w:t>
      </w:r>
      <w:r w:rsidR="00A71FF9">
        <w:rPr>
          <w:rFonts w:cstheme="minorHAnsi"/>
          <w:bCs/>
          <w:color w:val="000000"/>
        </w:rPr>
        <w:t>to identify</w:t>
      </w:r>
      <w:r w:rsidR="00901E5B">
        <w:rPr>
          <w:rFonts w:cstheme="minorHAnsi"/>
          <w:bCs/>
          <w:color w:val="000000"/>
        </w:rPr>
        <w:t xml:space="preserve"> the job/s</w:t>
      </w:r>
      <w:r w:rsidR="00851784">
        <w:rPr>
          <w:rFonts w:cstheme="minorHAnsi"/>
          <w:bCs/>
          <w:color w:val="000000"/>
        </w:rPr>
        <w:t xml:space="preserve">, </w:t>
      </w:r>
      <w:r w:rsidR="00E823BA">
        <w:rPr>
          <w:rFonts w:cstheme="minorHAnsi"/>
          <w:bCs/>
          <w:color w:val="000000"/>
        </w:rPr>
        <w:t xml:space="preserve">that </w:t>
      </w:r>
      <w:r w:rsidR="00851784">
        <w:rPr>
          <w:rFonts w:cstheme="minorHAnsi"/>
          <w:bCs/>
          <w:color w:val="000000"/>
        </w:rPr>
        <w:t>the communit</w:t>
      </w:r>
      <w:r w:rsidR="005F471A">
        <w:rPr>
          <w:rFonts w:cstheme="minorHAnsi"/>
          <w:bCs/>
          <w:color w:val="000000"/>
        </w:rPr>
        <w:t>y</w:t>
      </w:r>
      <w:r w:rsidR="00E823BA">
        <w:rPr>
          <w:rFonts w:cstheme="minorHAnsi"/>
          <w:bCs/>
          <w:color w:val="000000"/>
        </w:rPr>
        <w:t>/ies</w:t>
      </w:r>
      <w:r w:rsidR="00851784">
        <w:rPr>
          <w:rFonts w:cstheme="minorHAnsi"/>
          <w:bCs/>
          <w:color w:val="000000"/>
        </w:rPr>
        <w:t xml:space="preserve"> </w:t>
      </w:r>
      <w:r w:rsidR="00851784" w:rsidRPr="00851784">
        <w:rPr>
          <w:rFonts w:cstheme="minorHAnsi"/>
          <w:bCs/>
          <w:color w:val="000000"/>
        </w:rPr>
        <w:t xml:space="preserve">has participated in the planning and design of the proposed </w:t>
      </w:r>
      <w:r w:rsidR="00E823BA">
        <w:rPr>
          <w:rFonts w:cstheme="minorHAnsi"/>
          <w:bCs/>
          <w:color w:val="000000"/>
        </w:rPr>
        <w:t>job/s</w:t>
      </w:r>
      <w:r w:rsidR="00901E5B">
        <w:rPr>
          <w:rFonts w:cstheme="minorHAnsi"/>
          <w:bCs/>
          <w:color w:val="000000"/>
        </w:rPr>
        <w:t xml:space="preserve"> and</w:t>
      </w:r>
      <w:r w:rsidR="00851784">
        <w:rPr>
          <w:rFonts w:cstheme="minorHAnsi"/>
          <w:bCs/>
          <w:color w:val="000000"/>
        </w:rPr>
        <w:t xml:space="preserve"> that there is</w:t>
      </w:r>
      <w:r w:rsidR="00901E5B">
        <w:rPr>
          <w:rFonts w:cstheme="minorHAnsi"/>
          <w:bCs/>
          <w:color w:val="000000"/>
        </w:rPr>
        <w:t xml:space="preserve"> </w:t>
      </w:r>
      <w:r>
        <w:rPr>
          <w:rFonts w:cstheme="minorHAnsi"/>
          <w:bCs/>
          <w:color w:val="000000"/>
        </w:rPr>
        <w:t>a commitment</w:t>
      </w:r>
      <w:r w:rsidR="00901E5B">
        <w:rPr>
          <w:rFonts w:cstheme="minorHAnsi"/>
          <w:bCs/>
          <w:color w:val="000000"/>
        </w:rPr>
        <w:t xml:space="preserve"> to continuing this engagement. </w:t>
      </w:r>
    </w:p>
    <w:p w14:paraId="396AFDDA" w14:textId="77777777" w:rsidR="00901E5B" w:rsidRDefault="00756BAE" w:rsidP="00901E5B">
      <w:pPr>
        <w:rPr>
          <w:rFonts w:cstheme="minorHAnsi"/>
          <w:bCs/>
          <w:color w:val="000000"/>
        </w:rPr>
      </w:pPr>
      <w:r>
        <w:t>Applicants should</w:t>
      </w:r>
      <w:r w:rsidR="00901E5B">
        <w:t xml:space="preserve"> outline:</w:t>
      </w:r>
    </w:p>
    <w:p w14:paraId="58995E4C" w14:textId="77777777" w:rsidR="00A71FF9" w:rsidRDefault="00A71FF9" w:rsidP="009F02A2">
      <w:pPr>
        <w:pStyle w:val="ListParagraph"/>
        <w:numPr>
          <w:ilvl w:val="0"/>
          <w:numId w:val="37"/>
        </w:numPr>
      </w:pPr>
      <w:r>
        <w:t>The approach taken to working with the local community, including a description of how the community/ies participated in planning of the job/s, will be engaged in feedback about the job/s and any involvement in delivery of the job/s</w:t>
      </w:r>
    </w:p>
    <w:p w14:paraId="0EC37C1A" w14:textId="77777777" w:rsidR="00901E5B" w:rsidRDefault="00901E5B" w:rsidP="009F02A2">
      <w:pPr>
        <w:pStyle w:val="ListParagraph"/>
        <w:numPr>
          <w:ilvl w:val="0"/>
          <w:numId w:val="37"/>
        </w:numPr>
      </w:pPr>
      <w:r>
        <w:t xml:space="preserve">What success looks like in the local context, how you will measure and </w:t>
      </w:r>
      <w:r w:rsidR="00A71FF9">
        <w:t>determine</w:t>
      </w:r>
      <w:r>
        <w:t xml:space="preserve"> if it has been achieved</w:t>
      </w:r>
      <w:r w:rsidR="00A71FF9">
        <w:t xml:space="preserve">, including using this </w:t>
      </w:r>
      <w:r>
        <w:t>to continuously improve</w:t>
      </w:r>
    </w:p>
    <w:p w14:paraId="7C7CB9E6" w14:textId="77777777" w:rsidR="00901E5B" w:rsidRDefault="00901E5B" w:rsidP="009F02A2">
      <w:pPr>
        <w:pStyle w:val="ListParagraph"/>
        <w:numPr>
          <w:ilvl w:val="0"/>
          <w:numId w:val="37"/>
        </w:numPr>
      </w:pPr>
      <w:r>
        <w:t>Examples of</w:t>
      </w:r>
      <w:r w:rsidR="00A71FF9">
        <w:t xml:space="preserve"> community/ies readiness, for example provide details</w:t>
      </w:r>
      <w:r>
        <w:t xml:space="preserve"> of how people are coming together to lead change and improve employment and economic outcomes</w:t>
      </w:r>
      <w:r w:rsidR="001D2259">
        <w:t xml:space="preserve"> and </w:t>
      </w:r>
    </w:p>
    <w:p w14:paraId="57F49F32" w14:textId="77777777" w:rsidR="00901E5B" w:rsidRDefault="00A71FF9" w:rsidP="009F02A2">
      <w:pPr>
        <w:pStyle w:val="ListParagraph"/>
        <w:numPr>
          <w:ilvl w:val="0"/>
          <w:numId w:val="37"/>
        </w:numPr>
      </w:pPr>
      <w:r>
        <w:t>The factors</w:t>
      </w:r>
      <w:r w:rsidR="00756BAE">
        <w:t xml:space="preserve"> in the community/ies</w:t>
      </w:r>
      <w:r>
        <w:t xml:space="preserve"> driving unemployment and related social impacts and how</w:t>
      </w:r>
      <w:r w:rsidRPr="00763404">
        <w:t xml:space="preserve"> </w:t>
      </w:r>
      <w:r w:rsidR="00756BAE">
        <w:t>the funding from RJED for new jobs</w:t>
      </w:r>
      <w:r w:rsidRPr="00763404">
        <w:t xml:space="preserve"> </w:t>
      </w:r>
      <w:r>
        <w:t xml:space="preserve">will </w:t>
      </w:r>
      <w:r w:rsidRPr="00763404">
        <w:t>support positive change</w:t>
      </w:r>
      <w:r>
        <w:t xml:space="preserve"> for individuals, their families and the broader community.</w:t>
      </w:r>
      <w:r w:rsidRPr="00763404">
        <w:t xml:space="preserve"> </w:t>
      </w:r>
    </w:p>
    <w:p w14:paraId="5E8C17B4" w14:textId="77777777" w:rsidR="00E779A1" w:rsidRPr="007E2EC0" w:rsidRDefault="00756BAE" w:rsidP="00901E5B">
      <w:pPr>
        <w:tabs>
          <w:tab w:val="left" w:pos="924"/>
          <w:tab w:val="left" w:pos="2773"/>
          <w:tab w:val="left" w:pos="3697"/>
          <w:tab w:val="left" w:pos="4621"/>
          <w:tab w:val="left" w:pos="5545"/>
          <w:tab w:val="left" w:pos="6469"/>
          <w:tab w:val="left" w:pos="7394"/>
          <w:tab w:val="left" w:pos="8318"/>
          <w:tab w:val="right" w:pos="8930"/>
        </w:tabs>
        <w:spacing w:line="22" w:lineRule="atLeast"/>
        <w:rPr>
          <w:rFonts w:cstheme="minorHAnsi"/>
          <w:bCs/>
          <w:color w:val="000000"/>
        </w:rPr>
      </w:pPr>
      <w:r>
        <w:rPr>
          <w:rFonts w:cstheme="minorHAnsi"/>
          <w:bCs/>
          <w:color w:val="000000"/>
        </w:rPr>
        <w:t>Applicants must provide supporting evidence, which</w:t>
      </w:r>
      <w:r w:rsidR="00E779A1" w:rsidRPr="007E2EC0">
        <w:rPr>
          <w:rFonts w:cstheme="minorHAnsi"/>
          <w:bCs/>
          <w:color w:val="000000"/>
        </w:rPr>
        <w:t xml:space="preserve"> may include, but is not limited to:</w:t>
      </w:r>
    </w:p>
    <w:p w14:paraId="3F764CBA" w14:textId="77777777" w:rsidR="00E779A1" w:rsidRPr="00FB25D6" w:rsidRDefault="00E779A1" w:rsidP="009F02A2">
      <w:pPr>
        <w:pStyle w:val="ListParagraph"/>
        <w:numPr>
          <w:ilvl w:val="0"/>
          <w:numId w:val="37"/>
        </w:numPr>
        <w:rPr>
          <w:rFonts w:cstheme="minorHAnsi"/>
          <w:bCs/>
          <w:color w:val="000000"/>
        </w:rPr>
      </w:pPr>
      <w:r w:rsidRPr="00FB25D6">
        <w:rPr>
          <w:rFonts w:cstheme="minorHAnsi"/>
          <w:bCs/>
          <w:color w:val="000000"/>
        </w:rPr>
        <w:t>a letter of support from community or local</w:t>
      </w:r>
      <w:r>
        <w:rPr>
          <w:rFonts w:cstheme="minorHAnsi"/>
          <w:bCs/>
          <w:color w:val="000000"/>
        </w:rPr>
        <w:t xml:space="preserve"> relevant</w:t>
      </w:r>
      <w:r w:rsidRPr="00FB25D6">
        <w:rPr>
          <w:rFonts w:cstheme="minorHAnsi"/>
          <w:bCs/>
          <w:color w:val="000000"/>
        </w:rPr>
        <w:t xml:space="preserve"> Indigenous Organisations</w:t>
      </w:r>
      <w:r w:rsidR="001D2259">
        <w:rPr>
          <w:rFonts w:cstheme="minorHAnsi"/>
          <w:bCs/>
          <w:color w:val="000000"/>
        </w:rPr>
        <w:t xml:space="preserve"> and/or</w:t>
      </w:r>
    </w:p>
    <w:p w14:paraId="386A4A78" w14:textId="77777777" w:rsidR="00E779A1" w:rsidRDefault="00E779A1" w:rsidP="009F02A2">
      <w:pPr>
        <w:pStyle w:val="ListParagraph"/>
        <w:numPr>
          <w:ilvl w:val="0"/>
          <w:numId w:val="37"/>
        </w:numPr>
        <w:rPr>
          <w:rFonts w:cstheme="minorHAnsi"/>
          <w:bCs/>
          <w:color w:val="000000"/>
        </w:rPr>
      </w:pPr>
      <w:r>
        <w:rPr>
          <w:rFonts w:cstheme="minorHAnsi"/>
          <w:bCs/>
          <w:color w:val="000000"/>
        </w:rPr>
        <w:t>documentation/evidence</w:t>
      </w:r>
      <w:r w:rsidRPr="00FB25D6">
        <w:rPr>
          <w:rFonts w:cstheme="minorHAnsi"/>
          <w:bCs/>
          <w:color w:val="000000"/>
        </w:rPr>
        <w:t xml:space="preserve"> that the local community has participated in the planning and design of the proposed job </w:t>
      </w:r>
    </w:p>
    <w:p w14:paraId="048EBD48" w14:textId="77777777" w:rsidR="00EB68F0" w:rsidRPr="00181A24" w:rsidRDefault="00494050" w:rsidP="00B75EBB">
      <w:pPr>
        <w:pStyle w:val="Heading3"/>
        <w:ind w:left="1134"/>
      </w:pPr>
      <w:bookmarkStart w:id="77" w:name="_Toc170734127"/>
      <w:r w:rsidRPr="007254DD">
        <w:t>Criterion 3</w:t>
      </w:r>
      <w:r w:rsidR="00EB68F0">
        <w:t>:</w:t>
      </w:r>
      <w:r w:rsidR="00EB68F0" w:rsidRPr="00EB68F0">
        <w:t xml:space="preserve"> </w:t>
      </w:r>
      <w:r w:rsidR="00E779A1">
        <w:t xml:space="preserve">Organisation </w:t>
      </w:r>
      <w:r w:rsidR="00EB68F0" w:rsidRPr="00EB68F0">
        <w:t>Capability</w:t>
      </w:r>
      <w:r w:rsidR="00901E5B">
        <w:t xml:space="preserve"> and Delivery</w:t>
      </w:r>
      <w:r w:rsidR="00052C0D" w:rsidRPr="00EB68F0">
        <w:t xml:space="preserve"> </w:t>
      </w:r>
      <w:r w:rsidR="00B95399" w:rsidRPr="00B95399">
        <w:t>(5 points)</w:t>
      </w:r>
      <w:bookmarkEnd w:id="77"/>
    </w:p>
    <w:p w14:paraId="7300310B" w14:textId="77777777" w:rsidR="00901E5B" w:rsidRDefault="00756BAE" w:rsidP="00901E5B">
      <w:bookmarkStart w:id="78" w:name="_Toc164844283"/>
      <w:bookmarkStart w:id="79" w:name="_Toc383003272"/>
      <w:bookmarkEnd w:id="46"/>
      <w:bookmarkEnd w:id="47"/>
      <w:r>
        <w:rPr>
          <w:rFonts w:cstheme="minorHAnsi"/>
          <w:bCs/>
          <w:color w:val="000000"/>
        </w:rPr>
        <w:t xml:space="preserve">Applicants must demonstrate experience in and/or demonstrate an understating of </w:t>
      </w:r>
      <w:r w:rsidR="00901E5B">
        <w:t>establishing new jobs and</w:t>
      </w:r>
      <w:r w:rsidR="00901E5B" w:rsidRPr="00DE659A">
        <w:t xml:space="preserve"> their ongoing management</w:t>
      </w:r>
      <w:r>
        <w:t xml:space="preserve"> in their organisation</w:t>
      </w:r>
      <w:r w:rsidR="00901E5B">
        <w:t xml:space="preserve">. </w:t>
      </w:r>
    </w:p>
    <w:p w14:paraId="6966748B" w14:textId="77777777" w:rsidR="00901E5B" w:rsidRDefault="00901E5B" w:rsidP="00901E5B">
      <w:pPr>
        <w:rPr>
          <w:rFonts w:cstheme="minorHAnsi"/>
          <w:bCs/>
          <w:color w:val="000000"/>
        </w:rPr>
      </w:pPr>
      <w:r>
        <w:rPr>
          <w:rFonts w:cstheme="minorHAnsi"/>
          <w:bCs/>
          <w:color w:val="000000"/>
        </w:rPr>
        <w:t>In your application:</w:t>
      </w:r>
    </w:p>
    <w:p w14:paraId="1A91FAF3" w14:textId="77777777" w:rsidR="00901E5B" w:rsidRPr="00DE659A" w:rsidRDefault="00901E5B" w:rsidP="00901E5B">
      <w:pPr>
        <w:pStyle w:val="ListBullet"/>
      </w:pPr>
      <w:r>
        <w:t xml:space="preserve">Describe </w:t>
      </w:r>
      <w:r w:rsidRPr="00DE659A">
        <w:t>your organisation</w:t>
      </w:r>
      <w:r w:rsidR="001D2259">
        <w:t>’</w:t>
      </w:r>
      <w:r w:rsidRPr="00DE659A">
        <w:t>s skill</w:t>
      </w:r>
      <w:r w:rsidR="001D2259">
        <w:t>-</w:t>
      </w:r>
      <w:r w:rsidRPr="00DE659A">
        <w:t>set (expertise, authority, interest, influence, governance arrangements and capacity)</w:t>
      </w:r>
      <w:r>
        <w:t xml:space="preserve"> to deliver</w:t>
      </w:r>
      <w:r w:rsidRPr="00DE659A">
        <w:t xml:space="preserve"> high quality employment activities</w:t>
      </w:r>
      <w:r>
        <w:t xml:space="preserve"> and, where required, understanding of appropriate cultural safety and practices.</w:t>
      </w:r>
    </w:p>
    <w:p w14:paraId="6D54F8D1" w14:textId="77777777" w:rsidR="00901E5B" w:rsidRPr="00DE659A" w:rsidRDefault="00901E5B" w:rsidP="00901E5B">
      <w:pPr>
        <w:pStyle w:val="ListBullet"/>
      </w:pPr>
      <w:r w:rsidRPr="00DE659A">
        <w:t xml:space="preserve">Provide examples of your </w:t>
      </w:r>
      <w:r>
        <w:t>successes and/or lessons learned from past experiences.</w:t>
      </w:r>
    </w:p>
    <w:p w14:paraId="6FDA6122" w14:textId="77777777" w:rsidR="00901E5B" w:rsidRDefault="00901E5B" w:rsidP="00901E5B">
      <w:pPr>
        <w:pStyle w:val="ListBullet"/>
      </w:pPr>
      <w:r>
        <w:t>Outline</w:t>
      </w:r>
      <w:r w:rsidRPr="00DE659A">
        <w:t xml:space="preserve"> risks you think may arise and how you plan to mitigate them</w:t>
      </w:r>
      <w:r w:rsidR="00756BAE">
        <w:t>, including ensuring new jobs are occupied for the funded period and re-filling vacancies in a reasonable period of time</w:t>
      </w:r>
      <w:r w:rsidR="001D2259">
        <w:t xml:space="preserve"> and</w:t>
      </w:r>
    </w:p>
    <w:p w14:paraId="27CD5542" w14:textId="77777777" w:rsidR="00901E5B" w:rsidRDefault="00901E5B" w:rsidP="00901E5B">
      <w:pPr>
        <w:pStyle w:val="ListBullet"/>
      </w:pPr>
      <w:r>
        <w:t>State if you hold or can obtain Annual Working with Vulnerable People Statement of Compliant and Annual Work Health and Safety Statement of Compliance</w:t>
      </w:r>
    </w:p>
    <w:p w14:paraId="0B4C7ADB" w14:textId="77777777" w:rsidR="00E779A1" w:rsidRPr="007E2EC0" w:rsidRDefault="00756BAE" w:rsidP="00E779A1">
      <w:pPr>
        <w:tabs>
          <w:tab w:val="left" w:pos="924"/>
          <w:tab w:val="left" w:pos="2773"/>
          <w:tab w:val="left" w:pos="3697"/>
          <w:tab w:val="left" w:pos="4621"/>
          <w:tab w:val="left" w:pos="5545"/>
          <w:tab w:val="left" w:pos="6469"/>
          <w:tab w:val="left" w:pos="7394"/>
          <w:tab w:val="left" w:pos="8318"/>
          <w:tab w:val="right" w:pos="8930"/>
        </w:tabs>
        <w:spacing w:line="22" w:lineRule="atLeast"/>
        <w:rPr>
          <w:rFonts w:cstheme="minorHAnsi"/>
          <w:bCs/>
          <w:color w:val="000000"/>
        </w:rPr>
      </w:pPr>
      <w:r>
        <w:rPr>
          <w:rFonts w:cstheme="minorHAnsi"/>
          <w:bCs/>
          <w:color w:val="000000"/>
        </w:rPr>
        <w:t>Applicants must provide supporting evidence, which</w:t>
      </w:r>
      <w:r w:rsidRPr="007E2EC0">
        <w:rPr>
          <w:rFonts w:cstheme="minorHAnsi"/>
          <w:bCs/>
          <w:color w:val="000000"/>
        </w:rPr>
        <w:t xml:space="preserve"> may include, but is not limited to</w:t>
      </w:r>
      <w:r w:rsidR="00E779A1" w:rsidRPr="007E2EC0">
        <w:rPr>
          <w:rFonts w:cstheme="minorHAnsi"/>
          <w:bCs/>
          <w:color w:val="000000"/>
        </w:rPr>
        <w:t>:</w:t>
      </w:r>
    </w:p>
    <w:p w14:paraId="1011C7AD" w14:textId="77777777" w:rsidR="00E779A1" w:rsidRDefault="00E779A1" w:rsidP="00E779A1">
      <w:pPr>
        <w:pStyle w:val="ListBullet"/>
      </w:pPr>
      <w:r>
        <w:t xml:space="preserve">proposed governance arrangements and how you will manage the </w:t>
      </w:r>
      <w:r w:rsidR="00B67106">
        <w:t>job</w:t>
      </w:r>
      <w:r w:rsidR="008365F6">
        <w:t>, including risks of underspends created by vacancies in the funded positions</w:t>
      </w:r>
    </w:p>
    <w:p w14:paraId="15260075" w14:textId="77777777" w:rsidR="008365F6" w:rsidRDefault="008365F6" w:rsidP="00E779A1">
      <w:pPr>
        <w:pStyle w:val="ListBullet"/>
      </w:pPr>
      <w:r>
        <w:t>how the job will be managed by the organisation, including processes to terminate employment where required</w:t>
      </w:r>
    </w:p>
    <w:p w14:paraId="6DEC3C5A" w14:textId="77777777" w:rsidR="00EB68F0" w:rsidRPr="0098021A" w:rsidRDefault="00644C01" w:rsidP="00EB68F0">
      <w:pPr>
        <w:pStyle w:val="ListBullet"/>
        <w:numPr>
          <w:ilvl w:val="0"/>
          <w:numId w:val="7"/>
        </w:numPr>
      </w:pPr>
      <w:r>
        <w:t>how t</w:t>
      </w:r>
      <w:r w:rsidR="00EB68F0" w:rsidRPr="0098021A">
        <w:t>he risks associated with the proposed activity, including work, health and s</w:t>
      </w:r>
      <w:r w:rsidR="00840A8D">
        <w:t>afety risks, will be managed.</w:t>
      </w:r>
    </w:p>
    <w:p w14:paraId="1AD43D36" w14:textId="77777777" w:rsidR="00E779A1" w:rsidRPr="00E779A1" w:rsidRDefault="00E779A1" w:rsidP="00E779A1">
      <w:pPr>
        <w:pStyle w:val="ListBullet"/>
      </w:pPr>
      <w:r w:rsidRPr="00E779A1">
        <w:t xml:space="preserve">details of any applications for funding </w:t>
      </w:r>
      <w:r w:rsidR="001D2259">
        <w:t xml:space="preserve">for the proposed activity </w:t>
      </w:r>
      <w:r w:rsidRPr="00E779A1">
        <w:t>that are currently awaiting a decision and  the nature of support for example, funding contribution, in kind support, resources and expertise</w:t>
      </w:r>
    </w:p>
    <w:p w14:paraId="5B3D057A" w14:textId="77777777" w:rsidR="005F471A" w:rsidRDefault="005F471A" w:rsidP="00463703">
      <w:pPr>
        <w:pStyle w:val="ListBullet"/>
        <w:numPr>
          <w:ilvl w:val="0"/>
          <w:numId w:val="0"/>
        </w:numPr>
        <w:rPr>
          <w:b/>
          <w:sz w:val="22"/>
          <w:szCs w:val="22"/>
        </w:rPr>
      </w:pPr>
    </w:p>
    <w:p w14:paraId="4F07F063" w14:textId="0DAFCCD5" w:rsidR="00EB68F0" w:rsidRPr="0098021A" w:rsidRDefault="00463703" w:rsidP="00B75EBB">
      <w:pPr>
        <w:pStyle w:val="Heading3"/>
        <w:ind w:left="1134"/>
      </w:pPr>
      <w:bookmarkStart w:id="80" w:name="_Toc170734128"/>
      <w:r w:rsidRPr="00F13334">
        <w:t xml:space="preserve">Criterion 4: </w:t>
      </w:r>
      <w:r w:rsidR="00E779A1" w:rsidRPr="00F13334">
        <w:t>Delivering Outcomes and Economic Benefits to the community (only required for applicants seeking funding from Community Jobs and Business Fund)</w:t>
      </w:r>
      <w:bookmarkEnd w:id="80"/>
    </w:p>
    <w:p w14:paraId="7E9DE259" w14:textId="77777777" w:rsidR="00644C01" w:rsidRDefault="00E779A1" w:rsidP="00E779A1">
      <w:pPr>
        <w:pStyle w:val="ListBullet"/>
        <w:numPr>
          <w:ilvl w:val="0"/>
          <w:numId w:val="0"/>
        </w:numPr>
      </w:pPr>
      <w:r w:rsidRPr="00E779A1">
        <w:t xml:space="preserve">To apply for funding under the </w:t>
      </w:r>
      <w:r w:rsidR="00B67106">
        <w:t>CJBF component</w:t>
      </w:r>
      <w:r w:rsidRPr="00E779A1">
        <w:t xml:space="preserve">, applicants must </w:t>
      </w:r>
      <w:r w:rsidR="00463703">
        <w:t>address</w:t>
      </w:r>
      <w:r w:rsidRPr="00E779A1">
        <w:t xml:space="preserve"> this assessment criteria</w:t>
      </w:r>
      <w:r>
        <w:t xml:space="preserve"> and demonstrate how the funding requested directly links </w:t>
      </w:r>
      <w:r w:rsidR="00303DF4">
        <w:t xml:space="preserve">to their proposed Job creation element activities </w:t>
      </w:r>
      <w:r>
        <w:t xml:space="preserve">and supports the creation of </w:t>
      </w:r>
      <w:r w:rsidR="00303DF4">
        <w:t xml:space="preserve">the </w:t>
      </w:r>
      <w:r>
        <w:t>new job</w:t>
      </w:r>
      <w:r w:rsidR="00303DF4">
        <w:t>/s</w:t>
      </w:r>
      <w:r w:rsidR="00F87B0F">
        <w:t xml:space="preserve"> or the development and retention of an eligible </w:t>
      </w:r>
      <w:r w:rsidR="00F87B0F" w:rsidRPr="00B67106">
        <w:t>employee</w:t>
      </w:r>
      <w:r w:rsidRPr="00B67106">
        <w:t>.</w:t>
      </w:r>
      <w:r>
        <w:t xml:space="preserve"> </w:t>
      </w:r>
    </w:p>
    <w:p w14:paraId="0A016F1D" w14:textId="77777777" w:rsidR="00E779A1" w:rsidRPr="00E779A1" w:rsidRDefault="00756BAE" w:rsidP="00E779A1">
      <w:pPr>
        <w:pStyle w:val="ListBullet"/>
        <w:numPr>
          <w:ilvl w:val="0"/>
          <w:numId w:val="0"/>
        </w:numPr>
      </w:pPr>
      <w:r>
        <w:t>Applicants must describe</w:t>
      </w:r>
      <w:r w:rsidR="00463703">
        <w:t>:</w:t>
      </w:r>
    </w:p>
    <w:p w14:paraId="74106BE5" w14:textId="77777777" w:rsidR="007970A1" w:rsidRDefault="008365F6" w:rsidP="00D82BBE">
      <w:pPr>
        <w:pStyle w:val="ListBullet"/>
      </w:pPr>
      <w:r>
        <w:t xml:space="preserve">the items required and the </w:t>
      </w:r>
      <w:r w:rsidR="007970A1">
        <w:t xml:space="preserve">connection </w:t>
      </w:r>
      <w:r>
        <w:t>to</w:t>
      </w:r>
      <w:r w:rsidR="007970A1">
        <w:t xml:space="preserve"> the</w:t>
      </w:r>
      <w:r w:rsidR="00303DF4">
        <w:t xml:space="preserve"> Job Creation element</w:t>
      </w:r>
      <w:r w:rsidR="007970A1">
        <w:t xml:space="preserve"> job</w:t>
      </w:r>
      <w:r w:rsidR="00303DF4">
        <w:t>/s</w:t>
      </w:r>
      <w:r w:rsidR="007970A1">
        <w:t xml:space="preserve"> being created and employment outcomes</w:t>
      </w:r>
    </w:p>
    <w:p w14:paraId="35083185" w14:textId="77777777" w:rsidR="008365F6" w:rsidRPr="00E779A1" w:rsidRDefault="008365F6" w:rsidP="008365F6">
      <w:pPr>
        <w:pStyle w:val="ListBullet"/>
      </w:pPr>
      <w:r>
        <w:t>how the funding will impact on delivery of the job</w:t>
      </w:r>
      <w:r w:rsidR="00303DF4">
        <w:t>/s and</w:t>
      </w:r>
    </w:p>
    <w:p w14:paraId="16608293" w14:textId="77777777" w:rsidR="00756BAE" w:rsidRDefault="00644C01" w:rsidP="008365F6">
      <w:pPr>
        <w:pStyle w:val="ListBullet"/>
      </w:pPr>
      <w:r>
        <w:t>r</w:t>
      </w:r>
      <w:r w:rsidRPr="00E779A1">
        <w:t>eadiness to commence</w:t>
      </w:r>
      <w:r w:rsidR="00826BB8">
        <w:t xml:space="preserve"> </w:t>
      </w:r>
      <w:r w:rsidRPr="00E779A1">
        <w:t>including</w:t>
      </w:r>
      <w:r w:rsidR="008365F6">
        <w:t>, where relevant, purchasing, hiring,</w:t>
      </w:r>
      <w:r w:rsidRPr="00E779A1">
        <w:t xml:space="preserve"> design</w:t>
      </w:r>
      <w:r w:rsidR="008365F6">
        <w:t>ing or building</w:t>
      </w:r>
    </w:p>
    <w:p w14:paraId="0F7E1147" w14:textId="77777777" w:rsidR="00644C01" w:rsidRPr="00E779A1" w:rsidRDefault="007970A1" w:rsidP="00644C01">
      <w:pPr>
        <w:pStyle w:val="ListBullet"/>
        <w:numPr>
          <w:ilvl w:val="0"/>
          <w:numId w:val="0"/>
        </w:numPr>
      </w:pPr>
      <w:r>
        <w:t>Applicants</w:t>
      </w:r>
      <w:r w:rsidR="00644C01" w:rsidRPr="00E779A1">
        <w:t xml:space="preserve"> must provide </w:t>
      </w:r>
      <w:r>
        <w:t>the following evidence</w:t>
      </w:r>
      <w:r w:rsidR="00644C01" w:rsidRPr="00E779A1">
        <w:t>:</w:t>
      </w:r>
    </w:p>
    <w:p w14:paraId="72699C65" w14:textId="77777777" w:rsidR="00644C01" w:rsidRPr="00E779A1" w:rsidRDefault="00644C01" w:rsidP="00644C01">
      <w:pPr>
        <w:pStyle w:val="ListBullet"/>
      </w:pPr>
      <w:r>
        <w:t>d</w:t>
      </w:r>
      <w:r w:rsidRPr="00E779A1">
        <w:t>etailed budget breakdown of all costs</w:t>
      </w:r>
      <w:r>
        <w:t xml:space="preserve">, including evidence of expected costs that may include, but </w:t>
      </w:r>
      <w:r w:rsidR="00303DF4">
        <w:t xml:space="preserve">are </w:t>
      </w:r>
      <w:r>
        <w:t>not limited to, quotes and invoices</w:t>
      </w:r>
    </w:p>
    <w:p w14:paraId="58A1B318" w14:textId="77777777" w:rsidR="008365F6" w:rsidRPr="00E779A1" w:rsidRDefault="008365F6" w:rsidP="008365F6">
      <w:pPr>
        <w:pStyle w:val="ListBullet"/>
      </w:pPr>
      <w:r>
        <w:t>a full p</w:t>
      </w:r>
      <w:r w:rsidRPr="00E779A1">
        <w:t xml:space="preserve">roject plan </w:t>
      </w:r>
      <w:r>
        <w:t>on how you will manage</w:t>
      </w:r>
      <w:r w:rsidRPr="00E779A1">
        <w:t xml:space="preserve"> the proposed </w:t>
      </w:r>
      <w:r>
        <w:t>activity</w:t>
      </w:r>
      <w:r w:rsidRPr="00E779A1">
        <w:t xml:space="preserve"> including time, risk and budget</w:t>
      </w:r>
      <w:r w:rsidR="00303DF4">
        <w:t xml:space="preserve"> if you are seeking CJBF funding of more than $100,000, and</w:t>
      </w:r>
    </w:p>
    <w:p w14:paraId="4E6088D8" w14:textId="77777777" w:rsidR="007970A1" w:rsidRPr="00E779A1" w:rsidRDefault="00644C01" w:rsidP="008365F6">
      <w:pPr>
        <w:pStyle w:val="ListBullet"/>
      </w:pPr>
      <w:r>
        <w:t>p</w:t>
      </w:r>
      <w:r w:rsidRPr="00E779A1">
        <w:t>rocess</w:t>
      </w:r>
      <w:r>
        <w:t>es</w:t>
      </w:r>
      <w:r w:rsidRPr="00E779A1">
        <w:t xml:space="preserve"> to manage </w:t>
      </w:r>
      <w:r>
        <w:t xml:space="preserve">the funding </w:t>
      </w:r>
      <w:r w:rsidR="007970A1">
        <w:t xml:space="preserve">and items, including creation of </w:t>
      </w:r>
      <w:r w:rsidR="008365F6">
        <w:t xml:space="preserve">asset </w:t>
      </w:r>
      <w:r w:rsidR="007970A1">
        <w:t xml:space="preserve">registers </w:t>
      </w:r>
      <w:r w:rsidR="008365F6">
        <w:t>and safe storage of materials</w:t>
      </w:r>
    </w:p>
    <w:p w14:paraId="686E9A3D" w14:textId="56787E95" w:rsidR="00C347D8" w:rsidRPr="00FD47D5" w:rsidRDefault="00C347D8" w:rsidP="00A4685F">
      <w:pPr>
        <w:pStyle w:val="Heading2"/>
        <w:numPr>
          <w:ilvl w:val="0"/>
          <w:numId w:val="8"/>
        </w:numPr>
      </w:pPr>
      <w:bookmarkStart w:id="81" w:name="_Toc170734129"/>
      <w:r w:rsidRPr="00FD47D5">
        <w:t xml:space="preserve">How to </w:t>
      </w:r>
      <w:r w:rsidR="00C7753F" w:rsidRPr="00FD47D5">
        <w:t>a</w:t>
      </w:r>
      <w:r w:rsidRPr="00FD47D5">
        <w:t>pply</w:t>
      </w:r>
      <w:bookmarkEnd w:id="81"/>
    </w:p>
    <w:p w14:paraId="761FF2D8" w14:textId="77777777" w:rsidR="00CB37FC" w:rsidRPr="00CB37FC" w:rsidRDefault="00B07743" w:rsidP="00CB37FC">
      <w:pPr>
        <w:pStyle w:val="1NumberPointsStyle"/>
        <w:numPr>
          <w:ilvl w:val="0"/>
          <w:numId w:val="0"/>
        </w:numPr>
        <w:spacing w:before="40" w:after="120" w:line="276" w:lineRule="auto"/>
        <w:rPr>
          <w:rFonts w:ascii="Arial" w:hAnsi="Arial"/>
          <w:sz w:val="20"/>
          <w:lang w:eastAsia="en-US"/>
        </w:rPr>
      </w:pPr>
      <w:r>
        <w:rPr>
          <w:rFonts w:ascii="Arial" w:hAnsi="Arial"/>
          <w:sz w:val="20"/>
          <w:lang w:eastAsia="en-US"/>
        </w:rPr>
        <w:t>It is important to note that a</w:t>
      </w:r>
      <w:r w:rsidR="00CB37FC" w:rsidRPr="00CB37FC">
        <w:rPr>
          <w:rFonts w:ascii="Arial" w:hAnsi="Arial"/>
          <w:sz w:val="20"/>
          <w:lang w:eastAsia="en-US"/>
        </w:rPr>
        <w:t xml:space="preserve">ny discussion with the </w:t>
      </w:r>
      <w:r w:rsidR="00FE6C44">
        <w:rPr>
          <w:rFonts w:ascii="Arial" w:hAnsi="Arial"/>
          <w:sz w:val="20"/>
          <w:lang w:eastAsia="en-US"/>
        </w:rPr>
        <w:t>NIAA</w:t>
      </w:r>
      <w:r w:rsidR="00CB37FC" w:rsidRPr="00CB37FC">
        <w:rPr>
          <w:rFonts w:ascii="Arial" w:hAnsi="Arial"/>
          <w:sz w:val="20"/>
          <w:lang w:eastAsia="en-US"/>
        </w:rPr>
        <w:t xml:space="preserve"> about a grant activity or the lodgement of an application form </w:t>
      </w:r>
      <w:r w:rsidR="00CB37FC" w:rsidRPr="00CB37FC">
        <w:rPr>
          <w:rFonts w:ascii="Arial" w:hAnsi="Arial"/>
          <w:b/>
          <w:sz w:val="20"/>
          <w:u w:val="single"/>
          <w:lang w:eastAsia="en-US"/>
        </w:rPr>
        <w:t>does not guarantee that your activity will be funded</w:t>
      </w:r>
      <w:r w:rsidR="00CB37FC" w:rsidRPr="00CB37FC">
        <w:rPr>
          <w:rFonts w:ascii="Arial" w:hAnsi="Arial"/>
          <w:sz w:val="20"/>
          <w:lang w:eastAsia="en-US"/>
        </w:rPr>
        <w:t xml:space="preserve">. </w:t>
      </w:r>
    </w:p>
    <w:p w14:paraId="42B43CC2" w14:textId="77777777" w:rsidR="007C2638" w:rsidRPr="0062154F" w:rsidRDefault="00C347D8" w:rsidP="007C2638">
      <w:r>
        <w:t>Before applying, you</w:t>
      </w:r>
      <w:r w:rsidRPr="00B72EE8">
        <w:t xml:space="preserve"> </w:t>
      </w:r>
      <w:r>
        <w:t>must</w:t>
      </w:r>
      <w:r w:rsidRPr="00B72EE8">
        <w:t xml:space="preserve"> read</w:t>
      </w:r>
      <w:r>
        <w:t xml:space="preserve"> and understand</w:t>
      </w:r>
      <w:r w:rsidRPr="00B72EE8">
        <w:t xml:space="preserve"> these guidelines</w:t>
      </w:r>
      <w:r w:rsidR="0055777A">
        <w:t xml:space="preserve"> and other information available on </w:t>
      </w:r>
      <w:hyperlink r:id="rId41" w:history="1">
        <w:r w:rsidR="0055777A" w:rsidRPr="00452C26">
          <w:rPr>
            <w:rStyle w:val="Hyperlink"/>
          </w:rPr>
          <w:t>GrantConnect</w:t>
        </w:r>
      </w:hyperlink>
      <w:r w:rsidR="0055777A" w:rsidRPr="0062154F">
        <w:t xml:space="preserve">, including a </w:t>
      </w:r>
      <w:r w:rsidR="007C2638" w:rsidRPr="0062154F">
        <w:t>sample application form</w:t>
      </w:r>
      <w:r w:rsidR="00BB2591" w:rsidRPr="0062154F">
        <w:t>, Budget template, FAQs</w:t>
      </w:r>
      <w:r w:rsidR="007C2638" w:rsidRPr="0062154F">
        <w:t xml:space="preserve"> and </w:t>
      </w:r>
      <w:r w:rsidR="0055777A" w:rsidRPr="0062154F">
        <w:t xml:space="preserve">a </w:t>
      </w:r>
      <w:r w:rsidR="007C2638" w:rsidRPr="0062154F">
        <w:t>sample grant agreement.</w:t>
      </w:r>
      <w:r w:rsidR="0055777A" w:rsidRPr="0062154F">
        <w:t xml:space="preserve"> The NIAA may make </w:t>
      </w:r>
      <w:r w:rsidR="0068601B" w:rsidRPr="0062154F">
        <w:t xml:space="preserve">changes </w:t>
      </w:r>
      <w:r w:rsidR="007C2638" w:rsidRPr="0062154F">
        <w:t>and</w:t>
      </w:r>
      <w:r w:rsidR="001D2259">
        <w:t xml:space="preserve"> issue</w:t>
      </w:r>
      <w:r w:rsidR="007C2638" w:rsidRPr="0062154F">
        <w:t xml:space="preserve"> addenda</w:t>
      </w:r>
      <w:r w:rsidR="007C2638" w:rsidRPr="0062154F">
        <w:rPr>
          <w:rStyle w:val="FootnoteReference"/>
        </w:rPr>
        <w:footnoteReference w:id="5"/>
      </w:r>
      <w:r w:rsidR="0068601B" w:rsidRPr="0062154F">
        <w:t xml:space="preserve"> to this grant opportunity</w:t>
      </w:r>
      <w:r w:rsidR="0055777A" w:rsidRPr="0062154F">
        <w:t>. Any changes</w:t>
      </w:r>
      <w:r w:rsidR="007C2638" w:rsidRPr="0062154F">
        <w:t xml:space="preserve"> will be published on </w:t>
      </w:r>
      <w:hyperlink r:id="rId42" w:history="1">
        <w:r w:rsidR="0055777A" w:rsidRPr="0062154F">
          <w:rPr>
            <w:rStyle w:val="Hyperlink"/>
          </w:rPr>
          <w:t>GrantConnect</w:t>
        </w:r>
      </w:hyperlink>
      <w:r w:rsidR="0055777A" w:rsidRPr="0062154F">
        <w:t>,</w:t>
      </w:r>
      <w:r w:rsidR="0068601B" w:rsidRPr="0062154F">
        <w:t xml:space="preserve"> as the authoritative source for grants information. You will be automatically notified of any changes</w:t>
      </w:r>
      <w:r w:rsidR="0068601B" w:rsidRPr="0062154F" w:rsidDel="0068601B">
        <w:t xml:space="preserve"> </w:t>
      </w:r>
      <w:r w:rsidR="0068601B" w:rsidRPr="0062154F">
        <w:t>if you</w:t>
      </w:r>
      <w:r w:rsidR="007C2638" w:rsidRPr="0062154F">
        <w:t xml:space="preserve"> register on </w:t>
      </w:r>
      <w:hyperlink r:id="rId43" w:history="1">
        <w:r w:rsidR="0055777A" w:rsidRPr="0062154F">
          <w:rPr>
            <w:rStyle w:val="Hyperlink"/>
          </w:rPr>
          <w:t>GrantConnect</w:t>
        </w:r>
      </w:hyperlink>
      <w:r w:rsidR="0068601B" w:rsidRPr="0062154F">
        <w:t xml:space="preserve">. </w:t>
      </w:r>
    </w:p>
    <w:p w14:paraId="178BB4B9" w14:textId="77777777" w:rsidR="00C347D8" w:rsidRPr="0062154F" w:rsidRDefault="00C347D8" w:rsidP="00C347D8">
      <w:r w:rsidRPr="0062154F">
        <w:t>To apply you must</w:t>
      </w:r>
      <w:r w:rsidR="00C7753F" w:rsidRPr="0062154F">
        <w:t>:</w:t>
      </w:r>
    </w:p>
    <w:p w14:paraId="65A0D34E" w14:textId="77777777" w:rsidR="000644EE" w:rsidRPr="0062154F" w:rsidRDefault="00C347D8" w:rsidP="003B575D">
      <w:pPr>
        <w:pStyle w:val="ListBullet"/>
      </w:pPr>
      <w:r w:rsidRPr="0062154F">
        <w:t xml:space="preserve">complete the online application form on </w:t>
      </w:r>
      <w:hyperlink r:id="rId44" w:history="1">
        <w:r w:rsidR="0055777A" w:rsidRPr="0062154F">
          <w:rPr>
            <w:rStyle w:val="Hyperlink"/>
          </w:rPr>
          <w:t>GrantConnect</w:t>
        </w:r>
      </w:hyperlink>
      <w:r w:rsidR="00670D60" w:rsidRPr="0062154F">
        <w:t xml:space="preserve"> </w:t>
      </w:r>
    </w:p>
    <w:p w14:paraId="65D736B8" w14:textId="77777777" w:rsidR="00C347D8" w:rsidRPr="0062154F" w:rsidRDefault="00C347D8" w:rsidP="00C347D8">
      <w:pPr>
        <w:pStyle w:val="ListBullet"/>
      </w:pPr>
      <w:r w:rsidRPr="0062154F">
        <w:t>provide all the information requested</w:t>
      </w:r>
    </w:p>
    <w:p w14:paraId="0C5B1374" w14:textId="77777777" w:rsidR="00C347D8" w:rsidRPr="0062154F" w:rsidRDefault="00C347D8" w:rsidP="00C347D8">
      <w:pPr>
        <w:pStyle w:val="ListBullet"/>
      </w:pPr>
      <w:r w:rsidRPr="0062154F">
        <w:t xml:space="preserve">address all eligibility </w:t>
      </w:r>
      <w:r w:rsidR="000644EE" w:rsidRPr="0062154F">
        <w:t xml:space="preserve">criteria </w:t>
      </w:r>
      <w:r w:rsidRPr="0062154F">
        <w:t>and assessment criteria</w:t>
      </w:r>
    </w:p>
    <w:p w14:paraId="1D05FE1E" w14:textId="77777777" w:rsidR="00C347D8" w:rsidRPr="0062154F" w:rsidRDefault="00C347D8" w:rsidP="00C347D8">
      <w:pPr>
        <w:pStyle w:val="ListBullet"/>
      </w:pPr>
      <w:r w:rsidRPr="0062154F">
        <w:t>include all necessary attachments</w:t>
      </w:r>
      <w:r w:rsidR="001D2259">
        <w:t xml:space="preserve"> and</w:t>
      </w:r>
    </w:p>
    <w:p w14:paraId="09F2887D" w14:textId="77777777" w:rsidR="007C2638" w:rsidRPr="0062154F" w:rsidRDefault="007C2638" w:rsidP="00FE416B">
      <w:pPr>
        <w:pStyle w:val="ListBullet"/>
      </w:pPr>
      <w:r w:rsidRPr="0062154F">
        <w:t xml:space="preserve">submit your application/s </w:t>
      </w:r>
      <w:r w:rsidR="0055777A" w:rsidRPr="0062154F">
        <w:t xml:space="preserve">on </w:t>
      </w:r>
      <w:hyperlink r:id="rId45" w:history="1">
        <w:r w:rsidR="0055777A" w:rsidRPr="0062154F">
          <w:rPr>
            <w:rStyle w:val="Hyperlink"/>
          </w:rPr>
          <w:t>GrantConnect</w:t>
        </w:r>
      </w:hyperlink>
      <w:r w:rsidRPr="0062154F">
        <w:t xml:space="preserve"> by </w:t>
      </w:r>
      <w:r w:rsidRPr="008365F6">
        <w:t>closing date</w:t>
      </w:r>
      <w:r w:rsidR="000644EE" w:rsidRPr="008365F6">
        <w:t xml:space="preserve"> and time</w:t>
      </w:r>
      <w:r w:rsidRPr="0062154F">
        <w:t>.</w:t>
      </w:r>
    </w:p>
    <w:p w14:paraId="386AD0BE" w14:textId="77777777" w:rsidR="0055777A" w:rsidRDefault="00CB37FC" w:rsidP="0055777A">
      <w:pPr>
        <w:spacing w:after="0"/>
      </w:pPr>
      <w:r w:rsidRPr="0062154F">
        <w:t xml:space="preserve">A checklist is available at </w:t>
      </w:r>
      <w:r w:rsidRPr="008365F6">
        <w:t xml:space="preserve">Appendix </w:t>
      </w:r>
      <w:r w:rsidR="00031F27" w:rsidRPr="008365F6">
        <w:t>C</w:t>
      </w:r>
      <w:r w:rsidRPr="0062154F">
        <w:t xml:space="preserve"> to </w:t>
      </w:r>
      <w:r w:rsidR="0055777A" w:rsidRPr="0062154F">
        <w:t>help</w:t>
      </w:r>
      <w:r w:rsidRPr="0062154F">
        <w:t xml:space="preserve"> you </w:t>
      </w:r>
      <w:r w:rsidR="0055777A" w:rsidRPr="0062154F">
        <w:t>submit a completed application. You should</w:t>
      </w:r>
      <w:r w:rsidR="0055777A" w:rsidRPr="00B72EE8">
        <w:t xml:space="preserve"> keep a copy of your applica</w:t>
      </w:r>
      <w:r w:rsidR="0055777A">
        <w:t>tion and any supporting documents</w:t>
      </w:r>
      <w:r w:rsidR="0055777A" w:rsidRPr="00B72EE8">
        <w:t xml:space="preserve">. </w:t>
      </w:r>
    </w:p>
    <w:p w14:paraId="74D6DEBD" w14:textId="77777777" w:rsidR="0055777A" w:rsidRDefault="00C347D8" w:rsidP="005E5FB7">
      <w:pPr>
        <w:pStyle w:val="ListBullet"/>
        <w:numPr>
          <w:ilvl w:val="0"/>
          <w:numId w:val="0"/>
        </w:numPr>
      </w:pPr>
      <w:r>
        <w:t>You</w:t>
      </w:r>
      <w:r w:rsidRPr="00B72EE8">
        <w:t xml:space="preserve"> are</w:t>
      </w:r>
      <w:r>
        <w:t xml:space="preserve"> responsible for ensuring that your</w:t>
      </w:r>
      <w:r w:rsidRPr="00B72EE8">
        <w:t xml:space="preserve"> application is complete and accurate.</w:t>
      </w:r>
      <w:r w:rsidR="0055777A" w:rsidRPr="00CB37FC">
        <w:rPr>
          <w:color w:val="FF0000"/>
        </w:rPr>
        <w:t xml:space="preserve"> </w:t>
      </w:r>
      <w:r w:rsidR="0055777A" w:rsidRPr="00780114">
        <w:t xml:space="preserve">You cannot change your application after the closing date and time. </w:t>
      </w:r>
      <w:r w:rsidR="00303DF4">
        <w:t>The Agency</w:t>
      </w:r>
      <w:r w:rsidR="00DC24E8" w:rsidRPr="00DC24E8">
        <w:t xml:space="preserve"> is not able to ask for additional information that should have been provided with the application.</w:t>
      </w:r>
    </w:p>
    <w:p w14:paraId="722BF111" w14:textId="77777777" w:rsidR="0055777A" w:rsidRPr="00B72EE8" w:rsidRDefault="0055777A" w:rsidP="00B07743">
      <w:pPr>
        <w:pStyle w:val="ListBullet"/>
        <w:numPr>
          <w:ilvl w:val="0"/>
          <w:numId w:val="0"/>
        </w:numPr>
      </w:pPr>
      <w:r>
        <w:t xml:space="preserve">If you find an error in your application after submitting it, you should contact us immediately at </w:t>
      </w:r>
      <w:hyperlink r:id="rId46" w:history="1">
        <w:r w:rsidRPr="0055777A">
          <w:rPr>
            <w:rStyle w:val="Hyperlink"/>
            <w:color w:val="auto"/>
          </w:rPr>
          <w:t>IASAMO@niaa.gov.au</w:t>
        </w:r>
      </w:hyperlink>
      <w:r>
        <w:t>. We</w:t>
      </w:r>
      <w:r w:rsidRPr="00780114">
        <w:t xml:space="preserve"> </w:t>
      </w:r>
      <w:r w:rsidRPr="00103A95">
        <w:t>do not have to accept any additional information, nor requests</w:t>
      </w:r>
      <w:r>
        <w:t xml:space="preserve"> from you </w:t>
      </w:r>
      <w:r w:rsidRPr="00B72EE8">
        <w:t xml:space="preserve">to </w:t>
      </w:r>
      <w:r>
        <w:t>correct</w:t>
      </w:r>
      <w:r w:rsidRPr="00B72EE8">
        <w:t xml:space="preserve"> </w:t>
      </w:r>
      <w:r>
        <w:t>your application</w:t>
      </w:r>
      <w:r w:rsidRPr="00B72EE8">
        <w:t xml:space="preserve"> after the closing time.</w:t>
      </w:r>
    </w:p>
    <w:p w14:paraId="1ACC157C" w14:textId="77777777" w:rsidR="0055777A" w:rsidRDefault="006D5009" w:rsidP="00B07743">
      <w:pPr>
        <w:pStyle w:val="ListBullet"/>
        <w:numPr>
          <w:ilvl w:val="0"/>
          <w:numId w:val="0"/>
        </w:numPr>
      </w:pPr>
      <w:r>
        <w:t>W</w:t>
      </w:r>
      <w:r w:rsidR="0055777A">
        <w:t xml:space="preserve">e may ask for clarification or additional information from you that will not change the nature of your application. However, we can refuse to accept any additional information from you that would change your submission after the application closing time. </w:t>
      </w:r>
    </w:p>
    <w:p w14:paraId="2260F6B6" w14:textId="77777777" w:rsidR="00DD159B" w:rsidRDefault="00C347D8" w:rsidP="00B07743">
      <w:pPr>
        <w:pStyle w:val="ListBullet"/>
        <w:numPr>
          <w:ilvl w:val="0"/>
          <w:numId w:val="0"/>
        </w:numPr>
      </w:pPr>
      <w:r w:rsidRPr="00B72EE8">
        <w:t xml:space="preserve">Giving false or </w:t>
      </w:r>
      <w:r w:rsidRPr="005B612C">
        <w:t>misleading</w:t>
      </w:r>
      <w:r w:rsidRPr="00B72EE8">
        <w:t xml:space="preserve"> information</w:t>
      </w:r>
      <w:r w:rsidR="006567FA">
        <w:t xml:space="preserve"> </w:t>
      </w:r>
      <w:r>
        <w:t>is a serious offence under the</w:t>
      </w:r>
      <w:r w:rsidR="0008479B" w:rsidRPr="005E5FB7">
        <w:t xml:space="preserve"> </w:t>
      </w:r>
      <w:hyperlink r:id="rId47" w:history="1">
        <w:r w:rsidR="0008479B" w:rsidRPr="005E5FB7">
          <w:t>Criminal Code 1995</w:t>
        </w:r>
      </w:hyperlink>
      <w:r w:rsidR="0055777A">
        <w:t>. A</w:t>
      </w:r>
      <w:r>
        <w:t>ny false or misleading information</w:t>
      </w:r>
      <w:r w:rsidR="0055777A">
        <w:t xml:space="preserve"> will be investigate</w:t>
      </w:r>
      <w:r w:rsidR="00F73655">
        <w:t>d</w:t>
      </w:r>
      <w:r w:rsidR="0055777A">
        <w:t xml:space="preserve"> </w:t>
      </w:r>
      <w:r>
        <w:t xml:space="preserve">and </w:t>
      </w:r>
      <w:r w:rsidR="00BE551F">
        <w:t>may exclude</w:t>
      </w:r>
      <w:r w:rsidRPr="00B72EE8">
        <w:t xml:space="preserve"> your application from </w:t>
      </w:r>
      <w:r>
        <w:t xml:space="preserve">further </w:t>
      </w:r>
      <w:r w:rsidRPr="00B72EE8">
        <w:t>consideration.</w:t>
      </w:r>
    </w:p>
    <w:p w14:paraId="7CE57496" w14:textId="77777777" w:rsidR="0055777A" w:rsidRPr="0062154F" w:rsidRDefault="0055777A" w:rsidP="005E5FB7">
      <w:pPr>
        <w:pStyle w:val="ListBullet"/>
        <w:numPr>
          <w:ilvl w:val="0"/>
          <w:numId w:val="0"/>
        </w:numPr>
      </w:pPr>
      <w:r>
        <w:t>The NIAA will acknowledge it has received your a</w:t>
      </w:r>
      <w:r w:rsidRPr="00B72EE8">
        <w:t xml:space="preserve">pplication </w:t>
      </w:r>
      <w:r w:rsidRPr="0062154F">
        <w:t xml:space="preserve">within </w:t>
      </w:r>
      <w:r w:rsidR="008E223E" w:rsidRPr="0062154F">
        <w:t>5</w:t>
      </w:r>
      <w:r w:rsidRPr="0062154F">
        <w:t xml:space="preserve"> working days.</w:t>
      </w:r>
    </w:p>
    <w:p w14:paraId="09B6A1D8" w14:textId="77777777" w:rsidR="002E7831" w:rsidRPr="00145A09" w:rsidRDefault="0055777A" w:rsidP="002E7831">
      <w:r w:rsidRPr="0062154F">
        <w:t>The NIAA</w:t>
      </w:r>
      <w:r w:rsidR="002E7831" w:rsidRPr="0062154F">
        <w:t xml:space="preserve"> may ask for additional information to support your application, including</w:t>
      </w:r>
      <w:r w:rsidR="002E7831" w:rsidRPr="002E7831">
        <w:t xml:space="preserve"> information about your entity structure, associated entities and key personnel (e.g. Directors, Chief Executive Officer, Finance Officer, Accountant/Auditor).</w:t>
      </w:r>
    </w:p>
    <w:p w14:paraId="3E6B9EFB" w14:textId="77777777" w:rsidR="0055777A" w:rsidRPr="005E5FB7" w:rsidRDefault="00C347D8" w:rsidP="00514FEF">
      <w:r>
        <w:t xml:space="preserve">If you need further guidance </w:t>
      </w:r>
      <w:r w:rsidR="0055777A">
        <w:t xml:space="preserve">on </w:t>
      </w:r>
      <w:r>
        <w:t xml:space="preserve">the application process </w:t>
      </w:r>
      <w:r w:rsidR="00E50C87">
        <w:t xml:space="preserve">or if you are unable to submit an application online </w:t>
      </w:r>
      <w:r w:rsidR="00E50C87" w:rsidRPr="00F20775">
        <w:t>contact</w:t>
      </w:r>
      <w:r w:rsidR="008909E9" w:rsidRPr="008909E9">
        <w:t xml:space="preserve"> </w:t>
      </w:r>
      <w:r w:rsidR="008909E9">
        <w:t xml:space="preserve">your local </w:t>
      </w:r>
      <w:hyperlink r:id="rId48" w:history="1">
        <w:r w:rsidR="008909E9" w:rsidRPr="002E7831">
          <w:rPr>
            <w:rStyle w:val="Hyperlink"/>
          </w:rPr>
          <w:t>NIAA Regional Office</w:t>
        </w:r>
      </w:hyperlink>
      <w:r w:rsidR="002E7831">
        <w:t>.</w:t>
      </w:r>
      <w:r w:rsidR="00E50C87" w:rsidRPr="00F20775">
        <w:t xml:space="preserve"> </w:t>
      </w:r>
    </w:p>
    <w:p w14:paraId="41BECFE9" w14:textId="77777777" w:rsidR="00DB695B" w:rsidRDefault="00DB695B" w:rsidP="00B75EBB">
      <w:pPr>
        <w:pStyle w:val="Heading3"/>
        <w:ind w:left="1134"/>
      </w:pPr>
      <w:bookmarkStart w:id="82" w:name="_Ref148559344"/>
      <w:bookmarkStart w:id="83" w:name="_Ref148559356"/>
      <w:bookmarkStart w:id="84" w:name="_Ref148559358"/>
      <w:bookmarkStart w:id="85" w:name="_Toc170734130"/>
      <w:r>
        <w:t>Attachments to the application</w:t>
      </w:r>
      <w:bookmarkEnd w:id="82"/>
      <w:bookmarkEnd w:id="83"/>
      <w:bookmarkEnd w:id="84"/>
      <w:bookmarkEnd w:id="85"/>
    </w:p>
    <w:p w14:paraId="503AF77C" w14:textId="77777777" w:rsidR="00DB695B" w:rsidRDefault="00553E57" w:rsidP="00DB695B">
      <w:r>
        <w:t xml:space="preserve">Please ensure </w:t>
      </w:r>
      <w:r w:rsidR="00DB695B">
        <w:t>the</w:t>
      </w:r>
      <w:r w:rsidR="00DB695B" w:rsidRPr="00B72EE8">
        <w:t xml:space="preserve"> following documents </w:t>
      </w:r>
      <w:r>
        <w:t xml:space="preserve">are included </w:t>
      </w:r>
      <w:r w:rsidR="00DB695B" w:rsidRPr="00B72EE8">
        <w:t>with your application:</w:t>
      </w:r>
    </w:p>
    <w:p w14:paraId="013521B9" w14:textId="77777777" w:rsidR="002F59EA" w:rsidRDefault="002F59EA" w:rsidP="002F59EA">
      <w:pPr>
        <w:pStyle w:val="ListBullet"/>
      </w:pPr>
      <w:r>
        <w:t>An itemised budget using the template provided that specifies:</w:t>
      </w:r>
    </w:p>
    <w:p w14:paraId="6E5B693B" w14:textId="77777777" w:rsidR="002F59EA" w:rsidRDefault="002F59EA" w:rsidP="002F59EA">
      <w:pPr>
        <w:pStyle w:val="ListBullet"/>
        <w:numPr>
          <w:ilvl w:val="1"/>
          <w:numId w:val="10"/>
        </w:numPr>
      </w:pPr>
      <w:r>
        <w:t xml:space="preserve">a breakdown of costs and funding for each financial year in which the proposed activity will operate </w:t>
      </w:r>
      <w:r w:rsidR="001D2259">
        <w:t xml:space="preserve"> and</w:t>
      </w:r>
    </w:p>
    <w:p w14:paraId="43E0F106" w14:textId="77777777" w:rsidR="002F59EA" w:rsidRDefault="002F59EA" w:rsidP="002F59EA">
      <w:pPr>
        <w:pStyle w:val="ListBullet"/>
        <w:numPr>
          <w:ilvl w:val="1"/>
          <w:numId w:val="10"/>
        </w:numPr>
      </w:pPr>
      <w:r>
        <w:t>total funding being requested</w:t>
      </w:r>
    </w:p>
    <w:p w14:paraId="278B4A79" w14:textId="77777777" w:rsidR="00D82BBE" w:rsidRDefault="002F59EA" w:rsidP="00E823BA">
      <w:pPr>
        <w:pStyle w:val="ListBullet"/>
        <w:numPr>
          <w:ilvl w:val="1"/>
          <w:numId w:val="10"/>
        </w:numPr>
      </w:pPr>
      <w:r>
        <w:t xml:space="preserve">details of funding from other sources that will contribute to the costs of the activity outlined in the application, </w:t>
      </w:r>
      <w:r w:rsidR="001D2259">
        <w:t>including</w:t>
      </w:r>
      <w:r>
        <w:t xml:space="preserve"> whether the funding is approved</w:t>
      </w:r>
      <w:r w:rsidR="00D82BBE" w:rsidRPr="00D82BBE">
        <w:t xml:space="preserve"> </w:t>
      </w:r>
    </w:p>
    <w:p w14:paraId="25B4CEE3" w14:textId="77777777" w:rsidR="0063440B" w:rsidRDefault="0063440B" w:rsidP="00E823BA">
      <w:pPr>
        <w:pStyle w:val="ListBullet"/>
        <w:numPr>
          <w:ilvl w:val="1"/>
          <w:numId w:val="10"/>
        </w:numPr>
      </w:pPr>
      <w:r>
        <w:t>details of any applications for funding that are currently awaiting a decision and include the nature of the support for example, funding contribution, in kind support, resources and expertise.</w:t>
      </w:r>
    </w:p>
    <w:p w14:paraId="2471A685" w14:textId="77777777" w:rsidR="0063440B" w:rsidRDefault="0063440B" w:rsidP="0063440B">
      <w:pPr>
        <w:pStyle w:val="ListBullet"/>
      </w:pPr>
      <w:r>
        <w:t>A document containing:</w:t>
      </w:r>
    </w:p>
    <w:p w14:paraId="370DFDCE" w14:textId="77777777" w:rsidR="0063440B" w:rsidRDefault="0063440B" w:rsidP="0063440B">
      <w:pPr>
        <w:pStyle w:val="ListBullet"/>
        <w:numPr>
          <w:ilvl w:val="1"/>
          <w:numId w:val="10"/>
        </w:numPr>
      </w:pPr>
      <w:r>
        <w:t>a list of key personnel of the organisation - include Director/s, Chief Executive Officer, Chief Financial Officer and Chief Operating Officer. This should include names and position titles.</w:t>
      </w:r>
    </w:p>
    <w:p w14:paraId="2ECE983C" w14:textId="77777777" w:rsidR="0063440B" w:rsidRDefault="0063440B" w:rsidP="0063440B">
      <w:pPr>
        <w:pStyle w:val="ListBullet"/>
        <w:numPr>
          <w:ilvl w:val="1"/>
          <w:numId w:val="10"/>
        </w:numPr>
      </w:pPr>
      <w:r>
        <w:t>an organisation chart for your organisation</w:t>
      </w:r>
    </w:p>
    <w:p w14:paraId="46B30BD1" w14:textId="77777777" w:rsidR="0063440B" w:rsidRDefault="0063440B" w:rsidP="0063440B">
      <w:pPr>
        <w:pStyle w:val="ListBullet"/>
        <w:numPr>
          <w:ilvl w:val="1"/>
          <w:numId w:val="10"/>
        </w:numPr>
      </w:pPr>
      <w:r>
        <w:t xml:space="preserve">if applicable, a chart of associated entities as defined by s50AAA of the Corporations Act 2001. This should show the relationships between companies, including levels of ownership and control </w:t>
      </w:r>
    </w:p>
    <w:p w14:paraId="5DD9187B" w14:textId="77777777" w:rsidR="00D82BBE" w:rsidRDefault="00D82BBE" w:rsidP="00D82BBE">
      <w:pPr>
        <w:pStyle w:val="ListBullet"/>
        <w:numPr>
          <w:ilvl w:val="1"/>
          <w:numId w:val="10"/>
        </w:numPr>
      </w:pPr>
      <w:r>
        <w:t>e</w:t>
      </w:r>
      <w:r w:rsidRPr="002E7831">
        <w:t>vidence of bank account details, such as a copy of a current bank statement. This must be a bank account in your name and which you control.</w:t>
      </w:r>
    </w:p>
    <w:p w14:paraId="6C8D126E" w14:textId="77777777" w:rsidR="00D82BBE" w:rsidRDefault="00D82BBE" w:rsidP="00D82BBE">
      <w:pPr>
        <w:pStyle w:val="ListBullet"/>
        <w:numPr>
          <w:ilvl w:val="1"/>
          <w:numId w:val="10"/>
        </w:numPr>
      </w:pPr>
      <w:r>
        <w:t xml:space="preserve">accountant declaration </w:t>
      </w:r>
    </w:p>
    <w:p w14:paraId="7B08E770" w14:textId="77777777" w:rsidR="008F0A47" w:rsidRPr="00702BB6" w:rsidRDefault="008F0A47" w:rsidP="0063440B">
      <w:pPr>
        <w:pStyle w:val="ListBullet"/>
      </w:pPr>
      <w:r w:rsidRPr="005E5FB7">
        <w:t>evidence of support from the community/ies where you propose to deliver this activity</w:t>
      </w:r>
      <w:r w:rsidR="001D2259">
        <w:t xml:space="preserve"> and</w:t>
      </w:r>
    </w:p>
    <w:p w14:paraId="1FA3C008" w14:textId="77777777" w:rsidR="00DB695B" w:rsidRPr="008F0A47" w:rsidRDefault="00DB695B" w:rsidP="0063440B">
      <w:pPr>
        <w:pStyle w:val="ListBullet"/>
      </w:pPr>
      <w:r w:rsidRPr="008F0A47">
        <w:t>a project management plan</w:t>
      </w:r>
      <w:r w:rsidR="00553E57">
        <w:t>, using the template provided</w:t>
      </w:r>
    </w:p>
    <w:p w14:paraId="680AAE9F" w14:textId="77777777" w:rsidR="00E024F1" w:rsidRPr="002E7831" w:rsidRDefault="008909E9" w:rsidP="00B07743">
      <w:pPr>
        <w:pStyle w:val="ListBullet"/>
        <w:numPr>
          <w:ilvl w:val="0"/>
          <w:numId w:val="0"/>
        </w:numPr>
        <w:rPr>
          <w:rFonts w:cs="Arial"/>
        </w:rPr>
      </w:pPr>
      <w:r>
        <w:t xml:space="preserve">If you </w:t>
      </w:r>
      <w:r w:rsidRPr="005E5FB7">
        <w:rPr>
          <w:u w:val="single"/>
        </w:rPr>
        <w:t>do not</w:t>
      </w:r>
      <w:r w:rsidRPr="002E7831">
        <w:t xml:space="preserve"> have a current grant agreement with the NIAA or former</w:t>
      </w:r>
      <w:r w:rsidR="00F73655">
        <w:t>ly with</w:t>
      </w:r>
      <w:r w:rsidRPr="002E7831">
        <w:t xml:space="preserve"> Department of the Pr</w:t>
      </w:r>
      <w:r>
        <w:t xml:space="preserve">ime Minister and Cabinet (PM&amp;C) you must also provide </w:t>
      </w:r>
      <w:r w:rsidRPr="002E7831">
        <w:t>the following documentation</w:t>
      </w:r>
      <w:r>
        <w:rPr>
          <w:rFonts w:cs="Arial"/>
        </w:rPr>
        <w:t xml:space="preserve"> (government applicants are exempt from this requirement):</w:t>
      </w:r>
    </w:p>
    <w:p w14:paraId="7CDA010B" w14:textId="77777777" w:rsidR="0063440B" w:rsidRPr="0063440B" w:rsidRDefault="001D2259" w:rsidP="001D2259">
      <w:pPr>
        <w:pStyle w:val="ListBullet"/>
        <w:numPr>
          <w:ilvl w:val="1"/>
          <w:numId w:val="7"/>
        </w:numPr>
      </w:pPr>
      <w:r>
        <w:rPr>
          <w:rFonts w:cs="Arial"/>
        </w:rPr>
        <w:t xml:space="preserve">If </w:t>
      </w:r>
      <w:r w:rsidRPr="00252F06">
        <w:t>you</w:t>
      </w:r>
      <w:r>
        <w:rPr>
          <w:rFonts w:cs="Arial"/>
        </w:rPr>
        <w:t xml:space="preserve"> are</w:t>
      </w:r>
      <w:r w:rsidRPr="002E7831">
        <w:rPr>
          <w:rFonts w:cs="Arial"/>
        </w:rPr>
        <w:t xml:space="preserve"> required by your regulator </w:t>
      </w:r>
      <w:r>
        <w:rPr>
          <w:rFonts w:cs="Arial"/>
        </w:rPr>
        <w:t>to keep financial statements a</w:t>
      </w:r>
      <w:r w:rsidR="0063440B" w:rsidRPr="0063440B">
        <w:t xml:space="preserve"> copy of your most recent financial statements such as an audited financial statement (audited expenditure report), income and expenditure statement, or a balance sheet to inform your Organisation Risk Profile (ORP).</w:t>
      </w:r>
      <w:r w:rsidR="0063440B" w:rsidRPr="0063440B">
        <w:rPr>
          <w:rStyle w:val="FootnoteReference"/>
        </w:rPr>
        <w:footnoteReference w:id="6"/>
      </w:r>
      <w:r w:rsidR="0063440B" w:rsidRPr="0063440B">
        <w:t xml:space="preserve"> </w:t>
      </w:r>
    </w:p>
    <w:p w14:paraId="526709CB" w14:textId="77777777" w:rsidR="0063440B" w:rsidRPr="0063440B" w:rsidRDefault="0063440B" w:rsidP="0063440B">
      <w:pPr>
        <w:pStyle w:val="ListBullet"/>
        <w:numPr>
          <w:ilvl w:val="1"/>
          <w:numId w:val="7"/>
        </w:numPr>
      </w:pPr>
      <w:r w:rsidRPr="0063440B">
        <w:t>A copy of your Certificate of Incorporation where relevant (Organisations registered with Australian Charities and Not-for-profits Commission are exempt from this requirement).</w:t>
      </w:r>
    </w:p>
    <w:p w14:paraId="55EF81E4" w14:textId="77777777" w:rsidR="0063440B" w:rsidRPr="0063440B" w:rsidRDefault="0063440B" w:rsidP="0063440B">
      <w:pPr>
        <w:pStyle w:val="ListBullet"/>
        <w:numPr>
          <w:ilvl w:val="1"/>
          <w:numId w:val="7"/>
        </w:numPr>
      </w:pPr>
      <w:r w:rsidRPr="0063440B">
        <w:t xml:space="preserve">A copy of a completed ATO </w:t>
      </w:r>
      <w:hyperlink r:id="rId49">
        <w:r w:rsidRPr="0063440B">
          <w:t>‘Statement by a supplier (reason for not quoting an ABN to an enterprise)’ form</w:t>
        </w:r>
      </w:hyperlink>
      <w:r w:rsidRPr="0063440B">
        <w:t xml:space="preserve"> if you are not able to quote an ABN.  </w:t>
      </w:r>
    </w:p>
    <w:p w14:paraId="6056FD2A" w14:textId="77777777" w:rsidR="00E024F1" w:rsidRPr="00B07743" w:rsidRDefault="00E024F1" w:rsidP="00B07743">
      <w:pPr>
        <w:pStyle w:val="ListBullet"/>
        <w:numPr>
          <w:ilvl w:val="0"/>
          <w:numId w:val="0"/>
        </w:numPr>
      </w:pPr>
      <w:r w:rsidRPr="00B07743">
        <w:rPr>
          <w:rFonts w:cs="Arial"/>
        </w:rPr>
        <w:t xml:space="preserve">If you are </w:t>
      </w:r>
      <w:r w:rsidRPr="00B07743">
        <w:rPr>
          <w:rFonts w:cs="Arial"/>
          <w:u w:val="single"/>
        </w:rPr>
        <w:t>not</w:t>
      </w:r>
      <w:r w:rsidRPr="00B07743">
        <w:rPr>
          <w:rFonts w:cs="Arial"/>
        </w:rPr>
        <w:t xml:space="preserve"> required by your regulator to keep financial statements, you </w:t>
      </w:r>
      <w:r w:rsidR="009D7E9B" w:rsidRPr="00B07743">
        <w:rPr>
          <w:rFonts w:cs="Arial"/>
        </w:rPr>
        <w:t xml:space="preserve">must </w:t>
      </w:r>
      <w:r w:rsidRPr="00B07743">
        <w:rPr>
          <w:rFonts w:cs="Arial"/>
        </w:rPr>
        <w:t>provide:</w:t>
      </w:r>
    </w:p>
    <w:p w14:paraId="043B1F56" w14:textId="77777777" w:rsidR="00E024F1" w:rsidRPr="00252F06" w:rsidRDefault="00E024F1" w:rsidP="005E5FB7">
      <w:pPr>
        <w:pStyle w:val="ListBullet"/>
        <w:numPr>
          <w:ilvl w:val="1"/>
          <w:numId w:val="10"/>
        </w:numPr>
      </w:pPr>
      <w:r w:rsidRPr="00252F06">
        <w:t>an income and expenditure statement;</w:t>
      </w:r>
    </w:p>
    <w:p w14:paraId="6B2DC902" w14:textId="77777777" w:rsidR="00E024F1" w:rsidRPr="00ED2B99" w:rsidRDefault="00E024F1" w:rsidP="005E5FB7">
      <w:pPr>
        <w:pStyle w:val="ListBullet"/>
        <w:numPr>
          <w:ilvl w:val="1"/>
          <w:numId w:val="10"/>
        </w:numPr>
      </w:pPr>
      <w:r w:rsidRPr="00061AF3">
        <w:t xml:space="preserve">balance sheet; and </w:t>
      </w:r>
    </w:p>
    <w:p w14:paraId="5685365B" w14:textId="77777777" w:rsidR="00E024F1" w:rsidRPr="00767A82" w:rsidRDefault="00E024F1" w:rsidP="005E5FB7">
      <w:pPr>
        <w:pStyle w:val="ListBullet"/>
        <w:numPr>
          <w:ilvl w:val="1"/>
          <w:numId w:val="10"/>
        </w:numPr>
      </w:pPr>
      <w:r w:rsidRPr="00767A82">
        <w:t xml:space="preserve">statement of assets and liabilities. </w:t>
      </w:r>
    </w:p>
    <w:p w14:paraId="4F8318CD" w14:textId="77777777" w:rsidR="00E024F1" w:rsidRPr="002E7831" w:rsidRDefault="00E024F1" w:rsidP="005E5FB7">
      <w:pPr>
        <w:pStyle w:val="ListBullet"/>
        <w:rPr>
          <w:rFonts w:cs="Arial"/>
        </w:rPr>
      </w:pPr>
      <w:r w:rsidRPr="002E7831">
        <w:rPr>
          <w:rFonts w:cs="Arial"/>
        </w:rPr>
        <w:t>A copy of your Certificate of Incorporation</w:t>
      </w:r>
      <w:r w:rsidR="00963214">
        <w:rPr>
          <w:rFonts w:cs="Arial"/>
        </w:rPr>
        <w:t>,</w:t>
      </w:r>
      <w:r w:rsidRPr="002E7831">
        <w:rPr>
          <w:rFonts w:cs="Arial"/>
        </w:rPr>
        <w:t xml:space="preserve"> where relevant</w:t>
      </w:r>
      <w:r w:rsidR="00963214">
        <w:rPr>
          <w:rFonts w:cs="Arial"/>
        </w:rPr>
        <w:t>. O</w:t>
      </w:r>
      <w:r w:rsidRPr="002E7831">
        <w:rPr>
          <w:rFonts w:cs="Arial"/>
        </w:rPr>
        <w:t>rganisations registered with Australian Charities and Not-for-profits Commission are exempt from this requirement.</w:t>
      </w:r>
    </w:p>
    <w:p w14:paraId="735B3ED8" w14:textId="77777777" w:rsidR="008F0A47" w:rsidRPr="00145A09" w:rsidRDefault="008F0A47" w:rsidP="00760EC3">
      <w:pPr>
        <w:pStyle w:val="ListBullet"/>
        <w:numPr>
          <w:ilvl w:val="0"/>
          <w:numId w:val="0"/>
        </w:numPr>
      </w:pPr>
      <w:r w:rsidRPr="00145A09">
        <w:t xml:space="preserve">There is </w:t>
      </w:r>
      <w:r>
        <w:t xml:space="preserve">a size limit of </w:t>
      </w:r>
      <w:r w:rsidRPr="00145A09">
        <w:t>2MB for each attachment</w:t>
      </w:r>
      <w:r>
        <w:t xml:space="preserve"> and a total limit of 10MB for each application</w:t>
      </w:r>
      <w:r w:rsidRPr="00145A09">
        <w:t xml:space="preserve">. </w:t>
      </w:r>
      <w:r>
        <w:t>A</w:t>
      </w:r>
      <w:r w:rsidRPr="00145A09">
        <w:t>ny applications above this limit will not be received</w:t>
      </w:r>
    </w:p>
    <w:p w14:paraId="0E86E486" w14:textId="77777777" w:rsidR="00DB695B" w:rsidRDefault="00DB695B" w:rsidP="008F0A47">
      <w:pPr>
        <w:pStyle w:val="ListBullet"/>
        <w:numPr>
          <w:ilvl w:val="0"/>
          <w:numId w:val="0"/>
        </w:numPr>
      </w:pPr>
      <w:r>
        <w:t>You must attach s</w:t>
      </w:r>
      <w:r w:rsidRPr="00B72EE8">
        <w:t xml:space="preserve">upporting documentation to </w:t>
      </w:r>
      <w:r w:rsidRPr="00797639">
        <w:t>the application form</w:t>
      </w:r>
      <w:r>
        <w:t xml:space="preserve"> in line with the instructions provided within the form. </w:t>
      </w:r>
      <w:r w:rsidR="00D55553">
        <w:t>The NIAA</w:t>
      </w:r>
      <w:r>
        <w:t xml:space="preserve"> will not consider </w:t>
      </w:r>
      <w:r w:rsidR="00D55553">
        <w:t xml:space="preserve">attached </w:t>
      </w:r>
      <w:r>
        <w:t xml:space="preserve">information </w:t>
      </w:r>
      <w:r w:rsidR="00D55553">
        <w:t>that is not requested in the application form.</w:t>
      </w:r>
      <w:r w:rsidR="00D55553" w:rsidDel="00D55553">
        <w:t xml:space="preserve"> </w:t>
      </w:r>
    </w:p>
    <w:p w14:paraId="67F9AC7D" w14:textId="77777777" w:rsidR="00E50C87" w:rsidRDefault="00E50C87" w:rsidP="0073792A">
      <w:pPr>
        <w:pStyle w:val="Heading3"/>
        <w:ind w:left="1134"/>
      </w:pPr>
      <w:bookmarkStart w:id="86" w:name="_Toc170734131"/>
      <w:r>
        <w:t>Joint (consortia) applications</w:t>
      </w:r>
      <w:bookmarkEnd w:id="86"/>
    </w:p>
    <w:p w14:paraId="705B2002" w14:textId="77777777" w:rsidR="007849E6" w:rsidRPr="0062154F" w:rsidRDefault="005A04A3" w:rsidP="00E50C87">
      <w:r w:rsidRPr="0062154F">
        <w:t>S</w:t>
      </w:r>
      <w:r w:rsidR="00E50C87" w:rsidRPr="0062154F">
        <w:t xml:space="preserve">ome organisations </w:t>
      </w:r>
      <w:r w:rsidRPr="0062154F">
        <w:t xml:space="preserve">may decide </w:t>
      </w:r>
      <w:r w:rsidR="00E50C87" w:rsidRPr="0062154F">
        <w:t>to join together as a group to deliver a grant activity. In these circumstances</w:t>
      </w:r>
      <w:r w:rsidRPr="0062154F">
        <w:t>,</w:t>
      </w:r>
      <w:r w:rsidR="00E50C87" w:rsidRPr="0062154F">
        <w:t xml:space="preserve"> </w:t>
      </w:r>
      <w:r w:rsidR="007849E6" w:rsidRPr="0062154F">
        <w:t xml:space="preserve">a </w:t>
      </w:r>
      <w:r w:rsidR="00E50C87" w:rsidRPr="0062154F">
        <w:t>‘lead organisation’</w:t>
      </w:r>
      <w:r w:rsidR="007849E6" w:rsidRPr="0062154F">
        <w:t xml:space="preserve"> must be appointed by the</w:t>
      </w:r>
      <w:r w:rsidRPr="0062154F">
        <w:t xml:space="preserve"> group</w:t>
      </w:r>
      <w:r w:rsidR="00E50C87" w:rsidRPr="0062154F">
        <w:t xml:space="preserve">. </w:t>
      </w:r>
    </w:p>
    <w:p w14:paraId="72E7DC71" w14:textId="77777777" w:rsidR="00A70D3B" w:rsidRPr="0062154F" w:rsidRDefault="00E50C87" w:rsidP="00A70D3B">
      <w:r w:rsidRPr="0062154F">
        <w:t xml:space="preserve">Only the lead organisation can submit the application form and enter into a grant agreement with the Commonwealth. The application must identify all members of the proposed group and include a letter of support from each of </w:t>
      </w:r>
      <w:r w:rsidR="007849E6" w:rsidRPr="0062154F">
        <w:t>organisations</w:t>
      </w:r>
      <w:r w:rsidR="005A04A3" w:rsidRPr="0062154F">
        <w:t xml:space="preserve"> included in the group</w:t>
      </w:r>
      <w:r w:rsidRPr="0062154F">
        <w:t xml:space="preserve">. </w:t>
      </w:r>
      <w:r w:rsidR="00A70D3B" w:rsidRPr="0062154F">
        <w:t xml:space="preserve">If your application is successful, a formal arrangement between all parties in the joint consortia must be place with prior to execution of a grant agreement. </w:t>
      </w:r>
    </w:p>
    <w:p w14:paraId="4400D4A9" w14:textId="77777777" w:rsidR="00E50C87" w:rsidRPr="0062154F" w:rsidRDefault="00E50C87" w:rsidP="00E50C87">
      <w:r w:rsidRPr="0062154F">
        <w:t xml:space="preserve">Each letter of support </w:t>
      </w:r>
      <w:r w:rsidR="005A04A3" w:rsidRPr="0062154F">
        <w:t xml:space="preserve">from </w:t>
      </w:r>
      <w:r w:rsidR="00A70D3B" w:rsidRPr="0062154F">
        <w:t xml:space="preserve">an organisation in the </w:t>
      </w:r>
      <w:r w:rsidR="005A04A3" w:rsidRPr="0062154F">
        <w:t xml:space="preserve">group </w:t>
      </w:r>
      <w:r w:rsidRPr="0062154F">
        <w:t>should include:</w:t>
      </w:r>
    </w:p>
    <w:p w14:paraId="6EEB29BD" w14:textId="77777777" w:rsidR="005A04A3" w:rsidRPr="0062154F" w:rsidRDefault="00E50C87" w:rsidP="00E50C87">
      <w:pPr>
        <w:pStyle w:val="ListBullet"/>
      </w:pPr>
      <w:r w:rsidRPr="0062154F">
        <w:t xml:space="preserve">details of </w:t>
      </w:r>
      <w:r w:rsidR="005A04A3" w:rsidRPr="0062154F">
        <w:t xml:space="preserve">the </w:t>
      </w:r>
      <w:r w:rsidRPr="0062154F">
        <w:t>organisation</w:t>
      </w:r>
      <w:r w:rsidR="008F0A47" w:rsidRPr="0062154F">
        <w:t xml:space="preserve"> </w:t>
      </w:r>
    </w:p>
    <w:p w14:paraId="4EAD2967" w14:textId="77777777" w:rsidR="00E50C87" w:rsidRPr="0062154F" w:rsidRDefault="008F0A47" w:rsidP="00E50C87">
      <w:pPr>
        <w:pStyle w:val="ListBullet"/>
      </w:pPr>
      <w:r w:rsidRPr="0062154F">
        <w:t xml:space="preserve">percentage of </w:t>
      </w:r>
      <w:r w:rsidR="006A2A76" w:rsidRPr="0062154F">
        <w:t>First Nations</w:t>
      </w:r>
      <w:r w:rsidRPr="0062154F">
        <w:t xml:space="preserve"> ownership, control and/or management</w:t>
      </w:r>
      <w:r w:rsidR="00A70D3B" w:rsidRPr="0062154F">
        <w:t xml:space="preserve"> (refer to the glossary for definitions of these)</w:t>
      </w:r>
      <w:r w:rsidRPr="0062154F">
        <w:t>.</w:t>
      </w:r>
    </w:p>
    <w:p w14:paraId="641A2411" w14:textId="77777777" w:rsidR="00E50C87" w:rsidRPr="0062154F" w:rsidRDefault="00E50C87" w:rsidP="00E50C87">
      <w:pPr>
        <w:pStyle w:val="ListBullet"/>
      </w:pPr>
      <w:r w:rsidRPr="0062154F">
        <w:t xml:space="preserve">overview of how </w:t>
      </w:r>
      <w:r w:rsidR="00A70D3B" w:rsidRPr="0062154F">
        <w:t>the</w:t>
      </w:r>
      <w:r w:rsidR="005A04A3" w:rsidRPr="0062154F">
        <w:t xml:space="preserve"> </w:t>
      </w:r>
      <w:r w:rsidRPr="0062154F">
        <w:t xml:space="preserve">organisation will work with the lead organisation and any other organisations in the group to successfully complete the </w:t>
      </w:r>
      <w:r w:rsidR="00977C5E" w:rsidRPr="0062154F">
        <w:t>grant activity</w:t>
      </w:r>
      <w:r w:rsidRPr="0062154F">
        <w:t>.</w:t>
      </w:r>
    </w:p>
    <w:p w14:paraId="59E67D3C" w14:textId="77777777" w:rsidR="00E50C87" w:rsidRPr="0062154F" w:rsidRDefault="00E50C87" w:rsidP="00E50C87">
      <w:pPr>
        <w:pStyle w:val="ListBullet"/>
      </w:pPr>
      <w:r w:rsidRPr="0062154F">
        <w:t>relevant experience and/or expertise the organisation will bring to the group</w:t>
      </w:r>
    </w:p>
    <w:p w14:paraId="7A5F5790" w14:textId="77777777" w:rsidR="00E50C87" w:rsidRPr="00103A95" w:rsidRDefault="00E50C87" w:rsidP="00E50C87">
      <w:pPr>
        <w:pStyle w:val="ListBullet"/>
      </w:pPr>
      <w:r w:rsidRPr="00103A95">
        <w:t xml:space="preserve">roles/responsibilities of </w:t>
      </w:r>
      <w:r>
        <w:t>the organisation</w:t>
      </w:r>
      <w:r w:rsidRPr="00103A95">
        <w:t xml:space="preserve"> and the resources they will contribute (if any)</w:t>
      </w:r>
    </w:p>
    <w:p w14:paraId="36AF1750" w14:textId="77777777" w:rsidR="00E50C87" w:rsidRPr="00103A95" w:rsidRDefault="00E50C87" w:rsidP="00E50C87">
      <w:pPr>
        <w:pStyle w:val="ListBullet"/>
      </w:pPr>
      <w:r w:rsidRPr="00103A95">
        <w:t>a nominated management level contact officer</w:t>
      </w:r>
      <w:r w:rsidR="008F0A47">
        <w:t xml:space="preserve"> </w:t>
      </w:r>
      <w:r w:rsidR="00A70D3B">
        <w:t xml:space="preserve">for the </w:t>
      </w:r>
      <w:r w:rsidR="008F0A47">
        <w:t>organisation</w:t>
      </w:r>
      <w:r>
        <w:t>.</w:t>
      </w:r>
    </w:p>
    <w:p w14:paraId="761E3665" w14:textId="77777777" w:rsidR="008F0A47" w:rsidRDefault="008F0A47" w:rsidP="0073792A">
      <w:pPr>
        <w:pStyle w:val="Heading3"/>
        <w:ind w:left="1134"/>
      </w:pPr>
      <w:bookmarkStart w:id="87" w:name="_Toc170734132"/>
      <w:r>
        <w:t>Trust applications</w:t>
      </w:r>
      <w:bookmarkEnd w:id="87"/>
      <w:r>
        <w:t xml:space="preserve"> </w:t>
      </w:r>
    </w:p>
    <w:p w14:paraId="0019B4D6" w14:textId="77777777" w:rsidR="008F0A47" w:rsidRDefault="008F0A47" w:rsidP="008F0A47">
      <w:r>
        <w:t>For applications made on behalf of a Trust, the application must be made in the name of the Trustee as listed in the Trust Deed. For example, if ABC Trust has a Trustee listed in the Trust Deed as XYZ Pty Ltd, then the application must be made in the name of XYZ Pty Ltd as Trustee for ABC Trust.</w:t>
      </w:r>
    </w:p>
    <w:p w14:paraId="753B17D5" w14:textId="77777777" w:rsidR="008F0A47" w:rsidRPr="008F0A47" w:rsidRDefault="00C37A56" w:rsidP="00760EC3">
      <w:r>
        <w:t>The NIAA may request additional information in order to consider your application. This could include a c</w:t>
      </w:r>
      <w:r w:rsidR="008F0A47">
        <w:t>opy of the Trust Deed</w:t>
      </w:r>
      <w:r>
        <w:t xml:space="preserve"> (</w:t>
      </w:r>
      <w:r w:rsidR="008F0A47">
        <w:t xml:space="preserve">in force at the time </w:t>
      </w:r>
      <w:r>
        <w:t>of</w:t>
      </w:r>
      <w:r w:rsidR="008F0A47">
        <w:t xml:space="preserve"> application</w:t>
      </w:r>
      <w:r>
        <w:t>) and other information (including financial information) on the trust and the corporate trustee.</w:t>
      </w:r>
    </w:p>
    <w:p w14:paraId="770E3904" w14:textId="77777777" w:rsidR="00C347D8" w:rsidRDefault="00C347D8" w:rsidP="0073792A">
      <w:pPr>
        <w:pStyle w:val="Heading3"/>
        <w:ind w:left="1134"/>
      </w:pPr>
      <w:bookmarkStart w:id="88" w:name="_Toc170734133"/>
      <w:r>
        <w:t xml:space="preserve">Timing of grant opportunity </w:t>
      </w:r>
      <w:r w:rsidR="00635ACF">
        <w:t>processes</w:t>
      </w:r>
      <w:bookmarkEnd w:id="88"/>
    </w:p>
    <w:p w14:paraId="77AE58FE" w14:textId="77777777" w:rsidR="000A4D8A" w:rsidRDefault="00C347D8" w:rsidP="005E5FB7">
      <w:pPr>
        <w:spacing w:after="80"/>
      </w:pPr>
      <w:r>
        <w:t xml:space="preserve">You </w:t>
      </w:r>
      <w:r w:rsidR="00311CBF">
        <w:t>must</w:t>
      </w:r>
      <w:r>
        <w:t xml:space="preserve"> submit an application between the published opening and closing dates. </w:t>
      </w:r>
      <w:r w:rsidR="003A3F65">
        <w:t>L</w:t>
      </w:r>
      <w:r>
        <w:t>ate applications</w:t>
      </w:r>
      <w:r w:rsidR="003A3F65">
        <w:t xml:space="preserve"> </w:t>
      </w:r>
      <w:r w:rsidR="00D82BBE">
        <w:t>may be</w:t>
      </w:r>
      <w:r w:rsidR="003A3F65">
        <w:t xml:space="preserve"> accepted</w:t>
      </w:r>
      <w:r w:rsidR="00D82BBE">
        <w:t xml:space="preserve"> if extenuating circumstances exist and at the discretion of the Program Delegate</w:t>
      </w:r>
      <w:r>
        <w:t xml:space="preserve">. </w:t>
      </w:r>
    </w:p>
    <w:p w14:paraId="769902EE" w14:textId="77777777" w:rsidR="00C347D8" w:rsidRPr="0062154F" w:rsidRDefault="00C347D8" w:rsidP="005E5FB7">
      <w:pPr>
        <w:spacing w:after="80"/>
      </w:pPr>
      <w:r>
        <w:t>If you are successful</w:t>
      </w:r>
      <w:r w:rsidR="00DB695B">
        <w:t xml:space="preserve">, </w:t>
      </w:r>
      <w:r>
        <w:t xml:space="preserve">we expect you will be able to commence </w:t>
      </w:r>
      <w:r w:rsidRPr="0062154F">
        <w:t xml:space="preserve">your </w:t>
      </w:r>
      <w:r w:rsidRPr="002F59EA">
        <w:t xml:space="preserve">grant activity around </w:t>
      </w:r>
      <w:r w:rsidR="00D82BBE">
        <w:t>TBC</w:t>
      </w:r>
      <w:r w:rsidRPr="002F59EA">
        <w:t>.</w:t>
      </w:r>
      <w:r w:rsidRPr="0062154F">
        <w:t xml:space="preserve">  </w:t>
      </w:r>
    </w:p>
    <w:p w14:paraId="67124BA3" w14:textId="77777777" w:rsidR="00C347D8" w:rsidRPr="0062154F" w:rsidRDefault="00C347D8" w:rsidP="005E5FB7">
      <w:pPr>
        <w:pStyle w:val="Caption"/>
        <w:keepNext/>
        <w:spacing w:before="40" w:after="80"/>
      </w:pPr>
      <w:r w:rsidRPr="0062154F">
        <w:rPr>
          <w:bCs/>
        </w:rPr>
        <w:t>Table 1: Expected timing for this grant opportunity</w:t>
      </w:r>
      <w:r w:rsidRPr="0062154F">
        <w:t xml:space="preserve"> </w:t>
      </w:r>
    </w:p>
    <w:tbl>
      <w:tblPr>
        <w:tblStyle w:val="TableGridLight"/>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Caption w:val="Expected timing for this grant opportunity"/>
      </w:tblPr>
      <w:tblGrid>
        <w:gridCol w:w="4815"/>
        <w:gridCol w:w="3974"/>
      </w:tblGrid>
      <w:tr w:rsidR="004C7C09" w:rsidRPr="004C7C09" w14:paraId="4901C916" w14:textId="77777777" w:rsidTr="004C7C09">
        <w:trPr>
          <w:cantSplit/>
          <w:tblHeader/>
        </w:trPr>
        <w:tc>
          <w:tcPr>
            <w:tcW w:w="4815" w:type="dxa"/>
            <w:shd w:val="clear" w:color="auto" w:fill="B8CCE4" w:themeFill="accent1" w:themeFillTint="66"/>
          </w:tcPr>
          <w:p w14:paraId="43EC8AB3" w14:textId="77777777" w:rsidR="00C347D8" w:rsidRPr="004C7C09" w:rsidRDefault="00C347D8" w:rsidP="00713647">
            <w:pPr>
              <w:pStyle w:val="TableHeadingNumbered"/>
              <w:spacing w:before="40" w:after="80"/>
              <w:rPr>
                <w:b/>
                <w:color w:val="auto"/>
              </w:rPr>
            </w:pPr>
            <w:r w:rsidRPr="004C7C09">
              <w:rPr>
                <w:b/>
                <w:color w:val="auto"/>
              </w:rPr>
              <w:t>Activity</w:t>
            </w:r>
          </w:p>
        </w:tc>
        <w:tc>
          <w:tcPr>
            <w:tcW w:w="3974" w:type="dxa"/>
            <w:shd w:val="clear" w:color="auto" w:fill="B8CCE4" w:themeFill="accent1" w:themeFillTint="66"/>
          </w:tcPr>
          <w:p w14:paraId="6491D0BD" w14:textId="77777777" w:rsidR="00C347D8" w:rsidRPr="004C7C09" w:rsidRDefault="00C347D8" w:rsidP="00713647">
            <w:pPr>
              <w:pStyle w:val="TableHeadingNumbered"/>
              <w:spacing w:before="40" w:after="80"/>
              <w:rPr>
                <w:b/>
                <w:color w:val="auto"/>
              </w:rPr>
            </w:pPr>
            <w:r w:rsidRPr="004C7C09">
              <w:rPr>
                <w:b/>
                <w:color w:val="auto"/>
              </w:rPr>
              <w:t>Timeframe</w:t>
            </w:r>
          </w:p>
        </w:tc>
      </w:tr>
      <w:tr w:rsidR="002F59EA" w:rsidRPr="0062154F" w14:paraId="260E8C2B" w14:textId="77777777" w:rsidTr="004C7C09">
        <w:trPr>
          <w:cantSplit/>
        </w:trPr>
        <w:tc>
          <w:tcPr>
            <w:tcW w:w="4815" w:type="dxa"/>
          </w:tcPr>
          <w:p w14:paraId="648C3671" w14:textId="77777777" w:rsidR="002F59EA" w:rsidRPr="0062154F" w:rsidRDefault="002F59EA" w:rsidP="002F59EA">
            <w:pPr>
              <w:pStyle w:val="TableText"/>
              <w:spacing w:before="40" w:after="80"/>
            </w:pPr>
            <w:r w:rsidRPr="0062154F">
              <w:t>Assessment of applications</w:t>
            </w:r>
          </w:p>
        </w:tc>
        <w:tc>
          <w:tcPr>
            <w:tcW w:w="3974" w:type="dxa"/>
          </w:tcPr>
          <w:p w14:paraId="72118B01" w14:textId="77777777" w:rsidR="002F59EA" w:rsidRPr="002F59EA" w:rsidRDefault="002F59EA" w:rsidP="002F59EA">
            <w:pPr>
              <w:pStyle w:val="TableText"/>
              <w:spacing w:before="40" w:after="80"/>
            </w:pPr>
            <w:r w:rsidRPr="002F59EA">
              <w:t>4 weeks</w:t>
            </w:r>
          </w:p>
        </w:tc>
      </w:tr>
      <w:tr w:rsidR="002F59EA" w:rsidRPr="0062154F" w14:paraId="6A448AB1" w14:textId="77777777" w:rsidTr="004C7C09">
        <w:trPr>
          <w:cantSplit/>
        </w:trPr>
        <w:tc>
          <w:tcPr>
            <w:tcW w:w="4815" w:type="dxa"/>
          </w:tcPr>
          <w:p w14:paraId="17240931" w14:textId="77777777" w:rsidR="002F59EA" w:rsidRPr="0062154F" w:rsidRDefault="002F59EA" w:rsidP="002F59EA">
            <w:pPr>
              <w:pStyle w:val="TableText"/>
              <w:spacing w:before="40" w:after="80"/>
            </w:pPr>
            <w:r w:rsidRPr="0062154F">
              <w:t>Approval of outcomes of selection process</w:t>
            </w:r>
          </w:p>
        </w:tc>
        <w:tc>
          <w:tcPr>
            <w:tcW w:w="3974" w:type="dxa"/>
          </w:tcPr>
          <w:p w14:paraId="5C815FC9" w14:textId="77777777" w:rsidR="002F59EA" w:rsidRPr="002F59EA" w:rsidRDefault="002F59EA" w:rsidP="002F59EA">
            <w:pPr>
              <w:pStyle w:val="TableText"/>
              <w:spacing w:before="40" w:after="80"/>
            </w:pPr>
            <w:r w:rsidRPr="002F59EA">
              <w:t>2</w:t>
            </w:r>
            <w:r>
              <w:t xml:space="preserve"> weeks</w:t>
            </w:r>
          </w:p>
        </w:tc>
      </w:tr>
      <w:tr w:rsidR="002F59EA" w:rsidRPr="0062154F" w14:paraId="5DA18F0B" w14:textId="77777777" w:rsidTr="004C7C09">
        <w:trPr>
          <w:cantSplit/>
        </w:trPr>
        <w:tc>
          <w:tcPr>
            <w:tcW w:w="4815" w:type="dxa"/>
          </w:tcPr>
          <w:p w14:paraId="62899EFC" w14:textId="77777777" w:rsidR="002F59EA" w:rsidRPr="0062154F" w:rsidRDefault="002F59EA" w:rsidP="002F59EA">
            <w:pPr>
              <w:pStyle w:val="TableText"/>
              <w:spacing w:before="40" w:after="80"/>
            </w:pPr>
            <w:r w:rsidRPr="0062154F">
              <w:t>Negotiations and award of grant agreements</w:t>
            </w:r>
          </w:p>
        </w:tc>
        <w:tc>
          <w:tcPr>
            <w:tcW w:w="3974" w:type="dxa"/>
          </w:tcPr>
          <w:p w14:paraId="54A51EF5" w14:textId="77777777" w:rsidR="002F59EA" w:rsidRPr="002F59EA" w:rsidRDefault="002F59EA" w:rsidP="002F59EA">
            <w:pPr>
              <w:pStyle w:val="TableText"/>
              <w:spacing w:before="40" w:after="80"/>
            </w:pPr>
            <w:r>
              <w:t>2</w:t>
            </w:r>
            <w:r w:rsidRPr="002F59EA">
              <w:t>-6</w:t>
            </w:r>
            <w:r>
              <w:t xml:space="preserve"> weeks</w:t>
            </w:r>
          </w:p>
        </w:tc>
      </w:tr>
      <w:tr w:rsidR="002F59EA" w:rsidRPr="0062154F" w14:paraId="0C7E7F51" w14:textId="77777777" w:rsidTr="004C7C09">
        <w:trPr>
          <w:cantSplit/>
        </w:trPr>
        <w:tc>
          <w:tcPr>
            <w:tcW w:w="4815" w:type="dxa"/>
          </w:tcPr>
          <w:p w14:paraId="19F9845F" w14:textId="77777777" w:rsidR="002F59EA" w:rsidRPr="0062154F" w:rsidRDefault="002F59EA" w:rsidP="002F59EA">
            <w:pPr>
              <w:pStyle w:val="TableText"/>
              <w:spacing w:before="40" w:after="80"/>
            </w:pPr>
            <w:r w:rsidRPr="0062154F">
              <w:t>Notification to unsuccessful applicants</w:t>
            </w:r>
          </w:p>
        </w:tc>
        <w:tc>
          <w:tcPr>
            <w:tcW w:w="3974" w:type="dxa"/>
          </w:tcPr>
          <w:p w14:paraId="1457EF28" w14:textId="77777777" w:rsidR="002F59EA" w:rsidRPr="002F59EA" w:rsidRDefault="002F59EA" w:rsidP="002F59EA">
            <w:pPr>
              <w:pStyle w:val="TableText"/>
              <w:spacing w:before="40" w:after="80"/>
            </w:pPr>
            <w:r w:rsidRPr="002F59EA">
              <w:t>2</w:t>
            </w:r>
            <w:r>
              <w:t xml:space="preserve"> weeks</w:t>
            </w:r>
          </w:p>
        </w:tc>
      </w:tr>
      <w:tr w:rsidR="002F59EA" w:rsidRPr="0062154F" w14:paraId="2A8D954E" w14:textId="77777777" w:rsidTr="004C7C09">
        <w:trPr>
          <w:cantSplit/>
        </w:trPr>
        <w:tc>
          <w:tcPr>
            <w:tcW w:w="4815" w:type="dxa"/>
          </w:tcPr>
          <w:p w14:paraId="6BE6F93A" w14:textId="77777777" w:rsidR="002F59EA" w:rsidRPr="0062154F" w:rsidRDefault="00D82BBE" w:rsidP="002F59EA">
            <w:pPr>
              <w:pStyle w:val="TableText"/>
              <w:spacing w:before="40" w:after="80"/>
            </w:pPr>
            <w:r>
              <w:t xml:space="preserve">Earliest start date of </w:t>
            </w:r>
            <w:r w:rsidR="002F59EA" w:rsidRPr="0062154F">
              <w:t>grant activity</w:t>
            </w:r>
          </w:p>
        </w:tc>
        <w:tc>
          <w:tcPr>
            <w:tcW w:w="3974" w:type="dxa"/>
          </w:tcPr>
          <w:p w14:paraId="16F405C2" w14:textId="77777777" w:rsidR="002F59EA" w:rsidRPr="002F59EA" w:rsidRDefault="002F59EA" w:rsidP="002F59EA">
            <w:pPr>
              <w:pStyle w:val="TableText"/>
              <w:spacing w:before="40" w:after="80"/>
            </w:pPr>
            <w:r w:rsidRPr="002F59EA">
              <w:rPr>
                <w:iCs w:val="0"/>
              </w:rPr>
              <w:t>TBC</w:t>
            </w:r>
          </w:p>
        </w:tc>
      </w:tr>
      <w:tr w:rsidR="00C347D8" w:rsidRPr="0062154F" w14:paraId="5B6CE9E7" w14:textId="77777777" w:rsidTr="004C7C09">
        <w:trPr>
          <w:cantSplit/>
        </w:trPr>
        <w:tc>
          <w:tcPr>
            <w:tcW w:w="4815" w:type="dxa"/>
          </w:tcPr>
          <w:p w14:paraId="14A5A329" w14:textId="77777777" w:rsidR="00C347D8" w:rsidRPr="0062154F" w:rsidRDefault="00C347D8" w:rsidP="002F59EA">
            <w:pPr>
              <w:pStyle w:val="TableText"/>
              <w:spacing w:before="40" w:after="80"/>
            </w:pPr>
            <w:r w:rsidRPr="0062154F">
              <w:t xml:space="preserve">End date of </w:t>
            </w:r>
            <w:r w:rsidR="00C27561" w:rsidRPr="0062154F">
              <w:t xml:space="preserve">grant </w:t>
            </w:r>
            <w:r w:rsidR="00AB177E" w:rsidRPr="0062154F">
              <w:t xml:space="preserve">activity  </w:t>
            </w:r>
          </w:p>
        </w:tc>
        <w:tc>
          <w:tcPr>
            <w:tcW w:w="3974" w:type="dxa"/>
          </w:tcPr>
          <w:p w14:paraId="31711CDC" w14:textId="77777777" w:rsidR="00C347D8" w:rsidRPr="002F59EA" w:rsidRDefault="002F59EA" w:rsidP="002F59EA">
            <w:pPr>
              <w:pStyle w:val="TableText"/>
              <w:spacing w:before="40" w:after="80"/>
            </w:pPr>
            <w:r w:rsidRPr="002F59EA">
              <w:rPr>
                <w:iCs w:val="0"/>
              </w:rPr>
              <w:t>As specified in your grant agreement</w:t>
            </w:r>
          </w:p>
        </w:tc>
      </w:tr>
    </w:tbl>
    <w:p w14:paraId="7C5635C8" w14:textId="77777777" w:rsidR="008778C3" w:rsidRDefault="008778C3" w:rsidP="0073792A">
      <w:pPr>
        <w:pStyle w:val="Heading3"/>
        <w:ind w:left="1134"/>
      </w:pPr>
      <w:bookmarkStart w:id="89" w:name="_Toc170734134"/>
      <w:r w:rsidRPr="00181A24">
        <w:t>Questions during the application process</w:t>
      </w:r>
      <w:bookmarkEnd w:id="89"/>
    </w:p>
    <w:p w14:paraId="125A24F5" w14:textId="77777777" w:rsidR="008778C3" w:rsidRPr="0062154F" w:rsidRDefault="008778C3" w:rsidP="005E5FB7">
      <w:pPr>
        <w:spacing w:after="80"/>
      </w:pPr>
      <w:r w:rsidRPr="0062154F">
        <w:t xml:space="preserve">If you have any questions during the application period, contact </w:t>
      </w:r>
      <w:r w:rsidR="005B1C20" w:rsidRPr="0062154F">
        <w:t xml:space="preserve">your local </w:t>
      </w:r>
      <w:hyperlink r:id="rId50" w:history="1">
        <w:r w:rsidR="005B1C20" w:rsidRPr="0062154F">
          <w:rPr>
            <w:rStyle w:val="Hyperlink"/>
          </w:rPr>
          <w:t>NIAA Regional Office</w:t>
        </w:r>
      </w:hyperlink>
      <w:r w:rsidR="005B1C20" w:rsidRPr="0062154F">
        <w:t xml:space="preserve">. </w:t>
      </w:r>
    </w:p>
    <w:p w14:paraId="274882AD" w14:textId="77777777" w:rsidR="0023410E" w:rsidRDefault="008778C3" w:rsidP="008778C3">
      <w:r w:rsidRPr="0062154F">
        <w:t xml:space="preserve">The </w:t>
      </w:r>
      <w:r w:rsidR="005B1C20" w:rsidRPr="0062154F">
        <w:t>NIAA</w:t>
      </w:r>
      <w:r w:rsidRPr="0062154F">
        <w:t xml:space="preserve"> will respond to emailed questions within three working days</w:t>
      </w:r>
      <w:r w:rsidRPr="00BF29D1">
        <w:t>.</w:t>
      </w:r>
      <w:r w:rsidR="002F59EA">
        <w:t xml:space="preserve"> </w:t>
      </w:r>
      <w:r w:rsidRPr="00BF29D1">
        <w:t xml:space="preserve">Answers to questions will be posted on </w:t>
      </w:r>
      <w:hyperlink r:id="rId51" w:history="1">
        <w:r w:rsidRPr="00BF29D1">
          <w:rPr>
            <w:rStyle w:val="Hyperlink"/>
            <w:color w:val="auto"/>
          </w:rPr>
          <w:t>GrantConnect</w:t>
        </w:r>
      </w:hyperlink>
      <w:r w:rsidR="005E36F3">
        <w:t>.</w:t>
      </w:r>
    </w:p>
    <w:p w14:paraId="23C9FF1D" w14:textId="20BACDBB" w:rsidR="006E0B42" w:rsidRDefault="006E0B42" w:rsidP="00A4685F">
      <w:pPr>
        <w:pStyle w:val="Heading2"/>
        <w:numPr>
          <w:ilvl w:val="0"/>
          <w:numId w:val="8"/>
        </w:numPr>
      </w:pPr>
      <w:bookmarkStart w:id="90" w:name="_Toc170734135"/>
      <w:r>
        <w:t>The grant selection process</w:t>
      </w:r>
      <w:bookmarkEnd w:id="90"/>
    </w:p>
    <w:p w14:paraId="174CD454" w14:textId="77777777" w:rsidR="003E63B6" w:rsidRPr="0062154F" w:rsidRDefault="003E63B6" w:rsidP="0073792A">
      <w:pPr>
        <w:pStyle w:val="Heading3"/>
        <w:ind w:left="1134"/>
      </w:pPr>
      <w:bookmarkStart w:id="91" w:name="_Toc170734136"/>
      <w:r>
        <w:t xml:space="preserve">Assessment of grant </w:t>
      </w:r>
      <w:r w:rsidRPr="0062154F">
        <w:t>applications</w:t>
      </w:r>
      <w:bookmarkEnd w:id="91"/>
    </w:p>
    <w:p w14:paraId="797A575B" w14:textId="77777777" w:rsidR="006E0B42" w:rsidRPr="00A632E3" w:rsidRDefault="00307C16" w:rsidP="005E5FB7">
      <w:pPr>
        <w:spacing w:after="80"/>
        <w:rPr>
          <w:rFonts w:cstheme="minorHAnsi"/>
        </w:rPr>
      </w:pPr>
      <w:r w:rsidRPr="0062154F">
        <w:rPr>
          <w:rFonts w:cstheme="minorHAnsi"/>
        </w:rPr>
        <w:t>The NIAA will</w:t>
      </w:r>
      <w:r w:rsidR="006E0B42" w:rsidRPr="0062154F">
        <w:rPr>
          <w:rFonts w:cstheme="minorHAnsi"/>
        </w:rPr>
        <w:t xml:space="preserve"> consider eligible applications through an open competitive</w:t>
      </w:r>
      <w:r w:rsidR="00C97389" w:rsidRPr="0062154F">
        <w:rPr>
          <w:rFonts w:cstheme="minorHAnsi"/>
        </w:rPr>
        <w:t xml:space="preserve"> </w:t>
      </w:r>
      <w:r w:rsidR="006E0B42" w:rsidRPr="0062154F">
        <w:rPr>
          <w:rFonts w:cstheme="minorHAnsi"/>
        </w:rPr>
        <w:t>grant</w:t>
      </w:r>
      <w:r w:rsidR="006E0B42" w:rsidRPr="00A632E3">
        <w:rPr>
          <w:rFonts w:cstheme="minorHAnsi"/>
        </w:rPr>
        <w:t xml:space="preserve"> process.</w:t>
      </w:r>
    </w:p>
    <w:p w14:paraId="65762AC7" w14:textId="77777777" w:rsidR="006E0B42" w:rsidRPr="00A632E3" w:rsidRDefault="00635ACF" w:rsidP="005E5FB7">
      <w:pPr>
        <w:spacing w:after="80"/>
      </w:pPr>
      <w:r>
        <w:t xml:space="preserve">If eligible, </w:t>
      </w:r>
      <w:r w:rsidR="00F75026">
        <w:t xml:space="preserve">your application will be considered on its </w:t>
      </w:r>
      <w:r w:rsidR="006E0B42" w:rsidRPr="00A632E3">
        <w:t>merits, based on:</w:t>
      </w:r>
    </w:p>
    <w:p w14:paraId="015403B7" w14:textId="77777777" w:rsidR="006E0B42" w:rsidRPr="00A632E3" w:rsidRDefault="006E0B42">
      <w:pPr>
        <w:pStyle w:val="ListBullet"/>
      </w:pPr>
      <w:r w:rsidRPr="00A632E3">
        <w:t xml:space="preserve">how well it meets the </w:t>
      </w:r>
      <w:r w:rsidR="00F75026">
        <w:t xml:space="preserve">assessment </w:t>
      </w:r>
      <w:r w:rsidRPr="00A632E3">
        <w:t xml:space="preserve">criteria </w:t>
      </w:r>
      <w:r w:rsidR="00F75026">
        <w:t>(section 6)</w:t>
      </w:r>
      <w:r w:rsidR="001C4023" w:rsidRPr="001C4023">
        <w:rPr>
          <w:rStyle w:val="FootnoteReference"/>
        </w:rPr>
        <w:t xml:space="preserve"> </w:t>
      </w:r>
      <w:r w:rsidR="001C4023">
        <w:rPr>
          <w:rStyle w:val="FootnoteReference"/>
        </w:rPr>
        <w:footnoteReference w:id="7"/>
      </w:r>
    </w:p>
    <w:p w14:paraId="0F1F3AC8" w14:textId="77777777" w:rsidR="006E0B42" w:rsidRPr="00A632E3" w:rsidRDefault="006E0B42">
      <w:pPr>
        <w:pStyle w:val="ListBullet"/>
      </w:pPr>
      <w:r w:rsidRPr="00A632E3">
        <w:t xml:space="preserve">how it </w:t>
      </w:r>
      <w:r w:rsidR="001D2259">
        <w:t>ranks against</w:t>
      </w:r>
      <w:r w:rsidRPr="00A632E3">
        <w:t xml:space="preserve"> other applications </w:t>
      </w:r>
      <w:r w:rsidR="00F73655">
        <w:t>for the same region</w:t>
      </w:r>
    </w:p>
    <w:p w14:paraId="3C1EC015" w14:textId="77777777" w:rsidR="006E0B42" w:rsidRDefault="006E0B42">
      <w:pPr>
        <w:pStyle w:val="ListBullet"/>
      </w:pPr>
      <w:r>
        <w:t>whether it provides value with relevant</w:t>
      </w:r>
      <w:r w:rsidRPr="00A632E3">
        <w:t xml:space="preserve"> money.</w:t>
      </w:r>
    </w:p>
    <w:p w14:paraId="02BBB82B" w14:textId="77777777" w:rsidR="001C4023" w:rsidRDefault="001C4023" w:rsidP="001C4023">
      <w:pPr>
        <w:pStyle w:val="ListBullet"/>
        <w:numPr>
          <w:ilvl w:val="0"/>
          <w:numId w:val="0"/>
        </w:numPr>
      </w:pPr>
      <w:r>
        <w:t>The NIAA will also consider how you have delivered other IAS and/or Commonwealth funded activities, if applicable.</w:t>
      </w:r>
    </w:p>
    <w:p w14:paraId="48A20F3B" w14:textId="77777777" w:rsidR="002A5F08" w:rsidRDefault="002A5F08" w:rsidP="0073792A">
      <w:pPr>
        <w:pStyle w:val="Heading3"/>
        <w:ind w:left="1134"/>
      </w:pPr>
      <w:bookmarkStart w:id="92" w:name="_Toc170734137"/>
      <w:r>
        <w:t>Indigenous Grants Preferencing Policy</w:t>
      </w:r>
      <w:bookmarkEnd w:id="92"/>
      <w:r>
        <w:t xml:space="preserve"> </w:t>
      </w:r>
    </w:p>
    <w:p w14:paraId="0C2F3163" w14:textId="77777777" w:rsidR="00AF4C9B" w:rsidRPr="002A5F08" w:rsidRDefault="00AF4C9B" w:rsidP="00AF4C9B">
      <w:pPr>
        <w:pStyle w:val="ListBullet"/>
        <w:numPr>
          <w:ilvl w:val="0"/>
          <w:numId w:val="0"/>
        </w:numPr>
        <w:rPr>
          <w:rFonts w:cs="Arial"/>
        </w:rPr>
      </w:pPr>
      <w:r w:rsidRPr="002A5F08">
        <w:rPr>
          <w:rFonts w:cs="Arial"/>
        </w:rPr>
        <w:t xml:space="preserve">The Australian Government is committed to increasing the proportion of services delivered by </w:t>
      </w:r>
      <w:r>
        <w:rPr>
          <w:rFonts w:cs="Arial"/>
        </w:rPr>
        <w:t>First Nations</w:t>
      </w:r>
      <w:r w:rsidRPr="002A5F08">
        <w:rPr>
          <w:rFonts w:cs="Arial"/>
        </w:rPr>
        <w:t xml:space="preserve"> organisations. To deliver on this objective</w:t>
      </w:r>
      <w:r>
        <w:rPr>
          <w:rFonts w:cs="Arial"/>
        </w:rPr>
        <w:t>,</w:t>
      </w:r>
      <w:r w:rsidRPr="002A5F08">
        <w:rPr>
          <w:rFonts w:cs="Arial"/>
        </w:rPr>
        <w:t xml:space="preserve"> the NIAA may preference organisations for IAS grants funding where there are two similarly ranked proposals</w:t>
      </w:r>
      <w:r w:rsidRPr="002A5F08">
        <w:rPr>
          <w:rFonts w:cs="Arial"/>
          <w:vertAlign w:val="superscript"/>
        </w:rPr>
        <w:footnoteReference w:id="8"/>
      </w:r>
      <w:r w:rsidRPr="002A5F08">
        <w:rPr>
          <w:rFonts w:cs="Arial"/>
        </w:rPr>
        <w:t xml:space="preserve"> as follows:</w:t>
      </w:r>
    </w:p>
    <w:p w14:paraId="09866C79" w14:textId="77777777" w:rsidR="00AF4C9B" w:rsidRPr="002A5F08" w:rsidRDefault="00AF4C9B" w:rsidP="00AF4C9B">
      <w:pPr>
        <w:pStyle w:val="ListBullet"/>
      </w:pPr>
      <w:r>
        <w:t>First Nations</w:t>
      </w:r>
      <w:r w:rsidRPr="002A5F08">
        <w:t xml:space="preserve"> Organisations (at least 51</w:t>
      </w:r>
      <w:r>
        <w:t xml:space="preserve"> per cent</w:t>
      </w:r>
      <w:r w:rsidRPr="002A5F08">
        <w:t xml:space="preserve"> </w:t>
      </w:r>
      <w:r>
        <w:t xml:space="preserve">First Nations </w:t>
      </w:r>
      <w:r w:rsidRPr="002A5F08">
        <w:t>ownership and at least 51</w:t>
      </w:r>
      <w:r>
        <w:t xml:space="preserve"> per cent</w:t>
      </w:r>
      <w:r w:rsidRPr="002A5F08">
        <w:t xml:space="preserve"> </w:t>
      </w:r>
      <w:r>
        <w:t>First Nations</w:t>
      </w:r>
      <w:r w:rsidRPr="002A5F08">
        <w:t xml:space="preserve"> control), then</w:t>
      </w:r>
    </w:p>
    <w:p w14:paraId="04FC18B4" w14:textId="77777777" w:rsidR="00AF4C9B" w:rsidRPr="002A5F08" w:rsidRDefault="00AF4C9B" w:rsidP="00AF4C9B">
      <w:pPr>
        <w:pStyle w:val="ListBullet"/>
      </w:pPr>
      <w:r w:rsidRPr="002A5F08">
        <w:t>organisations with at least 50</w:t>
      </w:r>
      <w:r>
        <w:t xml:space="preserve"> per cent</w:t>
      </w:r>
      <w:r w:rsidRPr="002A5F08">
        <w:t xml:space="preserve"> </w:t>
      </w:r>
      <w:r>
        <w:t>First Nations</w:t>
      </w:r>
      <w:r w:rsidRPr="002A5F08">
        <w:t xml:space="preserve"> ownership, control or management, then</w:t>
      </w:r>
    </w:p>
    <w:p w14:paraId="564C7473" w14:textId="77777777" w:rsidR="00AF4C9B" w:rsidRPr="002A5F08" w:rsidRDefault="00AF4C9B" w:rsidP="00AF4C9B">
      <w:pPr>
        <w:pStyle w:val="ListBullet"/>
      </w:pPr>
      <w:r w:rsidRPr="002A5F08">
        <w:t>any organisation, including non-</w:t>
      </w:r>
      <w:r>
        <w:t>First Nations</w:t>
      </w:r>
      <w:r w:rsidRPr="002A5F08">
        <w:t xml:space="preserve"> organisations, with a demonstrated com</w:t>
      </w:r>
      <w:r>
        <w:t>mitment to increasing First Nations</w:t>
      </w:r>
      <w:r w:rsidRPr="002A5F08">
        <w:t xml:space="preserve"> employment, supplier use and/or engagement. </w:t>
      </w:r>
    </w:p>
    <w:p w14:paraId="4E1C4F6C" w14:textId="77777777" w:rsidR="00AF4C9B" w:rsidRPr="00B72343" w:rsidRDefault="00AF4C9B" w:rsidP="0037501F">
      <w:pPr>
        <w:pStyle w:val="ListBullet"/>
        <w:numPr>
          <w:ilvl w:val="0"/>
          <w:numId w:val="0"/>
        </w:numPr>
      </w:pPr>
      <w:r w:rsidRPr="00B72343">
        <w:t>The NIAA may also gather information from grantees to determine:</w:t>
      </w:r>
    </w:p>
    <w:p w14:paraId="2F1FAE70" w14:textId="77777777" w:rsidR="00B72343" w:rsidRPr="00B72343" w:rsidRDefault="00AF4C9B" w:rsidP="00B72343">
      <w:pPr>
        <w:pStyle w:val="ListBullet"/>
      </w:pPr>
      <w:r w:rsidRPr="00B72343">
        <w:t xml:space="preserve">the number of First Nations and non-First Nations organisations funded through the IAS </w:t>
      </w:r>
    </w:p>
    <w:p w14:paraId="6D73CE1C" w14:textId="77777777" w:rsidR="00AF4C9B" w:rsidRPr="00B72343" w:rsidRDefault="00AF4C9B" w:rsidP="00B72343">
      <w:pPr>
        <w:pStyle w:val="ListBullet"/>
      </w:pPr>
      <w:r w:rsidRPr="00B72343">
        <w:t xml:space="preserve">the number and percentage of First Nations people employed in all funded organisations </w:t>
      </w:r>
    </w:p>
    <w:p w14:paraId="0EB6F6B2" w14:textId="77777777" w:rsidR="00AF4C9B" w:rsidRDefault="00AF4C9B" w:rsidP="00B72343">
      <w:pPr>
        <w:pStyle w:val="ListBullet"/>
      </w:pPr>
      <w:r w:rsidRPr="00B72343">
        <w:t>total value and number of contracts for goods and services that are provided by First Nations Enterprises.</w:t>
      </w:r>
    </w:p>
    <w:p w14:paraId="1C22BB25" w14:textId="77777777" w:rsidR="00914566" w:rsidRPr="00B72343" w:rsidRDefault="003A21D1" w:rsidP="00B72343">
      <w:pPr>
        <w:pStyle w:val="ListBullet"/>
        <w:numPr>
          <w:ilvl w:val="0"/>
          <w:numId w:val="0"/>
        </w:numPr>
      </w:pPr>
      <w:r w:rsidRPr="002A5F08">
        <w:t>Refer to the section ‘15. Glossary’ for definitions of “owners”, “control” and “management”</w:t>
      </w:r>
      <w:r>
        <w:t xml:space="preserve"> and “First Nations Enterprises”</w:t>
      </w:r>
      <w:r w:rsidRPr="002A5F08">
        <w:t>.</w:t>
      </w:r>
    </w:p>
    <w:p w14:paraId="7B7241EB" w14:textId="77777777" w:rsidR="00C157E9" w:rsidRDefault="00C157E9" w:rsidP="0073792A">
      <w:pPr>
        <w:pStyle w:val="Heading3"/>
        <w:ind w:left="1134"/>
      </w:pPr>
      <w:bookmarkStart w:id="93" w:name="_Toc170734138"/>
      <w:r>
        <w:t>Who will assess applications?</w:t>
      </w:r>
      <w:bookmarkEnd w:id="93"/>
    </w:p>
    <w:p w14:paraId="6957DF83" w14:textId="77777777" w:rsidR="00C157E9" w:rsidRPr="003E1748" w:rsidRDefault="00C157E9" w:rsidP="00C157E9">
      <w:pPr>
        <w:spacing w:before="120"/>
        <w:rPr>
          <w:rFonts w:cs="Arial"/>
          <w:b/>
        </w:rPr>
      </w:pPr>
      <w:r w:rsidRPr="003E1748">
        <w:t xml:space="preserve">An </w:t>
      </w:r>
      <w:r w:rsidR="00D82BBE">
        <w:t>expert panel</w:t>
      </w:r>
      <w:r w:rsidR="00DF4420" w:rsidRPr="003E1748">
        <w:rPr>
          <w:color w:val="FF0000"/>
        </w:rPr>
        <w:t xml:space="preserve"> </w:t>
      </w:r>
      <w:r w:rsidRPr="003E1748">
        <w:t xml:space="preserve">will assess each application </w:t>
      </w:r>
      <w:r w:rsidR="00F73655" w:rsidRPr="003E1748">
        <w:t>in accordance with the process set out in this section 8</w:t>
      </w:r>
      <w:r w:rsidR="00D735F6" w:rsidRPr="003E1748">
        <w:t xml:space="preserve"> </w:t>
      </w:r>
      <w:r w:rsidRPr="003E1748">
        <w:t xml:space="preserve">recommending which </w:t>
      </w:r>
      <w:r w:rsidR="00BF6BD6" w:rsidRPr="003E1748">
        <w:t xml:space="preserve">grant </w:t>
      </w:r>
      <w:r w:rsidR="00B73AB6" w:rsidRPr="003E1748">
        <w:t>applications should be awarded a grant</w:t>
      </w:r>
      <w:r w:rsidRPr="003E1748">
        <w:t xml:space="preserve">. The </w:t>
      </w:r>
      <w:r w:rsidR="00D82BBE">
        <w:t>expert panel</w:t>
      </w:r>
      <w:r w:rsidR="00D82BBE" w:rsidRPr="003E1748">
        <w:rPr>
          <w:color w:val="FF0000"/>
        </w:rPr>
        <w:t xml:space="preserve"> </w:t>
      </w:r>
      <w:r w:rsidRPr="003E1748">
        <w:t xml:space="preserve">will </w:t>
      </w:r>
      <w:r w:rsidR="004C4662">
        <w:t>comprise</w:t>
      </w:r>
      <w:r w:rsidRPr="003E1748">
        <w:rPr>
          <w:b/>
        </w:rPr>
        <w:t xml:space="preserve"> </w:t>
      </w:r>
      <w:r w:rsidR="00D735F6" w:rsidRPr="003E1748">
        <w:t xml:space="preserve">appropriate </w:t>
      </w:r>
      <w:r w:rsidR="00FE6C44" w:rsidRPr="003E1748">
        <w:t>NIAA</w:t>
      </w:r>
      <w:r w:rsidR="00D735F6" w:rsidRPr="003E1748">
        <w:t xml:space="preserve"> staff</w:t>
      </w:r>
      <w:r w:rsidR="00D82BBE">
        <w:t xml:space="preserve"> and relevant </w:t>
      </w:r>
      <w:r w:rsidR="00D82BBE" w:rsidRPr="003E1748">
        <w:rPr>
          <w:rFonts w:cs="Arial"/>
          <w:b/>
        </w:rPr>
        <w:t>external experts/advisors</w:t>
      </w:r>
      <w:r w:rsidR="004523E8">
        <w:t>.</w:t>
      </w:r>
      <w:r w:rsidR="008D7688" w:rsidRPr="003E1748">
        <w:t xml:space="preserve"> </w:t>
      </w:r>
    </w:p>
    <w:p w14:paraId="6B268A44" w14:textId="77777777" w:rsidR="00C157E9" w:rsidRPr="003E1748" w:rsidRDefault="00DB3FAC" w:rsidP="00C157E9">
      <w:pPr>
        <w:pStyle w:val="highlightedtext"/>
        <w:pBdr>
          <w:top w:val="none" w:sz="0" w:space="0" w:color="auto"/>
          <w:left w:val="none" w:sz="0" w:space="0" w:color="auto"/>
          <w:bottom w:val="none" w:sz="0" w:space="0" w:color="auto"/>
          <w:right w:val="none" w:sz="0" w:space="0" w:color="auto"/>
        </w:pBdr>
        <w:spacing w:after="120"/>
        <w:jc w:val="left"/>
        <w:rPr>
          <w:rFonts w:ascii="Arial" w:hAnsi="Arial" w:cs="Arial"/>
          <w:b w:val="0"/>
          <w:color w:val="auto"/>
          <w:sz w:val="20"/>
          <w:szCs w:val="20"/>
        </w:rPr>
      </w:pPr>
      <w:r w:rsidRPr="003E1748">
        <w:rPr>
          <w:rFonts w:ascii="Arial" w:hAnsi="Arial" w:cs="Arial"/>
          <w:b w:val="0"/>
          <w:color w:val="auto"/>
          <w:sz w:val="20"/>
          <w:szCs w:val="20"/>
        </w:rPr>
        <w:t xml:space="preserve">Any </w:t>
      </w:r>
      <w:r w:rsidR="00782A88" w:rsidRPr="003E1748">
        <w:rPr>
          <w:rFonts w:ascii="Arial" w:hAnsi="Arial" w:cs="Arial"/>
          <w:b w:val="0"/>
          <w:color w:val="auto"/>
          <w:sz w:val="20"/>
          <w:szCs w:val="20"/>
        </w:rPr>
        <w:t>expert/advisor,</w:t>
      </w:r>
      <w:r w:rsidRPr="003E1748">
        <w:rPr>
          <w:rFonts w:ascii="Arial" w:hAnsi="Arial" w:cs="Arial"/>
          <w:b w:val="0"/>
          <w:color w:val="auto"/>
          <w:sz w:val="20"/>
          <w:szCs w:val="20"/>
        </w:rPr>
        <w:t xml:space="preserve"> who is not a Commonwealth Official, will </w:t>
      </w:r>
      <w:r w:rsidR="00782A88" w:rsidRPr="003E1748">
        <w:rPr>
          <w:rFonts w:ascii="Arial" w:hAnsi="Arial" w:cs="Arial"/>
          <w:b w:val="0"/>
          <w:color w:val="auto"/>
          <w:sz w:val="20"/>
          <w:szCs w:val="20"/>
        </w:rPr>
        <w:t xml:space="preserve">be </w:t>
      </w:r>
      <w:r w:rsidR="00A81C44" w:rsidRPr="003E1748">
        <w:rPr>
          <w:rFonts w:ascii="Arial" w:hAnsi="Arial" w:cs="Arial"/>
          <w:b w:val="0"/>
          <w:color w:val="auto"/>
          <w:sz w:val="20"/>
          <w:szCs w:val="20"/>
        </w:rPr>
        <w:t>required</w:t>
      </w:r>
      <w:r w:rsidR="000A4D8A" w:rsidRPr="003E1748">
        <w:rPr>
          <w:rFonts w:ascii="Arial" w:hAnsi="Arial" w:cs="Arial"/>
          <w:b w:val="0"/>
          <w:color w:val="auto"/>
          <w:sz w:val="20"/>
          <w:szCs w:val="20"/>
        </w:rPr>
        <w:t xml:space="preserve"> </w:t>
      </w:r>
      <w:r w:rsidRPr="003E1748">
        <w:rPr>
          <w:rFonts w:ascii="Arial" w:hAnsi="Arial" w:cs="Arial"/>
          <w:b w:val="0"/>
          <w:color w:val="auto"/>
          <w:sz w:val="20"/>
          <w:szCs w:val="20"/>
        </w:rPr>
        <w:t xml:space="preserve">to </w:t>
      </w:r>
      <w:r w:rsidR="00C7753F" w:rsidRPr="003E1748">
        <w:rPr>
          <w:rFonts w:ascii="Arial" w:hAnsi="Arial" w:cs="Arial"/>
          <w:b w:val="0"/>
          <w:color w:val="auto"/>
          <w:sz w:val="20"/>
          <w:szCs w:val="20"/>
        </w:rPr>
        <w:t xml:space="preserve">perform their duties </w:t>
      </w:r>
      <w:r w:rsidRPr="003E1748">
        <w:rPr>
          <w:rFonts w:ascii="Arial" w:hAnsi="Arial" w:cs="Arial"/>
          <w:b w:val="0"/>
          <w:color w:val="auto"/>
          <w:sz w:val="20"/>
          <w:szCs w:val="20"/>
        </w:rPr>
        <w:t xml:space="preserve">in accordance with the </w:t>
      </w:r>
      <w:hyperlink r:id="rId52" w:history="1">
        <w:r w:rsidRPr="003E1748">
          <w:rPr>
            <w:rStyle w:val="Hyperlink"/>
            <w:rFonts w:ascii="Arial" w:hAnsi="Arial" w:cs="Arial"/>
            <w:b w:val="0"/>
            <w:sz w:val="20"/>
            <w:szCs w:val="20"/>
          </w:rPr>
          <w:t>CGRGs</w:t>
        </w:r>
      </w:hyperlink>
      <w:r w:rsidRPr="003E1748">
        <w:rPr>
          <w:rFonts w:ascii="Arial" w:hAnsi="Arial" w:cs="Arial"/>
          <w:b w:val="0"/>
          <w:color w:val="auto"/>
          <w:sz w:val="20"/>
          <w:szCs w:val="20"/>
        </w:rPr>
        <w:t>.</w:t>
      </w:r>
      <w:r w:rsidR="00C157E9" w:rsidRPr="003E1748">
        <w:rPr>
          <w:rFonts w:ascii="Arial" w:hAnsi="Arial" w:cs="Arial"/>
          <w:b w:val="0"/>
          <w:color w:val="auto"/>
          <w:sz w:val="20"/>
          <w:szCs w:val="20"/>
        </w:rPr>
        <w:t xml:space="preserve"> </w:t>
      </w:r>
    </w:p>
    <w:p w14:paraId="40933F33" w14:textId="77777777" w:rsidR="00C157E9" w:rsidRPr="003E1748" w:rsidRDefault="00C157E9" w:rsidP="00C157E9">
      <w:r w:rsidRPr="003E1748">
        <w:t xml:space="preserve">The </w:t>
      </w:r>
      <w:r w:rsidR="00D82BBE">
        <w:t>expert panel</w:t>
      </w:r>
      <w:r w:rsidR="00D82BBE" w:rsidRPr="003E1748">
        <w:rPr>
          <w:color w:val="FF0000"/>
        </w:rPr>
        <w:t xml:space="preserve"> </w:t>
      </w:r>
      <w:r w:rsidRPr="003E1748">
        <w:t>may seek additional information about you or your application</w:t>
      </w:r>
      <w:r w:rsidR="002249F0" w:rsidRPr="003E1748">
        <w:t xml:space="preserve">, including </w:t>
      </w:r>
      <w:r w:rsidRPr="003E1748">
        <w:t>from within the Commonwealth</w:t>
      </w:r>
      <w:r w:rsidR="002249F0" w:rsidRPr="003E1748">
        <w:t xml:space="preserve"> (</w:t>
      </w:r>
      <w:r w:rsidRPr="003E1748">
        <w:t>even if the sources are not nominated</w:t>
      </w:r>
      <w:r w:rsidR="002249F0" w:rsidRPr="003E1748">
        <w:t xml:space="preserve"> as your </w:t>
      </w:r>
      <w:r w:rsidRPr="003E1748">
        <w:t>referees</w:t>
      </w:r>
      <w:r w:rsidR="002249F0" w:rsidRPr="003E1748">
        <w:t>)</w:t>
      </w:r>
      <w:r w:rsidRPr="003E1748">
        <w:t xml:space="preserve">. The </w:t>
      </w:r>
      <w:r w:rsidR="00D82BBE">
        <w:t>expert panel</w:t>
      </w:r>
      <w:r w:rsidR="00D82BBE" w:rsidRPr="003E1748">
        <w:rPr>
          <w:color w:val="FF0000"/>
        </w:rPr>
        <w:t xml:space="preserve"> </w:t>
      </w:r>
      <w:r w:rsidRPr="003E1748">
        <w:t>may also consider information about you or your application that is available through the normal course of business.</w:t>
      </w:r>
    </w:p>
    <w:p w14:paraId="6BEC61F7" w14:textId="77777777" w:rsidR="00C157E9" w:rsidRDefault="00C157E9" w:rsidP="00C157E9">
      <w:r w:rsidRPr="003E1748">
        <w:t xml:space="preserve">The </w:t>
      </w:r>
      <w:r w:rsidR="00D82BBE">
        <w:t>expert panel</w:t>
      </w:r>
      <w:r w:rsidR="00D82BBE" w:rsidRPr="003E1748">
        <w:rPr>
          <w:color w:val="FF0000"/>
        </w:rPr>
        <w:t xml:space="preserve"> </w:t>
      </w:r>
      <w:r w:rsidRPr="003E1748">
        <w:t xml:space="preserve">recommends to the </w:t>
      </w:r>
      <w:r w:rsidR="00976EC0" w:rsidRPr="003E1748">
        <w:t>Program Delegate</w:t>
      </w:r>
      <w:r w:rsidR="00AA2994" w:rsidRPr="003E1748">
        <w:t xml:space="preserve"> which applications to approve for a grant.</w:t>
      </w:r>
    </w:p>
    <w:p w14:paraId="667723C9" w14:textId="77777777" w:rsidR="008D7688" w:rsidRPr="00B72EE8" w:rsidRDefault="008D7688" w:rsidP="00C157E9">
      <w:r w:rsidRPr="008D7688">
        <w:t xml:space="preserve">To ensure probity, staff who provide support in developing a proposal will not be involved in the assessment of the application.  </w:t>
      </w:r>
    </w:p>
    <w:p w14:paraId="03A4B4F5" w14:textId="77777777" w:rsidR="00C157E9" w:rsidRDefault="00C157E9" w:rsidP="0073792A">
      <w:pPr>
        <w:pStyle w:val="Heading3"/>
        <w:ind w:left="1134"/>
      </w:pPr>
      <w:bookmarkStart w:id="94" w:name="_Toc170734139"/>
      <w:r>
        <w:t>Who will approve grants?</w:t>
      </w:r>
      <w:bookmarkEnd w:id="94"/>
    </w:p>
    <w:p w14:paraId="60BED3CC" w14:textId="77777777" w:rsidR="00C157E9" w:rsidRPr="003E1748" w:rsidRDefault="00C157E9" w:rsidP="00C157E9">
      <w:r w:rsidRPr="003E1748">
        <w:t>The</w:t>
      </w:r>
      <w:r w:rsidR="00AA2994" w:rsidRPr="003E1748">
        <w:t xml:space="preserve"> </w:t>
      </w:r>
      <w:r w:rsidR="008D7688" w:rsidRPr="003E1748">
        <w:t>NIAA delegate</w:t>
      </w:r>
      <w:r w:rsidR="002B5733" w:rsidRPr="003E1748">
        <w:t xml:space="preserve"> d</w:t>
      </w:r>
      <w:r w:rsidRPr="003E1748">
        <w:t xml:space="preserve">ecides which grants to approve taking into account the recommendations of the </w:t>
      </w:r>
      <w:r w:rsidR="00A81C44" w:rsidRPr="003E1748">
        <w:t xml:space="preserve">assessment </w:t>
      </w:r>
      <w:r w:rsidRPr="003E1748">
        <w:t>committee</w:t>
      </w:r>
      <w:r w:rsidR="003E1748">
        <w:t xml:space="preserve"> </w:t>
      </w:r>
      <w:r w:rsidRPr="003E1748">
        <w:t>and the availability of grant funds</w:t>
      </w:r>
      <w:r w:rsidR="00BB272F" w:rsidRPr="003E1748">
        <w:t xml:space="preserve"> for the purposes of the </w:t>
      </w:r>
      <w:r w:rsidR="00090431" w:rsidRPr="003E1748">
        <w:t xml:space="preserve">grant </w:t>
      </w:r>
      <w:r w:rsidR="00BB272F" w:rsidRPr="003E1748">
        <w:t>program</w:t>
      </w:r>
      <w:r w:rsidRPr="003E1748">
        <w:t>.</w:t>
      </w:r>
    </w:p>
    <w:p w14:paraId="13D02D2D" w14:textId="77777777" w:rsidR="00C157E9" w:rsidRPr="00103A95" w:rsidRDefault="00C157E9" w:rsidP="00C157E9">
      <w:r w:rsidRPr="003E1748">
        <w:t xml:space="preserve">The </w:t>
      </w:r>
      <w:r w:rsidR="002D0FAF" w:rsidRPr="003E1748">
        <w:t>Program Delegate</w:t>
      </w:r>
      <w:r w:rsidR="0004553D" w:rsidRPr="003E1748">
        <w:t>’s</w:t>
      </w:r>
      <w:r w:rsidRPr="003E1748">
        <w:t xml:space="preserve"> decision</w:t>
      </w:r>
      <w:r w:rsidRPr="002547F6">
        <w:t xml:space="preserve"> </w:t>
      </w:r>
      <w:r w:rsidRPr="00103A95">
        <w:t xml:space="preserve">is </w:t>
      </w:r>
      <w:r w:rsidRPr="00164671">
        <w:t>final</w:t>
      </w:r>
      <w:r w:rsidRPr="00103A95">
        <w:t xml:space="preserve"> in all matters, including:</w:t>
      </w:r>
    </w:p>
    <w:p w14:paraId="3461D8B0" w14:textId="77777777" w:rsidR="00C157E9" w:rsidRPr="00103A95" w:rsidRDefault="00C157E9" w:rsidP="00C157E9">
      <w:pPr>
        <w:pStyle w:val="ListBullet"/>
      </w:pPr>
      <w:r w:rsidRPr="00103A95">
        <w:t>the approval of the grant</w:t>
      </w:r>
    </w:p>
    <w:p w14:paraId="28C29A67" w14:textId="77777777" w:rsidR="00C157E9" w:rsidRPr="00103A95" w:rsidRDefault="00C157E9" w:rsidP="00C157E9">
      <w:pPr>
        <w:pStyle w:val="ListBullet"/>
      </w:pPr>
      <w:r w:rsidRPr="00103A95">
        <w:t>the grant funding amount to be awarded</w:t>
      </w:r>
    </w:p>
    <w:p w14:paraId="4CAA1950" w14:textId="77777777" w:rsidR="00E459C5" w:rsidRDefault="00C157E9" w:rsidP="00E459C5">
      <w:pPr>
        <w:pStyle w:val="ListBullet"/>
      </w:pPr>
      <w:r w:rsidRPr="00103A95">
        <w:t xml:space="preserve">the terms and conditions of the grant. </w:t>
      </w:r>
    </w:p>
    <w:p w14:paraId="3499FF3C" w14:textId="77777777" w:rsidR="00E459C5" w:rsidRPr="00103A95" w:rsidRDefault="00E459C5" w:rsidP="00181A24">
      <w:pPr>
        <w:pStyle w:val="ListBullet"/>
        <w:numPr>
          <w:ilvl w:val="0"/>
          <w:numId w:val="0"/>
        </w:numPr>
      </w:pPr>
      <w:r>
        <w:t>There is no appeal mechanism for decisions to approve or not approve a grant.</w:t>
      </w:r>
    </w:p>
    <w:p w14:paraId="12E16D3A" w14:textId="78C582B7" w:rsidR="00DB5819" w:rsidRDefault="00FB0C71" w:rsidP="00A4685F">
      <w:pPr>
        <w:pStyle w:val="Heading2"/>
        <w:numPr>
          <w:ilvl w:val="0"/>
          <w:numId w:val="8"/>
        </w:numPr>
      </w:pPr>
      <w:bookmarkStart w:id="95" w:name="_Toc170734140"/>
      <w:r>
        <w:t>Notification of application outcomes</w:t>
      </w:r>
      <w:bookmarkEnd w:id="95"/>
    </w:p>
    <w:p w14:paraId="6D280809" w14:textId="77777777" w:rsidR="00FB0C71" w:rsidRDefault="00513653" w:rsidP="00FB0C71">
      <w:r>
        <w:t xml:space="preserve">You will be </w:t>
      </w:r>
      <w:r w:rsidR="00272178">
        <w:t>advise</w:t>
      </w:r>
      <w:r>
        <w:t xml:space="preserve">d </w:t>
      </w:r>
      <w:r w:rsidR="00FB0C71" w:rsidRPr="00B72EE8">
        <w:t xml:space="preserve">of the outcome of </w:t>
      </w:r>
      <w:r w:rsidR="00FB0C71">
        <w:t xml:space="preserve">your </w:t>
      </w:r>
      <w:r w:rsidR="00FB0C71" w:rsidRPr="002E0C03">
        <w:t>application in writing</w:t>
      </w:r>
      <w:r w:rsidR="001A1C64">
        <w:t xml:space="preserve">. </w:t>
      </w:r>
      <w:r w:rsidR="00FB0C71" w:rsidRPr="00C25555">
        <w:t xml:space="preserve">If you are successful, </w:t>
      </w:r>
      <w:r>
        <w:t>the NIAA</w:t>
      </w:r>
      <w:r w:rsidR="00272178">
        <w:t xml:space="preserve"> will advise you of</w:t>
      </w:r>
      <w:r w:rsidR="00FB0C71" w:rsidRPr="00C25555">
        <w:t xml:space="preserve"> any </w:t>
      </w:r>
      <w:r w:rsidR="00FB0C71" w:rsidRPr="00B72EE8">
        <w:t xml:space="preserve">specific conditions attached to the </w:t>
      </w:r>
      <w:r w:rsidR="00FB0C71">
        <w:t>grant</w:t>
      </w:r>
      <w:r w:rsidR="00FB0C71" w:rsidRPr="00B72EE8">
        <w:t xml:space="preserve">. </w:t>
      </w:r>
    </w:p>
    <w:p w14:paraId="33C9236D" w14:textId="77777777" w:rsidR="00FB0C71" w:rsidRPr="00E86A67" w:rsidRDefault="00FB0C71" w:rsidP="00FB0C71">
      <w:r>
        <w:t>You can submit a</w:t>
      </w:r>
      <w:r w:rsidRPr="00E162FF">
        <w:t xml:space="preserve"> new application for the same </w:t>
      </w:r>
      <w:r w:rsidR="00617236">
        <w:t>grant</w:t>
      </w:r>
      <w:r>
        <w:t xml:space="preserve"> (</w:t>
      </w:r>
      <w:r w:rsidRPr="00E162FF">
        <w:t xml:space="preserve">or </w:t>
      </w:r>
      <w:r>
        <w:t xml:space="preserve">a </w:t>
      </w:r>
      <w:r w:rsidRPr="00E162FF">
        <w:t xml:space="preserve">similar </w:t>
      </w:r>
      <w:r w:rsidR="00617236">
        <w:t>grant</w:t>
      </w:r>
      <w:r>
        <w:t>)</w:t>
      </w:r>
      <w:r w:rsidRPr="00E162FF">
        <w:t xml:space="preserve"> in any </w:t>
      </w:r>
      <w:r>
        <w:t>future</w:t>
      </w:r>
      <w:r w:rsidRPr="00E162FF">
        <w:t xml:space="preserve"> </w:t>
      </w:r>
      <w:r>
        <w:t>grant</w:t>
      </w:r>
      <w:r w:rsidRPr="00E162FF">
        <w:t xml:space="preserve"> </w:t>
      </w:r>
      <w:r>
        <w:t>opportunit</w:t>
      </w:r>
      <w:r w:rsidR="00EA4EC1">
        <w:t>ies under the program</w:t>
      </w:r>
      <w:r>
        <w:t>. You</w:t>
      </w:r>
      <w:r w:rsidRPr="00E162FF">
        <w:t xml:space="preserve"> should </w:t>
      </w:r>
      <w:r>
        <w:t>include</w:t>
      </w:r>
      <w:r w:rsidRPr="00E162FF">
        <w:t xml:space="preserve"> new or </w:t>
      </w:r>
      <w:r>
        <w:t xml:space="preserve">more </w:t>
      </w:r>
      <w:r w:rsidRPr="00E162FF">
        <w:t>information to address</w:t>
      </w:r>
      <w:r>
        <w:t xml:space="preserve"> any</w:t>
      </w:r>
      <w:r w:rsidRPr="00E162FF">
        <w:t xml:space="preserve"> weaknesses </w:t>
      </w:r>
      <w:r>
        <w:t xml:space="preserve">that may have prevented your </w:t>
      </w:r>
      <w:r w:rsidRPr="00E162FF">
        <w:t>previous application</w:t>
      </w:r>
      <w:r>
        <w:t xml:space="preserve"> from being successful.</w:t>
      </w:r>
    </w:p>
    <w:p w14:paraId="4660E4A3" w14:textId="77777777" w:rsidR="00FB0C71" w:rsidRPr="003E1748" w:rsidRDefault="00FB0C71" w:rsidP="0073792A">
      <w:pPr>
        <w:pStyle w:val="Heading3"/>
        <w:ind w:left="1134"/>
        <w:rPr>
          <w:color w:val="auto"/>
        </w:rPr>
      </w:pPr>
      <w:bookmarkStart w:id="96" w:name="_Toc170734141"/>
      <w:r w:rsidRPr="00FB0C71">
        <w:t>Feedback on your application</w:t>
      </w:r>
      <w:bookmarkEnd w:id="96"/>
    </w:p>
    <w:p w14:paraId="0E302B77" w14:textId="77777777" w:rsidR="00FB0C71" w:rsidRDefault="00FB0C71" w:rsidP="00FB0C71">
      <w:r w:rsidRPr="003E1748">
        <w:t xml:space="preserve">If you are unsuccessful, you may ask for feedback </w:t>
      </w:r>
      <w:r w:rsidR="008D7688" w:rsidRPr="003E1748">
        <w:t xml:space="preserve">from </w:t>
      </w:r>
      <w:r w:rsidR="003E1748" w:rsidRPr="003E1748">
        <w:t>NIAA</w:t>
      </w:r>
      <w:r w:rsidR="008D7688" w:rsidRPr="003E1748">
        <w:t xml:space="preserve"> </w:t>
      </w:r>
      <w:r w:rsidRPr="003E1748">
        <w:t xml:space="preserve">within </w:t>
      </w:r>
      <w:r w:rsidR="004F4183" w:rsidRPr="003E1748">
        <w:rPr>
          <w:rStyle w:val="highlightedtextChar"/>
          <w:rFonts w:ascii="Arial" w:hAnsi="Arial" w:cs="Arial"/>
          <w:b w:val="0"/>
          <w:color w:val="auto"/>
          <w:sz w:val="20"/>
          <w:szCs w:val="20"/>
        </w:rPr>
        <w:t>3 months</w:t>
      </w:r>
      <w:r w:rsidRPr="003E1748">
        <w:t xml:space="preserve"> of being advised of the outcome. </w:t>
      </w:r>
      <w:r w:rsidR="001A1C64" w:rsidRPr="003E1748">
        <w:t>We</w:t>
      </w:r>
      <w:r w:rsidRPr="003E1748">
        <w:rPr>
          <w:b/>
        </w:rPr>
        <w:t xml:space="preserve"> </w:t>
      </w:r>
      <w:r w:rsidRPr="003E1748">
        <w:t xml:space="preserve">will give written feedback within </w:t>
      </w:r>
      <w:r w:rsidRPr="003E1748">
        <w:rPr>
          <w:rStyle w:val="highlightedtextChar"/>
          <w:rFonts w:ascii="Arial" w:hAnsi="Arial" w:cs="Arial"/>
          <w:b w:val="0"/>
          <w:color w:val="auto"/>
          <w:sz w:val="20"/>
          <w:szCs w:val="20"/>
        </w:rPr>
        <w:t>one month</w:t>
      </w:r>
      <w:r w:rsidRPr="003E1748">
        <w:t xml:space="preserve"> of </w:t>
      </w:r>
      <w:r w:rsidR="001A1C64" w:rsidRPr="003E1748">
        <w:t xml:space="preserve">your </w:t>
      </w:r>
      <w:r w:rsidR="001A1C64">
        <w:t>request</w:t>
      </w:r>
      <w:r w:rsidRPr="00103A95">
        <w:t>.</w:t>
      </w:r>
    </w:p>
    <w:p w14:paraId="69003D6F" w14:textId="77777777" w:rsidR="00DD159B" w:rsidRDefault="00DD159B" w:rsidP="0073792A">
      <w:pPr>
        <w:pStyle w:val="Heading3"/>
        <w:ind w:left="1134"/>
      </w:pPr>
      <w:bookmarkStart w:id="97" w:name="_Toc170734142"/>
      <w:r>
        <w:t>Further grant opportunities</w:t>
      </w:r>
      <w:bookmarkEnd w:id="97"/>
    </w:p>
    <w:p w14:paraId="4941B6EC" w14:textId="77777777" w:rsidR="00DD159B" w:rsidRPr="003E1748" w:rsidRDefault="00DD159B" w:rsidP="00DD159B">
      <w:pPr>
        <w:rPr>
          <w:rStyle w:val="highlightedtextChar"/>
          <w:rFonts w:ascii="Arial" w:hAnsi="Arial" w:cs="Arial"/>
          <w:b w:val="0"/>
          <w:color w:val="auto"/>
          <w:sz w:val="20"/>
          <w:szCs w:val="20"/>
        </w:rPr>
      </w:pPr>
      <w:r w:rsidRPr="0036071F">
        <w:rPr>
          <w:rStyle w:val="highlightedtextChar"/>
          <w:rFonts w:ascii="Arial" w:hAnsi="Arial" w:cs="Arial"/>
          <w:b w:val="0"/>
          <w:color w:val="auto"/>
          <w:sz w:val="20"/>
          <w:szCs w:val="20"/>
        </w:rPr>
        <w:t xml:space="preserve">If there are not enough suitable applications to meet the program’s objectives, </w:t>
      </w:r>
      <w:r w:rsidR="00513653">
        <w:rPr>
          <w:rStyle w:val="highlightedtextChar"/>
          <w:rFonts w:ascii="Arial" w:hAnsi="Arial" w:cs="Arial"/>
          <w:b w:val="0"/>
          <w:color w:val="auto"/>
          <w:sz w:val="20"/>
          <w:szCs w:val="20"/>
        </w:rPr>
        <w:t xml:space="preserve">the NIAA </w:t>
      </w:r>
      <w:r w:rsidRPr="0036071F">
        <w:rPr>
          <w:rStyle w:val="highlightedtextChar"/>
          <w:rFonts w:ascii="Arial" w:hAnsi="Arial" w:cs="Arial"/>
          <w:b w:val="0"/>
          <w:color w:val="auto"/>
          <w:sz w:val="20"/>
          <w:szCs w:val="20"/>
        </w:rPr>
        <w:t>will</w:t>
      </w:r>
      <w:r w:rsidRPr="003E1748">
        <w:rPr>
          <w:rStyle w:val="highlightedtextChar"/>
          <w:rFonts w:ascii="Arial" w:hAnsi="Arial" w:cs="Arial"/>
          <w:b w:val="0"/>
          <w:color w:val="auto"/>
          <w:sz w:val="20"/>
          <w:szCs w:val="20"/>
        </w:rPr>
        <w:t xml:space="preserve"> </w:t>
      </w:r>
      <w:r w:rsidR="004F4183" w:rsidRPr="003E1748">
        <w:rPr>
          <w:rStyle w:val="highlightedtextChar"/>
          <w:rFonts w:ascii="Arial" w:hAnsi="Arial" w:cs="Arial"/>
          <w:b w:val="0"/>
          <w:color w:val="auto"/>
          <w:sz w:val="20"/>
          <w:szCs w:val="20"/>
        </w:rPr>
        <w:t>deliver subsequent grant opportunities as competitive, targeted or closed non-competitive processes</w:t>
      </w:r>
      <w:r w:rsidRPr="003E1748">
        <w:rPr>
          <w:rStyle w:val="highlightedtextChar"/>
          <w:rFonts w:ascii="Arial" w:hAnsi="Arial" w:cs="Arial"/>
          <w:b w:val="0"/>
          <w:color w:val="auto"/>
          <w:sz w:val="20"/>
          <w:szCs w:val="20"/>
        </w:rPr>
        <w:t xml:space="preserve">. </w:t>
      </w:r>
    </w:p>
    <w:p w14:paraId="79134F47" w14:textId="3BA3E1A3" w:rsidR="00DB5819" w:rsidRDefault="00FB0C71" w:rsidP="00A4685F">
      <w:pPr>
        <w:pStyle w:val="Heading2"/>
        <w:numPr>
          <w:ilvl w:val="0"/>
          <w:numId w:val="8"/>
        </w:numPr>
      </w:pPr>
      <w:bookmarkStart w:id="98" w:name="_Toc170734143"/>
      <w:r>
        <w:t>Successful grant applications</w:t>
      </w:r>
      <w:bookmarkEnd w:id="98"/>
    </w:p>
    <w:p w14:paraId="74D544EF" w14:textId="77777777" w:rsidR="00FB0C71" w:rsidRPr="00FB0C71" w:rsidRDefault="00FB0C71" w:rsidP="0073792A">
      <w:pPr>
        <w:pStyle w:val="Heading3"/>
        <w:ind w:left="1134"/>
      </w:pPr>
      <w:bookmarkStart w:id="99" w:name="_Toc170734144"/>
      <w:r>
        <w:t>The grant agreement</w:t>
      </w:r>
      <w:bookmarkEnd w:id="99"/>
    </w:p>
    <w:bookmarkEnd w:id="78"/>
    <w:bookmarkEnd w:id="79"/>
    <w:p w14:paraId="34C285A1" w14:textId="77777777" w:rsidR="002C2BA1" w:rsidRPr="002C2BA1" w:rsidRDefault="002C2BA1" w:rsidP="002C2BA1">
      <w:pPr>
        <w:rPr>
          <w:rFonts w:cs="Arial"/>
        </w:rPr>
      </w:pPr>
      <w:r w:rsidRPr="002C2BA1">
        <w:rPr>
          <w:rFonts w:cs="Arial"/>
        </w:rPr>
        <w:t>If you are successful and choose to accept a grant offer,</w:t>
      </w:r>
      <w:r w:rsidRPr="002C2BA1">
        <w:t xml:space="preserve"> you must enter into a legally binding grant agreement with the Commonwealth. </w:t>
      </w:r>
      <w:r w:rsidRPr="002C2BA1">
        <w:rPr>
          <w:rFonts w:cs="Arial"/>
        </w:rPr>
        <w:t>This agreement may be through a letter of offer or standard grant agreement, or another form of agreement specified by the Commonwealth.</w:t>
      </w:r>
    </w:p>
    <w:p w14:paraId="258D2E42" w14:textId="68BF8D07" w:rsidR="002C2BA1" w:rsidRPr="00DB3BD3" w:rsidRDefault="002C2BA1" w:rsidP="002C2BA1">
      <w:pPr>
        <w:rPr>
          <w:rFonts w:cs="Arial"/>
        </w:rPr>
      </w:pPr>
      <w:r w:rsidRPr="002C2BA1">
        <w:rPr>
          <w:rFonts w:cs="Arial"/>
        </w:rPr>
        <w:t>The type of grant agreement and its mandatory terms and conditions will depend on the size and complexity of your grant activity</w:t>
      </w:r>
      <w:r>
        <w:rPr>
          <w:rFonts w:cs="Arial"/>
          <w:color w:val="FF0000"/>
        </w:rPr>
        <w:t xml:space="preserve"> </w:t>
      </w:r>
      <w:r w:rsidRPr="002C2BA1">
        <w:rPr>
          <w:rFonts w:cs="Arial"/>
        </w:rPr>
        <w:t>as well as the level of risk associated with the activity</w:t>
      </w:r>
      <w:r>
        <w:rPr>
          <w:rFonts w:cs="Arial"/>
        </w:rPr>
        <w:t>.</w:t>
      </w:r>
      <w:r w:rsidRPr="002C2BA1">
        <w:rPr>
          <w:rFonts w:cs="Arial"/>
          <w:color w:val="FF0000"/>
        </w:rPr>
        <w:t xml:space="preserve"> </w:t>
      </w:r>
      <w:r w:rsidR="004C4662" w:rsidRPr="005F471A">
        <w:rPr>
          <w:rFonts w:cs="Arial"/>
        </w:rPr>
        <w:t>A s</w:t>
      </w:r>
      <w:r w:rsidRPr="005F471A">
        <w:rPr>
          <w:rFonts w:cs="Arial"/>
        </w:rPr>
        <w:t xml:space="preserve">ample grant agreements </w:t>
      </w:r>
      <w:r w:rsidR="004C4662" w:rsidRPr="005F471A">
        <w:rPr>
          <w:rFonts w:cs="Arial"/>
        </w:rPr>
        <w:t xml:space="preserve">is </w:t>
      </w:r>
      <w:r w:rsidRPr="005F471A">
        <w:rPr>
          <w:rFonts w:cs="Arial"/>
        </w:rPr>
        <w:t xml:space="preserve">available on </w:t>
      </w:r>
      <w:hyperlink r:id="rId53">
        <w:r w:rsidRPr="005F471A">
          <w:rPr>
            <w:rStyle w:val="Hyperlink"/>
            <w:rFonts w:cs="Arial"/>
            <w:color w:val="auto"/>
          </w:rPr>
          <w:t>GrantConnect</w:t>
        </w:r>
      </w:hyperlink>
      <w:r w:rsidR="00DB3BD3" w:rsidRPr="00DB3BD3">
        <w:rPr>
          <w:rStyle w:val="Hyperlink"/>
          <w:rFonts w:cs="Arial"/>
          <w:color w:val="auto"/>
          <w:u w:val="none"/>
        </w:rPr>
        <w:t>.</w:t>
      </w:r>
      <w:r w:rsidRPr="00DB3BD3">
        <w:rPr>
          <w:rFonts w:cs="Arial"/>
        </w:rPr>
        <w:t xml:space="preserve"> </w:t>
      </w:r>
    </w:p>
    <w:p w14:paraId="3434595E" w14:textId="77777777" w:rsidR="002C2BA1" w:rsidRPr="002C2BA1" w:rsidRDefault="002C2BA1" w:rsidP="002C2BA1">
      <w:pPr>
        <w:rPr>
          <w:rFonts w:cs="Arial"/>
        </w:rPr>
      </w:pPr>
      <w:r w:rsidRPr="002C2BA1">
        <w:rPr>
          <w:rFonts w:cs="Arial"/>
        </w:rPr>
        <w:t>The grant agreement will provide a detailed description of the funded activity</w:t>
      </w:r>
      <w:r w:rsidRPr="002C2BA1">
        <w:rPr>
          <w:rFonts w:cs="Arial"/>
          <w:color w:val="FF0000"/>
        </w:rPr>
        <w:t xml:space="preserve"> </w:t>
      </w:r>
      <w:r w:rsidRPr="002C2BA1">
        <w:rPr>
          <w:rFonts w:cs="Arial"/>
        </w:rPr>
        <w:t>and specific terms and conditions, which may include:</w:t>
      </w:r>
    </w:p>
    <w:p w14:paraId="57553840" w14:textId="77777777" w:rsidR="002C2BA1" w:rsidRPr="002C2BA1" w:rsidRDefault="002C2BA1" w:rsidP="002C2BA1">
      <w:pPr>
        <w:pStyle w:val="ListBullet"/>
        <w:numPr>
          <w:ilvl w:val="0"/>
          <w:numId w:val="7"/>
        </w:numPr>
      </w:pPr>
      <w:r w:rsidRPr="002C2BA1">
        <w:t>key performance indicators and performance reporting requirements</w:t>
      </w:r>
    </w:p>
    <w:p w14:paraId="7B5BC590" w14:textId="77777777" w:rsidR="002C2BA1" w:rsidRPr="002C2BA1" w:rsidRDefault="002C2BA1" w:rsidP="002C2BA1">
      <w:pPr>
        <w:pStyle w:val="ListBullet"/>
        <w:numPr>
          <w:ilvl w:val="0"/>
          <w:numId w:val="7"/>
        </w:numPr>
      </w:pPr>
      <w:r w:rsidRPr="002C2BA1">
        <w:t xml:space="preserve">financial reporting requirements </w:t>
      </w:r>
    </w:p>
    <w:p w14:paraId="0AB72F1C" w14:textId="77777777" w:rsidR="002C2BA1" w:rsidRPr="002C2BA1" w:rsidRDefault="002C2BA1" w:rsidP="002C2BA1">
      <w:pPr>
        <w:pStyle w:val="ListBullet"/>
        <w:numPr>
          <w:ilvl w:val="0"/>
          <w:numId w:val="7"/>
        </w:numPr>
      </w:pPr>
      <w:r w:rsidRPr="002C2BA1">
        <w:t>a funding payment schedule</w:t>
      </w:r>
    </w:p>
    <w:p w14:paraId="3096FA26" w14:textId="77777777" w:rsidR="002C2BA1" w:rsidRPr="002C2BA1" w:rsidRDefault="002C2BA1" w:rsidP="002C2BA1">
      <w:pPr>
        <w:pStyle w:val="ListBullet"/>
        <w:numPr>
          <w:ilvl w:val="0"/>
          <w:numId w:val="7"/>
        </w:numPr>
      </w:pPr>
      <w:r w:rsidRPr="002C2BA1">
        <w:t>mandatory requirements for Working with Children checks, Working with Vulnerable People checks</w:t>
      </w:r>
    </w:p>
    <w:p w14:paraId="2B074764" w14:textId="77777777" w:rsidR="002C2BA1" w:rsidRPr="002C2BA1" w:rsidRDefault="002C2BA1" w:rsidP="002C2BA1">
      <w:pPr>
        <w:pStyle w:val="ListBullet"/>
        <w:numPr>
          <w:ilvl w:val="0"/>
          <w:numId w:val="7"/>
        </w:numPr>
      </w:pPr>
      <w:r w:rsidRPr="002C2BA1">
        <w:t>mandatory requirements to comply with applicable work health and safety obligations including those provided under Commonwealth work health and safety legislation</w:t>
      </w:r>
    </w:p>
    <w:p w14:paraId="514A9B06" w14:textId="77777777" w:rsidR="002C2BA1" w:rsidRPr="002C2BA1" w:rsidRDefault="002C2BA1" w:rsidP="002C2BA1">
      <w:pPr>
        <w:pStyle w:val="ListBullet"/>
        <w:numPr>
          <w:ilvl w:val="0"/>
          <w:numId w:val="7"/>
        </w:numPr>
      </w:pPr>
      <w:r w:rsidRPr="002C2BA1">
        <w:t xml:space="preserve">insurance requirements including compliance with the </w:t>
      </w:r>
      <w:hyperlink r:id="rId54" w:history="1">
        <w:r w:rsidRPr="002C2BA1">
          <w:rPr>
            <w:rStyle w:val="Hyperlink"/>
            <w:i/>
          </w:rPr>
          <w:t>Work Health and Safety Act 2011</w:t>
        </w:r>
      </w:hyperlink>
      <w:r w:rsidRPr="002C2BA1">
        <w:t xml:space="preserve"> to cover your obligations in relation to the grant funding to be delivered</w:t>
      </w:r>
    </w:p>
    <w:p w14:paraId="362A0AE6" w14:textId="77777777" w:rsidR="002C2BA1" w:rsidRPr="002C2BA1" w:rsidRDefault="002C2BA1" w:rsidP="002C2BA1">
      <w:pPr>
        <w:pStyle w:val="ListBullet"/>
        <w:numPr>
          <w:ilvl w:val="0"/>
          <w:numId w:val="7"/>
        </w:numPr>
      </w:pPr>
      <w:r w:rsidRPr="002C2BA1">
        <w:t xml:space="preserve">compliance with the Australian Privacy Principles as set out in Schedule 1 of the </w:t>
      </w:r>
      <w:hyperlink r:id="rId55" w:history="1">
        <w:r w:rsidRPr="002C2BA1">
          <w:rPr>
            <w:rStyle w:val="Hyperlink"/>
            <w:i/>
          </w:rPr>
          <w:t>Privacy Act 1988</w:t>
        </w:r>
      </w:hyperlink>
      <w:r w:rsidRPr="002C2BA1">
        <w:t>. Further information about privacy and confidentiality is also included at section 13</w:t>
      </w:r>
      <w:r w:rsidR="004C4662">
        <w:t>.3</w:t>
      </w:r>
      <w:r w:rsidRPr="002C2BA1">
        <w:t xml:space="preserve"> of this document</w:t>
      </w:r>
    </w:p>
    <w:p w14:paraId="05F0EB9B" w14:textId="77777777" w:rsidR="002C2BA1" w:rsidRPr="002C2BA1" w:rsidRDefault="002C2BA1" w:rsidP="002C2BA1">
      <w:pPr>
        <w:pStyle w:val="ListBullet"/>
        <w:numPr>
          <w:ilvl w:val="0"/>
          <w:numId w:val="7"/>
        </w:numPr>
      </w:pPr>
      <w:r w:rsidRPr="002C2BA1">
        <w:t>requirements to maintain the confidentiality of any information deemed by the Commonwealth to be confidential</w:t>
      </w:r>
    </w:p>
    <w:p w14:paraId="068B48D1" w14:textId="77777777" w:rsidR="002C2BA1" w:rsidRPr="002C2BA1" w:rsidRDefault="002C2BA1" w:rsidP="002C2BA1">
      <w:pPr>
        <w:pStyle w:val="ListBullet"/>
        <w:numPr>
          <w:ilvl w:val="0"/>
          <w:numId w:val="7"/>
        </w:numPr>
        <w:rPr>
          <w:rFonts w:cs="Arial"/>
        </w:rPr>
      </w:pPr>
      <w:r w:rsidRPr="002C2BA1">
        <w:t>record keeping</w:t>
      </w:r>
      <w:r w:rsidRPr="002C2BA1">
        <w:rPr>
          <w:rFonts w:cs="Arial"/>
        </w:rPr>
        <w:t xml:space="preserve"> requirements.</w:t>
      </w:r>
    </w:p>
    <w:p w14:paraId="2875338C" w14:textId="77777777" w:rsidR="002C2BA1" w:rsidRPr="002C2BA1" w:rsidRDefault="002C2BA1" w:rsidP="002C2BA1">
      <w:pPr>
        <w:rPr>
          <w:rFonts w:cs="Arial"/>
        </w:rPr>
      </w:pPr>
      <w:r w:rsidRPr="002C2BA1">
        <w:rPr>
          <w:rFonts w:cs="Arial"/>
        </w:rPr>
        <w:t xml:space="preserve">To give assurance to the preference to fund suitable Indigenous organisations, your grant agreement may also contain conditions that your organisation must maintain a specified percentage of Indigenous ownership, control, management or employment and be able to provide evidence of this, on request. You may also be required to notify the Agency if you have a change in circumstances that means you no longer meet these conditions.  </w:t>
      </w:r>
    </w:p>
    <w:p w14:paraId="33474F7C" w14:textId="77777777" w:rsidR="002C2BA1" w:rsidRPr="002C2BA1" w:rsidRDefault="002C2BA1" w:rsidP="002C2BA1">
      <w:pPr>
        <w:rPr>
          <w:rFonts w:cs="Arial"/>
        </w:rPr>
      </w:pPr>
      <w:r w:rsidRPr="002C2BA1">
        <w:rPr>
          <w:rFonts w:cs="Arial"/>
        </w:rPr>
        <w:t xml:space="preserve">You will work with an Agreement Manager from the </w:t>
      </w:r>
      <w:hyperlink r:id="rId56" w:history="1">
        <w:r w:rsidRPr="002C2BA1">
          <w:rPr>
            <w:rStyle w:val="Hyperlink"/>
            <w:rFonts w:cs="Arial"/>
          </w:rPr>
          <w:t>NIAA Regional Office</w:t>
        </w:r>
      </w:hyperlink>
      <w:r w:rsidRPr="002C2BA1">
        <w:rPr>
          <w:rFonts w:cs="Arial"/>
        </w:rPr>
        <w:t xml:space="preserve"> or National Office to effectively manage the grant agreement. </w:t>
      </w:r>
    </w:p>
    <w:p w14:paraId="51C128C7" w14:textId="77777777" w:rsidR="002C2BA1" w:rsidRPr="002C2BA1" w:rsidRDefault="002C2BA1" w:rsidP="002C2BA1">
      <w:pPr>
        <w:rPr>
          <w:rFonts w:cs="Arial"/>
        </w:rPr>
      </w:pPr>
      <w:r w:rsidRPr="002C2BA1">
        <w:rPr>
          <w:rFonts w:cs="Arial"/>
        </w:rPr>
        <w:t>The Agency must execute a grant agreement with you before we can make any payments. There is no guarantee of funding until both parties have executed a grant agreement, and the Agency is not responsible for any of your expenditure until a grant agreement is executed.</w:t>
      </w:r>
    </w:p>
    <w:p w14:paraId="7A46473C" w14:textId="77777777" w:rsidR="002C2BA1" w:rsidRPr="002C2BA1" w:rsidRDefault="002C2BA1" w:rsidP="002C2BA1">
      <w:pPr>
        <w:rPr>
          <w:rFonts w:cs="Arial"/>
        </w:rPr>
      </w:pPr>
      <w:r w:rsidRPr="002C2BA1">
        <w:rPr>
          <w:rFonts w:cs="Arial"/>
        </w:rPr>
        <w:t>If you choose to start your grant activity before you have an executed grant agreement, you do so at your own risk (including incurring financial costs that may not be covered by the grant agreement).</w:t>
      </w:r>
    </w:p>
    <w:p w14:paraId="7527CD0B" w14:textId="77777777" w:rsidR="002C2BA1" w:rsidRPr="002C2BA1" w:rsidRDefault="002C2BA1" w:rsidP="002C2BA1">
      <w:pPr>
        <w:rPr>
          <w:rFonts w:cs="Arial"/>
        </w:rPr>
      </w:pPr>
      <w:r w:rsidRPr="002C2BA1">
        <w:rPr>
          <w:rFonts w:cs="Arial"/>
        </w:rPr>
        <w:t>If you receive any grant funding from other Commonwealth, state or territory government granting programs for the same activity this may limit the amount of funding you might be entitled to under the activity, unless specifically agreed to in writing by the Agency. You must provide information about other funding received for the Agency’s consideration.</w:t>
      </w:r>
    </w:p>
    <w:p w14:paraId="12F20FC4" w14:textId="77777777" w:rsidR="002C2BA1" w:rsidRPr="002C2BA1" w:rsidRDefault="002C2BA1" w:rsidP="002C2BA1">
      <w:pPr>
        <w:spacing w:after="240"/>
        <w:rPr>
          <w:rFonts w:cs="Arial"/>
        </w:rPr>
      </w:pPr>
      <w:r w:rsidRPr="002C2BA1">
        <w:rPr>
          <w:rFonts w:cs="Arial"/>
        </w:rPr>
        <w:t xml:space="preserve">If you fail to meet the obligations of the grant agreement, the Agency may terminate the agreement. The Agency or the Commonwealth may also recover grant funds if there is a breach of the grant agreement. </w:t>
      </w:r>
    </w:p>
    <w:p w14:paraId="6B5393EA" w14:textId="77777777" w:rsidR="002C2BA1" w:rsidRPr="002C2BA1" w:rsidRDefault="002C2BA1" w:rsidP="002C2BA1">
      <w:pPr>
        <w:spacing w:after="240" w:line="276" w:lineRule="auto"/>
      </w:pPr>
      <w:r w:rsidRPr="002C2BA1">
        <w:t>The Agreement incorporates appropriate safeguards against fraud and unlawful activities and includes the right to request the removal of personnel for other inappropriate conduct or associations that may cause reputational damage to the Agency or Commonwealth.</w:t>
      </w:r>
    </w:p>
    <w:p w14:paraId="005E5D51" w14:textId="77777777" w:rsidR="002C2BA1" w:rsidRPr="002C2BA1" w:rsidRDefault="002C2BA1" w:rsidP="00905C13">
      <w:pPr>
        <w:pStyle w:val="Heading3"/>
        <w:ind w:left="1134"/>
      </w:pPr>
      <w:bookmarkStart w:id="100" w:name="_Toc80776791"/>
      <w:bookmarkStart w:id="101" w:name="_Toc170734145"/>
      <w:r w:rsidRPr="002C2BA1">
        <w:t>Management of Debt and Underspend</w:t>
      </w:r>
      <w:bookmarkEnd w:id="100"/>
      <w:bookmarkEnd w:id="101"/>
    </w:p>
    <w:p w14:paraId="3F2E8FB8" w14:textId="77777777" w:rsidR="002C2BA1" w:rsidRPr="002C2BA1" w:rsidRDefault="002C2BA1" w:rsidP="002C2BA1">
      <w:pPr>
        <w:spacing w:after="240"/>
        <w:rPr>
          <w:rFonts w:cs="Arial"/>
        </w:rPr>
      </w:pPr>
      <w:r w:rsidRPr="002C2BA1">
        <w:rPr>
          <w:rFonts w:cs="Arial"/>
        </w:rPr>
        <w:t xml:space="preserve">A previous debt or underspend of an IAS grant may influence the outcome of an application, including an awarded grant amount. The Agency reserves the right to recover underspends of one grant via offsets in another. Offsetting involves reducing future grant payments up to the amount of the underspend. If a debt has been incurred, the Agency may seek return of those funds or pursue other remedies. </w:t>
      </w:r>
    </w:p>
    <w:p w14:paraId="784C4E86" w14:textId="77777777" w:rsidR="002C2BA1" w:rsidRPr="002C2BA1" w:rsidRDefault="002F59EA" w:rsidP="00905C13">
      <w:pPr>
        <w:pStyle w:val="Heading3"/>
        <w:ind w:left="1134"/>
      </w:pPr>
      <w:bookmarkStart w:id="102" w:name="_Toc526246620"/>
      <w:bookmarkStart w:id="103" w:name="_Toc80776792"/>
      <w:bookmarkStart w:id="104" w:name="_Toc170734146"/>
      <w:r>
        <w:t>N</w:t>
      </w:r>
      <w:r w:rsidR="002C2BA1" w:rsidRPr="002C2BA1">
        <w:t>egotiation of funded activities</w:t>
      </w:r>
      <w:bookmarkEnd w:id="102"/>
      <w:bookmarkEnd w:id="103"/>
      <w:bookmarkEnd w:id="104"/>
    </w:p>
    <w:p w14:paraId="226D5A40" w14:textId="77777777" w:rsidR="002C2BA1" w:rsidRPr="002C2BA1" w:rsidRDefault="002C2BA1" w:rsidP="002C2BA1">
      <w:pPr>
        <w:pStyle w:val="PFNumLevel2"/>
        <w:numPr>
          <w:ilvl w:val="1"/>
          <w:numId w:val="0"/>
        </w:numPr>
        <w:tabs>
          <w:tab w:val="left" w:pos="851"/>
        </w:tabs>
        <w:spacing w:before="0"/>
        <w:rPr>
          <w:rFonts w:eastAsiaTheme="minorEastAsia" w:cs="Arial"/>
          <w:color w:val="auto"/>
          <w:sz w:val="20"/>
          <w:lang w:eastAsia="en-AU"/>
        </w:rPr>
      </w:pPr>
      <w:r w:rsidRPr="002C2BA1">
        <w:rPr>
          <w:rFonts w:cs="Arial"/>
          <w:sz w:val="20"/>
        </w:rPr>
        <w:t>B</w:t>
      </w:r>
      <w:r w:rsidRPr="002C2BA1">
        <w:rPr>
          <w:rFonts w:eastAsiaTheme="minorEastAsia" w:cs="Arial"/>
          <w:color w:val="auto"/>
          <w:sz w:val="20"/>
          <w:lang w:eastAsia="en-AU"/>
        </w:rPr>
        <w:t xml:space="preserve">efore a grant agreement is entered into, the Agency will negotiate the scope of the activity and the terms and conditions with you. Relevant community stakeholders may also be involved in these negotiations to ensure the activity is tailored to meet local community or regional need.  </w:t>
      </w:r>
    </w:p>
    <w:p w14:paraId="582C0E8F" w14:textId="77777777" w:rsidR="002C2BA1" w:rsidRPr="002C2BA1" w:rsidRDefault="002C2BA1" w:rsidP="002C2BA1">
      <w:pPr>
        <w:pStyle w:val="PFNumLevel2"/>
        <w:numPr>
          <w:ilvl w:val="1"/>
          <w:numId w:val="0"/>
        </w:numPr>
        <w:tabs>
          <w:tab w:val="left" w:pos="851"/>
        </w:tabs>
        <w:spacing w:before="0" w:after="240"/>
        <w:rPr>
          <w:rFonts w:eastAsiaTheme="minorEastAsia" w:cs="Arial"/>
          <w:color w:val="auto"/>
          <w:sz w:val="20"/>
          <w:lang w:eastAsia="en-AU"/>
        </w:rPr>
      </w:pPr>
      <w:r w:rsidRPr="002C2BA1">
        <w:rPr>
          <w:rFonts w:eastAsiaTheme="minorEastAsia" w:cs="Arial"/>
          <w:color w:val="auto"/>
          <w:sz w:val="20"/>
          <w:lang w:eastAsia="en-AU"/>
        </w:rPr>
        <w:t xml:space="preserve">If there are unreasonable delays in finalising a grant agreement, the grant offer may be withdrawn and the grant may be offered to a different applicant. </w:t>
      </w:r>
    </w:p>
    <w:p w14:paraId="2D375E77" w14:textId="77777777" w:rsidR="002C2BA1" w:rsidRPr="002C2BA1" w:rsidRDefault="002C2BA1" w:rsidP="00905C13">
      <w:pPr>
        <w:pStyle w:val="Heading3"/>
        <w:ind w:left="1134"/>
      </w:pPr>
      <w:bookmarkStart w:id="105" w:name="_Toc526246621"/>
      <w:bookmarkStart w:id="106" w:name="_Toc80776793"/>
      <w:bookmarkStart w:id="107" w:name="_Toc170734147"/>
      <w:r w:rsidRPr="002C2BA1">
        <w:t>Execution of the grant agreement</w:t>
      </w:r>
      <w:bookmarkEnd w:id="105"/>
      <w:bookmarkEnd w:id="106"/>
      <w:bookmarkEnd w:id="107"/>
    </w:p>
    <w:p w14:paraId="402FBEE4" w14:textId="77777777" w:rsidR="002C2BA1" w:rsidRPr="002C2BA1" w:rsidRDefault="002C2BA1" w:rsidP="002C2BA1">
      <w:pPr>
        <w:rPr>
          <w:rFonts w:cs="Arial"/>
        </w:rPr>
      </w:pPr>
      <w:r w:rsidRPr="002C2BA1">
        <w:rPr>
          <w:rFonts w:cs="Arial"/>
        </w:rPr>
        <w:t xml:space="preserve">You will have 30 days from the date of a written offer to execute the grant agreement with the Commonwealth or in accordance with other instructions provided by the Agency in writing. During this time, we will work with you to finalise details. </w:t>
      </w:r>
    </w:p>
    <w:p w14:paraId="02BB0B7F" w14:textId="77777777" w:rsidR="002C2BA1" w:rsidRPr="0011382B" w:rsidRDefault="002C2BA1" w:rsidP="002C2BA1">
      <w:pPr>
        <w:spacing w:after="240"/>
        <w:rPr>
          <w:rFonts w:cs="Arial"/>
        </w:rPr>
      </w:pPr>
      <w:r w:rsidRPr="002C2BA1">
        <w:rPr>
          <w:rFonts w:cs="Arial"/>
        </w:rPr>
        <w:t xml:space="preserve">The offer may lapse if both parties do not sign the grant agreement within this time. Under certain circumstances, we may extend this period. </w:t>
      </w:r>
    </w:p>
    <w:p w14:paraId="5CB4B25E" w14:textId="77777777" w:rsidR="00933357" w:rsidRDefault="005C30BA" w:rsidP="00905C13">
      <w:pPr>
        <w:pStyle w:val="Heading3"/>
        <w:ind w:left="1134"/>
      </w:pPr>
      <w:bookmarkStart w:id="108" w:name="_Toc170734148"/>
      <w:r>
        <w:t>Specific legislation, policies and industry standards</w:t>
      </w:r>
      <w:bookmarkEnd w:id="108"/>
      <w:r>
        <w:t xml:space="preserve"> </w:t>
      </w:r>
    </w:p>
    <w:p w14:paraId="1B2BB8F0" w14:textId="77777777" w:rsidR="00D4499F" w:rsidRPr="003E1748" w:rsidRDefault="003F5421" w:rsidP="00720C1C">
      <w:r>
        <w:t>Whilst y</w:t>
      </w:r>
      <w:r w:rsidR="00933357">
        <w:t>ou are required to be compliant with all relevant laws and regulations</w:t>
      </w:r>
      <w:r>
        <w:t xml:space="preserve">, </w:t>
      </w:r>
      <w:r w:rsidRPr="003E1748">
        <w:t>you may be</w:t>
      </w:r>
      <w:r w:rsidR="00974125" w:rsidRPr="003E1748">
        <w:t xml:space="preserve"> </w:t>
      </w:r>
      <w:r w:rsidRPr="003E1748">
        <w:t xml:space="preserve">requested </w:t>
      </w:r>
      <w:r w:rsidR="00D4499F" w:rsidRPr="003E1748">
        <w:t>to demonstrate compliance with the following legislation/policies/industry standards:</w:t>
      </w:r>
    </w:p>
    <w:p w14:paraId="7762922C" w14:textId="77777777" w:rsidR="00E62D21" w:rsidRPr="00D82BBE" w:rsidRDefault="002F59EA" w:rsidP="009F02A2">
      <w:pPr>
        <w:pStyle w:val="ListParagraph"/>
        <w:numPr>
          <w:ilvl w:val="0"/>
          <w:numId w:val="39"/>
        </w:numPr>
        <w:rPr>
          <w:rFonts w:cs="Arial"/>
        </w:rPr>
      </w:pPr>
      <w:r w:rsidRPr="00D82BBE">
        <w:rPr>
          <w:rFonts w:cs="Arial"/>
        </w:rPr>
        <w:t>Fair Work Act</w:t>
      </w:r>
    </w:p>
    <w:p w14:paraId="1B8E8AA9" w14:textId="77777777" w:rsidR="002F59EA" w:rsidRPr="003E1748" w:rsidRDefault="002F59EA" w:rsidP="009F02A2">
      <w:pPr>
        <w:pStyle w:val="ListParagraph"/>
        <w:numPr>
          <w:ilvl w:val="0"/>
          <w:numId w:val="39"/>
        </w:numPr>
      </w:pPr>
      <w:r w:rsidRPr="00D82BBE">
        <w:rPr>
          <w:rFonts w:cs="Arial"/>
        </w:rPr>
        <w:t>Superannuation Act</w:t>
      </w:r>
    </w:p>
    <w:p w14:paraId="26CBBC70" w14:textId="32F992F9" w:rsidR="00DF69F4" w:rsidRPr="003E1748" w:rsidRDefault="00933357" w:rsidP="00BB46C4">
      <w:r w:rsidRPr="003E1748">
        <w:t>To be eligible</w:t>
      </w:r>
      <w:r w:rsidR="00D4499F" w:rsidRPr="003E1748">
        <w:t xml:space="preserve"> for a grant</w:t>
      </w:r>
      <w:r w:rsidRPr="003E1748">
        <w:t xml:space="preserve">, you must declare in your application that you comply with these requirements. You </w:t>
      </w:r>
      <w:r w:rsidR="001C7BBA" w:rsidRPr="003E1748">
        <w:t>may</w:t>
      </w:r>
      <w:r w:rsidRPr="003E1748">
        <w:t xml:space="preserve"> need to declare you can meet these requirements in your grant a</w:t>
      </w:r>
      <w:bookmarkStart w:id="109" w:name="_Toc489952707"/>
      <w:r w:rsidR="00BB46C4" w:rsidRPr="003E1748">
        <w:t>greement with the Commonwealth.</w:t>
      </w:r>
    </w:p>
    <w:p w14:paraId="760452C3" w14:textId="77777777" w:rsidR="00D057B9" w:rsidRDefault="004545F3" w:rsidP="00905C13">
      <w:pPr>
        <w:pStyle w:val="Heading3"/>
        <w:ind w:left="1134"/>
      </w:pPr>
      <w:bookmarkStart w:id="110" w:name="_Toc170734149"/>
      <w:bookmarkEnd w:id="109"/>
      <w:r w:rsidRPr="00F4677D">
        <w:t xml:space="preserve">How </w:t>
      </w:r>
      <w:r w:rsidR="00756BBB" w:rsidRPr="00F4677D">
        <w:t xml:space="preserve">we pay </w:t>
      </w:r>
      <w:r w:rsidRPr="00F4677D">
        <w:t>the grant</w:t>
      </w:r>
      <w:bookmarkEnd w:id="110"/>
    </w:p>
    <w:p w14:paraId="1EE7F0C3" w14:textId="77777777" w:rsidR="002C2BA1" w:rsidRPr="002C2BA1" w:rsidRDefault="002C2BA1" w:rsidP="002C2BA1">
      <w:pPr>
        <w:rPr>
          <w:rFonts w:cs="Arial"/>
        </w:rPr>
      </w:pPr>
      <w:r w:rsidRPr="002C2BA1">
        <w:rPr>
          <w:rFonts w:cs="Arial"/>
        </w:rPr>
        <w:t>The NIAA may make an initial payment</w:t>
      </w:r>
      <w:r w:rsidR="00D82BBE">
        <w:rPr>
          <w:rFonts w:cs="Arial"/>
        </w:rPr>
        <w:t xml:space="preserve"> of up to 25%</w:t>
      </w:r>
      <w:r w:rsidRPr="002C2BA1">
        <w:rPr>
          <w:rFonts w:cs="Arial"/>
        </w:rPr>
        <w:t xml:space="preserve"> on execution of the grant agreement. Subsequent payment</w:t>
      </w:r>
      <w:r w:rsidR="00D82BBE">
        <w:rPr>
          <w:rFonts w:cs="Arial"/>
        </w:rPr>
        <w:t>s</w:t>
      </w:r>
      <w:r w:rsidRPr="002C2BA1">
        <w:rPr>
          <w:rFonts w:cs="Arial"/>
        </w:rPr>
        <w:t xml:space="preserve"> of funding, whether quarterly, six monthly or annually, is dependent on you complying with the grant agreement requirements, including satisfactory progress against performance and financial reporting milestones. You will also be required to report how you spent the grant funds during the period of the grant activity or at the completion of the grant activity. </w:t>
      </w:r>
    </w:p>
    <w:p w14:paraId="430C2E4C" w14:textId="77777777" w:rsidR="002C2BA1" w:rsidRPr="002C2BA1" w:rsidRDefault="002C2BA1" w:rsidP="00D82BBE">
      <w:pPr>
        <w:rPr>
          <w:rFonts w:cs="Arial"/>
        </w:rPr>
      </w:pPr>
      <w:r w:rsidRPr="002C2BA1">
        <w:rPr>
          <w:rFonts w:cs="Arial"/>
        </w:rPr>
        <w:t>The funding provided by the NIAA will not exceed the total funding amount set out in the funding agreement. If your expenditure exceeds the amount granted you must pay this additional expenditure yourself.</w:t>
      </w:r>
    </w:p>
    <w:p w14:paraId="4559020F" w14:textId="77777777" w:rsidR="00E65040" w:rsidRPr="00D82BBE" w:rsidRDefault="004545F3" w:rsidP="00D82BBE">
      <w:pPr>
        <w:rPr>
          <w:rFonts w:cs="Arial"/>
        </w:rPr>
      </w:pPr>
      <w:bookmarkStart w:id="111" w:name="_Toc466898122"/>
      <w:r w:rsidRPr="00D82BBE">
        <w:rPr>
          <w:rFonts w:cs="Arial"/>
        </w:rPr>
        <w:t>The grant agreement will state the</w:t>
      </w:r>
      <w:r w:rsidR="00512EB0" w:rsidRPr="00D82BBE">
        <w:rPr>
          <w:rFonts w:cs="Arial"/>
        </w:rPr>
        <w:t xml:space="preserve"> </w:t>
      </w:r>
      <w:r w:rsidRPr="00D82BBE">
        <w:rPr>
          <w:rFonts w:cs="Arial"/>
        </w:rPr>
        <w:t>maximum grant amount to be paid</w:t>
      </w:r>
      <w:r w:rsidR="00934E38" w:rsidRPr="00D82BBE">
        <w:rPr>
          <w:rFonts w:cs="Arial"/>
        </w:rPr>
        <w:t xml:space="preserve">. The NIAA </w:t>
      </w:r>
      <w:r w:rsidRPr="00D82BBE">
        <w:rPr>
          <w:rFonts w:cs="Arial"/>
        </w:rPr>
        <w:t xml:space="preserve">will not exceed the maximum grant amount under any circumstances. </w:t>
      </w:r>
      <w:r w:rsidR="00F54D43" w:rsidRPr="00D82BBE">
        <w:rPr>
          <w:rFonts w:cs="Arial"/>
        </w:rPr>
        <w:t xml:space="preserve">You must meet any extra costs </w:t>
      </w:r>
      <w:r w:rsidRPr="00D82BBE">
        <w:rPr>
          <w:rFonts w:cs="Arial"/>
        </w:rPr>
        <w:t>you incur</w:t>
      </w:r>
      <w:r w:rsidR="00F54D43" w:rsidRPr="00D82BBE">
        <w:rPr>
          <w:rFonts w:cs="Arial"/>
        </w:rPr>
        <w:t>.</w:t>
      </w:r>
    </w:p>
    <w:p w14:paraId="02B0DB3C" w14:textId="77777777" w:rsidR="003E1748" w:rsidRPr="004F4183" w:rsidRDefault="003E1748" w:rsidP="00D82BBE">
      <w:pPr>
        <w:rPr>
          <w:bCs/>
          <w:lang w:eastAsia="en-AU"/>
        </w:rPr>
      </w:pPr>
      <w:r w:rsidRPr="00D82BBE">
        <w:rPr>
          <w:rFonts w:cs="Arial"/>
        </w:rPr>
        <w:t>Payment of grant funding</w:t>
      </w:r>
      <w:r>
        <w:rPr>
          <w:bCs/>
          <w:lang w:eastAsia="en-AU"/>
        </w:rPr>
        <w:t xml:space="preserve"> will also be </w:t>
      </w:r>
      <w:r w:rsidR="00BF29D1">
        <w:rPr>
          <w:bCs/>
          <w:lang w:eastAsia="en-AU"/>
        </w:rPr>
        <w:t>dependent</w:t>
      </w:r>
      <w:r>
        <w:rPr>
          <w:bCs/>
          <w:lang w:eastAsia="en-AU"/>
        </w:rPr>
        <w:t xml:space="preserve"> on eligible grant recipients be</w:t>
      </w:r>
      <w:r w:rsidR="00BF29D1">
        <w:rPr>
          <w:bCs/>
          <w:lang w:eastAsia="en-AU"/>
        </w:rPr>
        <w:t xml:space="preserve">ing employed in the jobs created within an appropriate period of time. </w:t>
      </w:r>
    </w:p>
    <w:p w14:paraId="55D741D8" w14:textId="77777777" w:rsidR="00C05A13" w:rsidRDefault="00C05A13" w:rsidP="00905C13">
      <w:pPr>
        <w:pStyle w:val="Heading3"/>
        <w:ind w:left="1134"/>
      </w:pPr>
      <w:bookmarkStart w:id="112" w:name="_Toc170734150"/>
      <w:r>
        <w:t>Grants Payments and GST</w:t>
      </w:r>
      <w:bookmarkEnd w:id="112"/>
    </w:p>
    <w:p w14:paraId="3E05EC63" w14:textId="46F5FB2C" w:rsidR="008B5C65" w:rsidRDefault="008B5C65" w:rsidP="008B5C65">
      <w:r w:rsidRPr="0008705C">
        <w:t xml:space="preserve">Payments will be </w:t>
      </w:r>
      <w:hyperlink r:id="rId57" w:history="1">
        <w:r w:rsidR="002F01D7" w:rsidRPr="00A0120E">
          <w:rPr>
            <w:rStyle w:val="Hyperlink"/>
          </w:rPr>
          <w:t>Goods and Services Tax (GST)</w:t>
        </w:r>
      </w:hyperlink>
      <w:r w:rsidRPr="0008705C">
        <w:t xml:space="preserve"> Inclusive</w:t>
      </w:r>
      <w:r w:rsidR="002F01D7">
        <w:t xml:space="preserve"> </w:t>
      </w:r>
      <w:r w:rsidR="002F01D7" w:rsidRPr="004F7342">
        <w:rPr>
          <w:rFonts w:cs="Arial"/>
        </w:rPr>
        <w:t>unless you are not registered for GST or certain exceptions set out in the GST legislation apply</w:t>
      </w:r>
      <w:r w:rsidR="00D82BBE">
        <w:rPr>
          <w:rFonts w:cs="Arial"/>
        </w:rPr>
        <w:t>, including for wages</w:t>
      </w:r>
      <w:r w:rsidRPr="0008705C">
        <w:t>.</w:t>
      </w:r>
      <w:r>
        <w:t xml:space="preserve"> </w:t>
      </w:r>
      <w:r w:rsidR="002F01D7">
        <w:t xml:space="preserve">Subject to those exceptions, </w:t>
      </w:r>
      <w:r w:rsidR="00794999">
        <w:t>the NIAA</w:t>
      </w:r>
      <w:r w:rsidRPr="00815A59">
        <w:t xml:space="preserve"> will add GST to your grant payment</w:t>
      </w:r>
      <w:r>
        <w:t xml:space="preserve"> and issue you with a </w:t>
      </w:r>
      <w:hyperlink r:id="rId58" w:history="1">
        <w:r w:rsidRPr="004523E8">
          <w:rPr>
            <w:rStyle w:val="Hyperlink"/>
          </w:rPr>
          <w:t>Recipient Created Tax Invoice.</w:t>
        </w:r>
      </w:hyperlink>
    </w:p>
    <w:p w14:paraId="044A788C" w14:textId="77777777" w:rsidR="002C2BA1" w:rsidRPr="00815A59" w:rsidRDefault="002C2BA1" w:rsidP="008B5C65">
      <w:r w:rsidRPr="002C2BA1">
        <w:t>Unless otherwise indicated by the NIAA, all figures quoted in grant documentation will be GST exclusive.</w:t>
      </w:r>
    </w:p>
    <w:p w14:paraId="37FF3986" w14:textId="77777777" w:rsidR="00DD31D7" w:rsidRDefault="00D22A04" w:rsidP="00427665">
      <w:r w:rsidRPr="00E162FF">
        <w:t xml:space="preserve">Grants are assessable income for taxation purposes, unless exempted by a taxation law. </w:t>
      </w:r>
      <w:r w:rsidR="00794999">
        <w:t>The NIAA</w:t>
      </w:r>
      <w:r>
        <w:t xml:space="preserve"> recommend you</w:t>
      </w:r>
      <w:r w:rsidRPr="00E162FF">
        <w:t xml:space="preserve"> seek independent professional advice on </w:t>
      </w:r>
      <w:r>
        <w:t>your</w:t>
      </w:r>
      <w:r w:rsidRPr="00E162FF">
        <w:t xml:space="preserve"> taxation obligations</w:t>
      </w:r>
      <w:r>
        <w:t xml:space="preserve"> or seek assistance from the </w:t>
      </w:r>
      <w:hyperlink r:id="rId59" w:history="1">
        <w:r w:rsidRPr="002612BF">
          <w:rPr>
            <w:rStyle w:val="Hyperlink"/>
          </w:rPr>
          <w:t>Australian Taxation Office</w:t>
        </w:r>
      </w:hyperlink>
      <w:r w:rsidRPr="00E162FF">
        <w:t>.</w:t>
      </w:r>
      <w:r>
        <w:rPr>
          <w:rStyle w:val="FootnoteReference"/>
        </w:rPr>
        <w:footnoteReference w:id="9"/>
      </w:r>
      <w:r w:rsidRPr="00E162FF">
        <w:t xml:space="preserve"> </w:t>
      </w:r>
      <w:r w:rsidR="00794999">
        <w:t>The NIAA</w:t>
      </w:r>
      <w:r>
        <w:t xml:space="preserve"> do not</w:t>
      </w:r>
      <w:r w:rsidRPr="00E162FF">
        <w:t xml:space="preserve"> provide advice on </w:t>
      </w:r>
      <w:r w:rsidR="00780216">
        <w:t xml:space="preserve">your particular </w:t>
      </w:r>
      <w:r w:rsidRPr="00E162FF">
        <w:t>tax</w:t>
      </w:r>
      <w:r w:rsidR="00780216">
        <w:t>ation circumstances</w:t>
      </w:r>
      <w:r w:rsidRPr="00E162FF">
        <w:t>.</w:t>
      </w:r>
      <w:r w:rsidR="004161D7" w:rsidRPr="004161D7">
        <w:t xml:space="preserve"> </w:t>
      </w:r>
    </w:p>
    <w:p w14:paraId="554E9907" w14:textId="55EBDD9D" w:rsidR="00E1311F" w:rsidDel="00457E6C" w:rsidRDefault="00E1311F" w:rsidP="00A4685F">
      <w:pPr>
        <w:pStyle w:val="Heading2"/>
        <w:numPr>
          <w:ilvl w:val="0"/>
          <w:numId w:val="8"/>
        </w:numPr>
      </w:pPr>
      <w:bookmarkStart w:id="113" w:name="_Toc494290551"/>
      <w:bookmarkStart w:id="114" w:name="_Toc485726977"/>
      <w:bookmarkStart w:id="115" w:name="_Toc485736597"/>
      <w:bookmarkStart w:id="116" w:name="_Toc170734151"/>
      <w:bookmarkStart w:id="117" w:name="_Toc164844284"/>
      <w:bookmarkEnd w:id="111"/>
      <w:bookmarkEnd w:id="113"/>
      <w:r w:rsidDel="00457E6C">
        <w:t>Announcement of grants</w:t>
      </w:r>
      <w:bookmarkEnd w:id="114"/>
      <w:bookmarkEnd w:id="115"/>
      <w:bookmarkEnd w:id="116"/>
    </w:p>
    <w:p w14:paraId="43518918" w14:textId="77777777" w:rsidR="00DD31D7" w:rsidDel="00457E6C" w:rsidRDefault="00E1311F" w:rsidP="00DD31D7">
      <w:pPr>
        <w:rPr>
          <w:i/>
        </w:rPr>
      </w:pPr>
      <w:r w:rsidDel="00457E6C">
        <w:t>If</w:t>
      </w:r>
      <w:r w:rsidR="00DD31D7">
        <w:t xml:space="preserve"> a grant</w:t>
      </w:r>
      <w:r w:rsidR="00D222C7">
        <w:t xml:space="preserve"> agreement</w:t>
      </w:r>
      <w:r w:rsidR="00DD31D7">
        <w:t xml:space="preserve"> is executed</w:t>
      </w:r>
      <w:r w:rsidDel="00457E6C">
        <w:t xml:space="preserve">, </w:t>
      </w:r>
      <w:r w:rsidR="00DD31D7">
        <w:t xml:space="preserve">it </w:t>
      </w:r>
      <w:r w:rsidDel="0035202F">
        <w:t>will be listed</w:t>
      </w:r>
      <w:r w:rsidRPr="00B72EE8" w:rsidDel="0035202F">
        <w:t xml:space="preserve"> </w:t>
      </w:r>
      <w:r w:rsidRPr="00B72EE8" w:rsidDel="00457E6C">
        <w:t>on</w:t>
      </w:r>
      <w:r w:rsidDel="00457E6C">
        <w:t xml:space="preserve"> the </w:t>
      </w:r>
      <w:hyperlink r:id="rId60" w:history="1">
        <w:r w:rsidRPr="00DD31D7" w:rsidDel="00457E6C">
          <w:rPr>
            <w:rStyle w:val="Hyperlink"/>
          </w:rPr>
          <w:t>GrantConnect</w:t>
        </w:r>
      </w:hyperlink>
      <w:r w:rsidRPr="000A572F" w:rsidDel="00457E6C">
        <w:t xml:space="preserve"> website</w:t>
      </w:r>
      <w:r w:rsidDel="00457E6C">
        <w:t xml:space="preserve"> </w:t>
      </w:r>
      <w:r w:rsidR="00CE1542">
        <w:t xml:space="preserve">within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4D3D46" w:rsidRPr="00B368D9" w:rsidDel="00457E6C">
        <w:t xml:space="preserve">Section 5.3 of the </w:t>
      </w:r>
      <w:hyperlink r:id="rId61" w:history="1">
        <w:r w:rsidR="004D3D46" w:rsidRPr="004D3D46" w:rsidDel="00457E6C">
          <w:rPr>
            <w:rStyle w:val="Hyperlink"/>
          </w:rPr>
          <w:t>CGRGs</w:t>
        </w:r>
      </w:hyperlink>
      <w:r w:rsidRPr="00CF2166" w:rsidDel="00457E6C">
        <w:t>.</w:t>
      </w:r>
    </w:p>
    <w:p w14:paraId="2A05389C" w14:textId="7C0C0B66" w:rsidR="00E1311F" w:rsidRDefault="00492B00" w:rsidP="00A4685F">
      <w:pPr>
        <w:pStyle w:val="Heading2"/>
        <w:numPr>
          <w:ilvl w:val="0"/>
          <w:numId w:val="8"/>
        </w:numPr>
      </w:pPr>
      <w:bookmarkStart w:id="118" w:name="_Toc170734152"/>
      <w:r>
        <w:t>How we monitor your grant activity</w:t>
      </w:r>
      <w:bookmarkEnd w:id="118"/>
    </w:p>
    <w:p w14:paraId="255978D0" w14:textId="77777777" w:rsidR="002C2BA1" w:rsidRPr="002C2BA1" w:rsidRDefault="002C2BA1" w:rsidP="002C2BA1">
      <w:pPr>
        <w:spacing w:before="0" w:after="80" w:line="276" w:lineRule="auto"/>
        <w:rPr>
          <w:rFonts w:cs="Arial"/>
        </w:rPr>
      </w:pPr>
      <w:r w:rsidRPr="002C2BA1">
        <w:rPr>
          <w:rFonts w:cs="Arial"/>
        </w:rPr>
        <w:t>The Agency uses a number of approaches to monitor IAS activities. These include the below.</w:t>
      </w:r>
    </w:p>
    <w:p w14:paraId="747C899E" w14:textId="77777777" w:rsidR="002C2BA1" w:rsidRPr="002C2BA1" w:rsidRDefault="002C2BA1" w:rsidP="002C2BA1">
      <w:pPr>
        <w:pStyle w:val="ListBullet"/>
        <w:numPr>
          <w:ilvl w:val="0"/>
          <w:numId w:val="7"/>
        </w:numPr>
      </w:pPr>
      <w:r w:rsidRPr="002C2BA1">
        <w:t>On-the-ground monitoring, predominately through the NIAA Regional Offices</w:t>
      </w:r>
    </w:p>
    <w:p w14:paraId="68B86C3B" w14:textId="77777777" w:rsidR="002C2BA1" w:rsidRPr="002C2BA1" w:rsidRDefault="002C2BA1" w:rsidP="002C2BA1">
      <w:pPr>
        <w:pStyle w:val="ListBullet"/>
        <w:numPr>
          <w:ilvl w:val="1"/>
          <w:numId w:val="7"/>
        </w:numPr>
        <w:ind w:left="1080"/>
      </w:pPr>
      <w:r w:rsidRPr="002C2BA1">
        <w:rPr>
          <w:rFonts w:cs="Arial"/>
        </w:rPr>
        <w:t xml:space="preserve">The NIAA uses an active 'on-the-ground' strategy to monitor the </w:t>
      </w:r>
      <w:r>
        <w:rPr>
          <w:rFonts w:cs="Arial"/>
        </w:rPr>
        <w:t xml:space="preserve">RJED </w:t>
      </w:r>
      <w:r w:rsidRPr="002C2BA1">
        <w:rPr>
          <w:rFonts w:cs="Arial"/>
        </w:rPr>
        <w:t>grantees and activities primarily through the NIAA Regional Offices. This can involve site visits, discussions with community members and service recipients, and ongoing contact with the grantees.  A priority for the Agency is active engagement to assist with early identification and treatment of activity delivery risks and other issues as they arise.</w:t>
      </w:r>
    </w:p>
    <w:p w14:paraId="061CFAC3" w14:textId="2E66A8FC" w:rsidR="002C2BA1" w:rsidRPr="002C2BA1" w:rsidRDefault="002C2BA1" w:rsidP="002C2BA1">
      <w:pPr>
        <w:pStyle w:val="ListBullet"/>
        <w:numPr>
          <w:ilvl w:val="0"/>
          <w:numId w:val="7"/>
        </w:numPr>
      </w:pPr>
      <w:r w:rsidRPr="002C2BA1">
        <w:t xml:space="preserve">Periodic reporting by the </w:t>
      </w:r>
      <w:r w:rsidR="00E40C26">
        <w:t>employer</w:t>
      </w:r>
      <w:r w:rsidR="00E40C26" w:rsidRPr="002C2BA1">
        <w:t xml:space="preserve"> </w:t>
      </w:r>
      <w:r w:rsidRPr="002C2BA1">
        <w:t>on the performance of activities</w:t>
      </w:r>
    </w:p>
    <w:p w14:paraId="20CCD0D3" w14:textId="77777777" w:rsidR="002C2BA1" w:rsidRPr="002C2BA1" w:rsidRDefault="002C2BA1" w:rsidP="002C2BA1">
      <w:pPr>
        <w:pStyle w:val="ListBullet"/>
        <w:numPr>
          <w:ilvl w:val="1"/>
          <w:numId w:val="7"/>
        </w:numPr>
        <w:ind w:left="1080"/>
      </w:pPr>
      <w:r w:rsidRPr="002C2BA1">
        <w:rPr>
          <w:rFonts w:cs="Arial"/>
        </w:rPr>
        <w:t xml:space="preserve">The NIAA, in conjunction with the grant recipient, will set key performance indicators  for each activity to measure progress against identified outcomes, including applicable Closing the Gap targets. The NIAA may include key performance indicators to inform broader data sets, such as Indigenous employment data. These will be set out in the grant agreement. The grant recipient will be assessed against all key performance indicators over the course of the funded activity. </w:t>
      </w:r>
    </w:p>
    <w:p w14:paraId="6C73FB27" w14:textId="77777777" w:rsidR="002C2BA1" w:rsidRPr="002C2BA1" w:rsidRDefault="002C2BA1" w:rsidP="002C2BA1">
      <w:pPr>
        <w:pStyle w:val="ListBullet"/>
        <w:numPr>
          <w:ilvl w:val="0"/>
          <w:numId w:val="7"/>
        </w:numPr>
        <w:rPr>
          <w:rFonts w:cs="Arial"/>
        </w:rPr>
      </w:pPr>
      <w:r w:rsidRPr="002C2BA1">
        <w:rPr>
          <w:rFonts w:cs="Arial"/>
        </w:rPr>
        <w:t>Compliance operations,</w:t>
      </w:r>
      <w:r w:rsidRPr="002C2BA1">
        <w:t xml:space="preserve"> where</w:t>
      </w:r>
      <w:r w:rsidRPr="002C2BA1">
        <w:rPr>
          <w:rFonts w:cs="Arial"/>
        </w:rPr>
        <w:t xml:space="preserve"> necessary</w:t>
      </w:r>
    </w:p>
    <w:p w14:paraId="3876F277" w14:textId="77777777" w:rsidR="002C2BA1" w:rsidRPr="002C2BA1" w:rsidRDefault="002C2BA1" w:rsidP="002C2BA1">
      <w:pPr>
        <w:pStyle w:val="ListBullet"/>
        <w:numPr>
          <w:ilvl w:val="1"/>
          <w:numId w:val="7"/>
        </w:numPr>
        <w:spacing w:after="240"/>
        <w:ind w:left="1077" w:hanging="357"/>
        <w:rPr>
          <w:rFonts w:cs="Arial"/>
        </w:rPr>
      </w:pPr>
      <w:r w:rsidRPr="002C2BA1">
        <w:rPr>
          <w:rFonts w:cs="Arial"/>
        </w:rPr>
        <w:t>We may visit you during or after the completion of your grant activity to review your compliance with the grant agreement. We may also inspect, copy or remove and retain the records you are required to keep under the grant agreement. We will provide you with reasonable notice of any compliance visit.</w:t>
      </w:r>
    </w:p>
    <w:p w14:paraId="46409D44" w14:textId="77777777" w:rsidR="004A2224" w:rsidRDefault="004A2224" w:rsidP="00905C13">
      <w:pPr>
        <w:pStyle w:val="Heading3"/>
        <w:ind w:left="1134"/>
      </w:pPr>
      <w:bookmarkStart w:id="119" w:name="_Toc170734153"/>
      <w:r>
        <w:t>Keeping us informed</w:t>
      </w:r>
      <w:bookmarkEnd w:id="119"/>
    </w:p>
    <w:p w14:paraId="37DE11F8" w14:textId="77777777" w:rsidR="004A2224" w:rsidRDefault="00F6040A" w:rsidP="004A2224">
      <w:r>
        <w:t>If you execute a grant agreement, y</w:t>
      </w:r>
      <w:r w:rsidR="004A2224">
        <w:t xml:space="preserve">ou </w:t>
      </w:r>
      <w:r>
        <w:t xml:space="preserve">must </w:t>
      </w:r>
      <w:r w:rsidR="004A2224">
        <w:t xml:space="preserve">let </w:t>
      </w:r>
      <w:r>
        <w:t xml:space="preserve">the NIAA contact officer listed in your grant agreement </w:t>
      </w:r>
      <w:r w:rsidR="004A2224">
        <w:t>know if anything is likely to affect your grant activity</w:t>
      </w:r>
      <w:r>
        <w:t xml:space="preserve">. This includes </w:t>
      </w:r>
      <w:r w:rsidR="004A2224">
        <w:t>key changes to your organisation or its business activities, particularly if they affect your ability to complete your grant, carry on business and pay debts due.</w:t>
      </w:r>
      <w:r>
        <w:t xml:space="preserve"> Changes to your organisation include (but are not limited to):</w:t>
      </w:r>
    </w:p>
    <w:p w14:paraId="5D642FE2" w14:textId="77777777" w:rsidR="004A2224" w:rsidRDefault="004A2224" w:rsidP="004A2224">
      <w:pPr>
        <w:pStyle w:val="ListBullet"/>
      </w:pPr>
      <w:r>
        <w:t>name</w:t>
      </w:r>
    </w:p>
    <w:p w14:paraId="678DD44E" w14:textId="77777777" w:rsidR="004A2224" w:rsidRDefault="004A2224" w:rsidP="004A2224">
      <w:pPr>
        <w:pStyle w:val="ListBullet"/>
      </w:pPr>
      <w:r>
        <w:t>addresses</w:t>
      </w:r>
    </w:p>
    <w:p w14:paraId="4716A10F" w14:textId="77777777" w:rsidR="004A2224" w:rsidRDefault="004A2224" w:rsidP="004A2224">
      <w:pPr>
        <w:pStyle w:val="ListBullet"/>
      </w:pPr>
      <w:r>
        <w:t>nominated contact details</w:t>
      </w:r>
    </w:p>
    <w:p w14:paraId="4A2D856E" w14:textId="77777777" w:rsidR="00382272" w:rsidRDefault="004A2224" w:rsidP="004A2224">
      <w:pPr>
        <w:pStyle w:val="ListBullet"/>
      </w:pPr>
      <w:r>
        <w:t>bank account details</w:t>
      </w:r>
    </w:p>
    <w:p w14:paraId="4F64A3A7" w14:textId="77777777" w:rsidR="00382272" w:rsidRDefault="00382272" w:rsidP="004A2224">
      <w:pPr>
        <w:pStyle w:val="ListBullet"/>
      </w:pPr>
      <w:r>
        <w:t>ABN</w:t>
      </w:r>
    </w:p>
    <w:p w14:paraId="62E71D93" w14:textId="77777777" w:rsidR="00382272" w:rsidRDefault="00382272" w:rsidP="004A2224">
      <w:pPr>
        <w:pStyle w:val="ListBullet"/>
      </w:pPr>
      <w:r>
        <w:t>GST registration or status</w:t>
      </w:r>
    </w:p>
    <w:p w14:paraId="57667D6C" w14:textId="77777777" w:rsidR="00382272" w:rsidRDefault="00CE1542" w:rsidP="004A2224">
      <w:pPr>
        <w:pStyle w:val="ListBullet"/>
      </w:pPr>
      <w:r>
        <w:t xml:space="preserve">any </w:t>
      </w:r>
      <w:r w:rsidR="00382272">
        <w:t xml:space="preserve">instance where your organisation may no longer meet the definition of a </w:t>
      </w:r>
      <w:r w:rsidR="00F6040A">
        <w:t xml:space="preserve">First Nations </w:t>
      </w:r>
      <w:r w:rsidR="00382272">
        <w:t>organisation (if it initially did)</w:t>
      </w:r>
      <w:r w:rsidR="004A2224">
        <w:t>.</w:t>
      </w:r>
    </w:p>
    <w:p w14:paraId="11E67D17" w14:textId="77777777" w:rsidR="004A2224" w:rsidRDefault="00CE1542" w:rsidP="004A2224">
      <w:pPr>
        <w:pStyle w:val="ListBullet"/>
      </w:pPr>
      <w:r>
        <w:t xml:space="preserve">if </w:t>
      </w:r>
      <w:r w:rsidR="00382272">
        <w:t>your organisation has an outstanding and overdue Australian Tax Office debt.</w:t>
      </w:r>
      <w:r w:rsidR="004A2224">
        <w:t xml:space="preserve"> </w:t>
      </w:r>
    </w:p>
    <w:p w14:paraId="5397F2B8" w14:textId="1B287845" w:rsidR="004A2224" w:rsidRDefault="004A2224" w:rsidP="004A2224">
      <w:r>
        <w:t>If you become aware of a breach of terms and conditions under the grant agreement, yo</w:t>
      </w:r>
      <w:r w:rsidR="00DB3BD3">
        <w:t>u must contact us immediately.</w:t>
      </w:r>
    </w:p>
    <w:p w14:paraId="07475BC8" w14:textId="77777777" w:rsidR="003159B5" w:rsidRDefault="002536AC" w:rsidP="00905C13">
      <w:pPr>
        <w:pStyle w:val="Heading3"/>
        <w:ind w:left="1134"/>
      </w:pPr>
      <w:bookmarkStart w:id="120" w:name="_Toc170734154"/>
      <w:r>
        <w:t>Reporting</w:t>
      </w:r>
      <w:bookmarkEnd w:id="120"/>
      <w:r w:rsidRPr="002536AC">
        <w:t xml:space="preserve"> </w:t>
      </w:r>
    </w:p>
    <w:p w14:paraId="5798C073" w14:textId="77777777" w:rsidR="002C2BA1" w:rsidRPr="002C2BA1" w:rsidRDefault="002C2BA1" w:rsidP="002C2BA1">
      <w:pPr>
        <w:pStyle w:val="ListBullet"/>
        <w:numPr>
          <w:ilvl w:val="0"/>
          <w:numId w:val="0"/>
        </w:numPr>
      </w:pPr>
      <w:r w:rsidRPr="002C2BA1">
        <w:t xml:space="preserve">You will be required to periodically report on the overall progress and performance of your activity, and against the key performance indicators in your grant agreement. The frequency and content of reporting requirements will depend on the funded activity and will be contained in the grant agreement. The NIAA will also source a range of data and information to inform its judgement. </w:t>
      </w:r>
      <w:r w:rsidRPr="002C2BA1">
        <w:rPr>
          <w:rFonts w:cs="Arial"/>
        </w:rPr>
        <w:t>In completing performance reports, you are encouraged to be open about the status of the activity, any service delivery risks and issues, and to provide data to support any claims made. This instils confidence in your management reporting systems and allows us to better work with you to improve performance, if necessary.</w:t>
      </w:r>
    </w:p>
    <w:p w14:paraId="1A1BEFD8" w14:textId="737CF4FD" w:rsidR="002C2BA1" w:rsidRDefault="002C2BA1" w:rsidP="002C2BA1">
      <w:pPr>
        <w:spacing w:after="240"/>
      </w:pPr>
      <w:r w:rsidRPr="002C2BA1">
        <w:t>Financial reports are required from grantees to provide evidence that funds have been expended for the purposes provided as agreed and so that any underspend or over spend can be managed. The annual value of the grant and the risk rating of the grantee and the activity determine the financial reporting requirements. The default financial reporting requirement is one report per year. Financial reporting requirements will be specified in the grant agreement.</w:t>
      </w:r>
    </w:p>
    <w:p w14:paraId="3CCCF2CF" w14:textId="77777777" w:rsidR="00E1311F" w:rsidRPr="00726710" w:rsidRDefault="00E1311F" w:rsidP="00E1311F">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w:t>
      </w:r>
      <w:hyperlink r:id="rId62" w:history="1">
        <w:r w:rsidRPr="00726710">
          <w:rPr>
            <w:rFonts w:cstheme="minorHAnsi"/>
          </w:rPr>
          <w:t>grant agreement</w:t>
        </w:r>
      </w:hyperlink>
      <w:r w:rsidR="00B07FE4">
        <w:rPr>
          <w:rFonts w:cstheme="minorHAnsi"/>
        </w:rPr>
        <w:t>, including</w:t>
      </w:r>
      <w:r w:rsidR="00F2002A">
        <w:rPr>
          <w:rFonts w:cstheme="minorHAnsi"/>
        </w:rPr>
        <w:t>:</w:t>
      </w:r>
    </w:p>
    <w:p w14:paraId="1D8BB1AA" w14:textId="77777777" w:rsidR="00E1311F" w:rsidRDefault="00E1311F" w:rsidP="00E1311F">
      <w:pPr>
        <w:pStyle w:val="ListBullet"/>
      </w:pPr>
      <w:r w:rsidRPr="00726710">
        <w:t xml:space="preserve">progress against agreed </w:t>
      </w:r>
      <w:r w:rsidR="00512EB0">
        <w:t>grant activity</w:t>
      </w:r>
      <w:r w:rsidRPr="00726710">
        <w:t xml:space="preserve"> milestones</w:t>
      </w:r>
      <w:r w:rsidR="00780216">
        <w:t xml:space="preserve"> and outcomes</w:t>
      </w:r>
    </w:p>
    <w:p w14:paraId="132B7EA8" w14:textId="77777777" w:rsidR="00427665" w:rsidRPr="00726710" w:rsidRDefault="00427665" w:rsidP="00E1311F">
      <w:pPr>
        <w:pStyle w:val="ListBullet"/>
      </w:pPr>
      <w:r>
        <w:t>key performance indicators</w:t>
      </w:r>
    </w:p>
    <w:p w14:paraId="06A6B9D8" w14:textId="77777777" w:rsidR="00E1311F" w:rsidRPr="00726710" w:rsidRDefault="00B168D7" w:rsidP="00E1311F">
      <w:pPr>
        <w:pStyle w:val="ListBullet"/>
      </w:pPr>
      <w:r>
        <w:t>expenditure of the grant</w:t>
      </w:r>
      <w:r w:rsidR="00427665">
        <w:t>, including finance reports.</w:t>
      </w:r>
    </w:p>
    <w:p w14:paraId="45343988" w14:textId="77777777" w:rsidR="009A072D" w:rsidRDefault="00B07FE4" w:rsidP="00112463">
      <w:pPr>
        <w:pStyle w:val="ListBullet"/>
      </w:pPr>
      <w:r>
        <w:t>Th</w:t>
      </w:r>
      <w:r w:rsidR="009A072D">
        <w:t xml:space="preserve">e </w:t>
      </w:r>
      <w:r>
        <w:t>level</w:t>
      </w:r>
      <w:r w:rsidR="009A072D">
        <w:t xml:space="preserve"> of detail you provide in reports</w:t>
      </w:r>
      <w:r w:rsidR="009A072D" w:rsidRPr="00F04245">
        <w:t xml:space="preserve"> </w:t>
      </w:r>
      <w:r w:rsidR="009A072D">
        <w:t>s</w:t>
      </w:r>
      <w:r w:rsidR="009A072D" w:rsidRPr="00F04245">
        <w:t xml:space="preserve">hould be </w:t>
      </w:r>
      <w:r w:rsidR="009A072D">
        <w:t>relative to</w:t>
      </w:r>
      <w:r w:rsidR="009A072D" w:rsidRPr="00F04245">
        <w:t xml:space="preserve"> the size</w:t>
      </w:r>
      <w:r w:rsidR="009A072D">
        <w:t>,</w:t>
      </w:r>
      <w:r w:rsidR="009A072D" w:rsidRPr="00F04245">
        <w:t xml:space="preserve"> complexity and grant amount</w:t>
      </w:r>
      <w:r w:rsidR="009A072D">
        <w:t>.</w:t>
      </w:r>
      <w:r w:rsidR="009A072D" w:rsidRPr="003B18C7">
        <w:t xml:space="preserve"> </w:t>
      </w:r>
    </w:p>
    <w:p w14:paraId="7F8FFABB" w14:textId="77777777" w:rsidR="00B07FE4" w:rsidRDefault="00427665" w:rsidP="009A072D">
      <w:r>
        <w:t xml:space="preserve"> The NIAA </w:t>
      </w:r>
      <w:r w:rsidR="009A072D">
        <w:t>will monitor progress by assessing reports you submit</w:t>
      </w:r>
      <w:r w:rsidR="00B07FE4">
        <w:t xml:space="preserve"> and </w:t>
      </w:r>
      <w:r>
        <w:t>may also</w:t>
      </w:r>
      <w:r w:rsidR="00B07FE4">
        <w:t>:</w:t>
      </w:r>
    </w:p>
    <w:p w14:paraId="5192E074" w14:textId="77777777" w:rsidR="00DA2695" w:rsidRDefault="00427665" w:rsidP="00607954">
      <w:pPr>
        <w:pStyle w:val="ListBullet"/>
      </w:pPr>
      <w:r>
        <w:t xml:space="preserve"> source a range of data and information to inform its judgement. </w:t>
      </w:r>
    </w:p>
    <w:p w14:paraId="0AB99A2F" w14:textId="77777777" w:rsidR="00427665" w:rsidRDefault="00DC4884" w:rsidP="00760EC3">
      <w:pPr>
        <w:pStyle w:val="ListBullet"/>
      </w:pPr>
      <w:r>
        <w:t>request records</w:t>
      </w:r>
      <w:r w:rsidR="009A072D">
        <w:t xml:space="preserve"> to confirm details of your reports if necessary. </w:t>
      </w:r>
    </w:p>
    <w:p w14:paraId="0D5CC0F6" w14:textId="77777777" w:rsidR="00427665" w:rsidRPr="00B961A3" w:rsidRDefault="00DA2695" w:rsidP="00427665">
      <w:pPr>
        <w:pStyle w:val="ListBullet"/>
        <w:numPr>
          <w:ilvl w:val="0"/>
          <w:numId w:val="7"/>
        </w:numPr>
      </w:pPr>
      <w:r>
        <w:t>undertake o</w:t>
      </w:r>
      <w:r w:rsidR="00427665" w:rsidRPr="00B961A3">
        <w:t xml:space="preserve">n-the-ground </w:t>
      </w:r>
      <w:r w:rsidR="00427665" w:rsidRPr="00427665">
        <w:rPr>
          <w:rFonts w:cs="Arial"/>
        </w:rPr>
        <w:t>monitoring</w:t>
      </w:r>
      <w:r w:rsidR="00427665">
        <w:rPr>
          <w:rFonts w:cs="Arial"/>
        </w:rPr>
        <w:t xml:space="preserve"> of grantees and activities</w:t>
      </w:r>
      <w:r w:rsidR="00B07FE4">
        <w:rPr>
          <w:rFonts w:cs="Arial"/>
        </w:rPr>
        <w:t>,</w:t>
      </w:r>
      <w:r w:rsidR="00B07FE4">
        <w:t xml:space="preserve"> </w:t>
      </w:r>
      <w:r w:rsidR="00427665">
        <w:t>including</w:t>
      </w:r>
      <w:r w:rsidR="00427665" w:rsidRPr="00B961A3">
        <w:rPr>
          <w:rFonts w:cs="Arial"/>
        </w:rPr>
        <w:t xml:space="preserve"> site visits, discussions with community members and service recipients and ongoing contact with the grantees.  </w:t>
      </w:r>
    </w:p>
    <w:p w14:paraId="3A636693" w14:textId="729591B4" w:rsidR="009A072D" w:rsidRDefault="00427665" w:rsidP="00607954">
      <w:pPr>
        <w:pStyle w:val="ListBullet"/>
        <w:numPr>
          <w:ilvl w:val="0"/>
          <w:numId w:val="7"/>
        </w:numPr>
      </w:pPr>
      <w:r>
        <w:t>need to re-examine claims, seek further information or request an independent audit of claims and payments.</w:t>
      </w:r>
    </w:p>
    <w:p w14:paraId="6F038C37" w14:textId="74FA16B3" w:rsidR="00C05C86" w:rsidRDefault="00C05C86" w:rsidP="00C05C86">
      <w:pPr>
        <w:pStyle w:val="ListBullet"/>
      </w:pPr>
      <w:r>
        <w:t xml:space="preserve">We may use data provided to help support compliance activities </w:t>
      </w:r>
    </w:p>
    <w:p w14:paraId="6133EAC6" w14:textId="77777777" w:rsidR="000B11A4" w:rsidRDefault="000B11A4" w:rsidP="000B11A4">
      <w:pPr>
        <w:pStyle w:val="ListBullet"/>
        <w:numPr>
          <w:ilvl w:val="0"/>
          <w:numId w:val="0"/>
        </w:numPr>
        <w:ind w:left="360" w:hanging="360"/>
      </w:pPr>
    </w:p>
    <w:p w14:paraId="1262DAA4" w14:textId="77777777" w:rsidR="009A072D" w:rsidRDefault="00427665" w:rsidP="00905C13">
      <w:pPr>
        <w:pStyle w:val="Heading3"/>
        <w:ind w:left="1134"/>
      </w:pPr>
      <w:bookmarkStart w:id="121" w:name="_Toc468693655"/>
      <w:bookmarkStart w:id="122" w:name="_Toc509838910"/>
      <w:r w:rsidRPr="00181A24" w:rsidDel="00427665">
        <w:t xml:space="preserve"> </w:t>
      </w:r>
      <w:bookmarkStart w:id="123" w:name="_Toc509572409"/>
      <w:bookmarkStart w:id="124" w:name="_Toc509572410"/>
      <w:bookmarkStart w:id="125" w:name="_Toc509572411"/>
      <w:bookmarkStart w:id="126" w:name="_Toc170734155"/>
      <w:bookmarkEnd w:id="121"/>
      <w:bookmarkEnd w:id="122"/>
      <w:bookmarkEnd w:id="123"/>
      <w:bookmarkEnd w:id="124"/>
      <w:bookmarkEnd w:id="125"/>
      <w:r w:rsidR="00EC727B">
        <w:t>Audited financial acquittal report</w:t>
      </w:r>
      <w:bookmarkEnd w:id="126"/>
    </w:p>
    <w:p w14:paraId="766208D2" w14:textId="6978B780" w:rsidR="000B11A4" w:rsidRDefault="00BA499C" w:rsidP="009A072D">
      <w:r>
        <w:t>The NIAA</w:t>
      </w:r>
      <w:r w:rsidR="009A072D">
        <w:t xml:space="preserve"> may ask you to provide </w:t>
      </w:r>
      <w:r w:rsidR="009A072D" w:rsidRPr="004800A3">
        <w:t>a</w:t>
      </w:r>
      <w:r w:rsidR="009A072D">
        <w:t xml:space="preserve">n </w:t>
      </w:r>
      <w:r w:rsidR="009A072D" w:rsidRPr="005757A8">
        <w:t>independently audited financial acquittal report</w:t>
      </w:r>
      <w:r>
        <w:t xml:space="preserve">, using </w:t>
      </w:r>
      <w:r w:rsidR="009F6C99">
        <w:t xml:space="preserve">a specified </w:t>
      </w:r>
      <w:r>
        <w:t>template</w:t>
      </w:r>
      <w:r w:rsidR="009A072D">
        <w:t>.</w:t>
      </w:r>
      <w:r w:rsidR="009A072D" w:rsidRPr="004800A3">
        <w:t xml:space="preserve"> </w:t>
      </w:r>
      <w:r>
        <w:t xml:space="preserve">The report is intended to </w:t>
      </w:r>
      <w:r w:rsidR="009A072D" w:rsidRPr="004800A3">
        <w:t xml:space="preserve">verify that </w:t>
      </w:r>
      <w:r w:rsidR="009A072D">
        <w:t xml:space="preserve">you spent the grant in accordance with </w:t>
      </w:r>
      <w:r w:rsidR="009A072D" w:rsidRPr="004800A3">
        <w:t xml:space="preserve">the </w:t>
      </w:r>
      <w:r w:rsidR="009A072D">
        <w:t>g</w:t>
      </w:r>
      <w:r w:rsidR="009A072D" w:rsidRPr="004800A3">
        <w:t xml:space="preserve">rant </w:t>
      </w:r>
      <w:r w:rsidR="009A072D">
        <w:t>a</w:t>
      </w:r>
      <w:r w:rsidR="009A072D" w:rsidRPr="004800A3">
        <w:t xml:space="preserve">greement. </w:t>
      </w:r>
    </w:p>
    <w:p w14:paraId="0FC16AA0" w14:textId="6C5EA881" w:rsidR="004A2224" w:rsidRPr="00F4677D" w:rsidRDefault="004A2224" w:rsidP="00905C13">
      <w:pPr>
        <w:pStyle w:val="Heading3"/>
        <w:ind w:left="1134"/>
      </w:pPr>
      <w:bookmarkStart w:id="127" w:name="_Toc170734156"/>
      <w:bookmarkStart w:id="128" w:name="_Toc468693659"/>
      <w:r w:rsidRPr="00F4677D">
        <w:t>Grant agreement variations</w:t>
      </w:r>
      <w:bookmarkEnd w:id="127"/>
    </w:p>
    <w:p w14:paraId="0A243034" w14:textId="77777777" w:rsidR="00E46835" w:rsidRDefault="00E46835" w:rsidP="004A2224">
      <w:pPr>
        <w:tabs>
          <w:tab w:val="left" w:pos="0"/>
        </w:tabs>
        <w:rPr>
          <w:bCs/>
          <w:lang w:eastAsia="en-AU"/>
        </w:rPr>
      </w:pPr>
      <w:r>
        <w:rPr>
          <w:bCs/>
          <w:lang w:eastAsia="en-AU"/>
        </w:rPr>
        <w:t>The NIAA</w:t>
      </w:r>
      <w:r w:rsidR="004A2224" w:rsidRPr="00795673">
        <w:rPr>
          <w:bCs/>
          <w:lang w:eastAsia="en-AU"/>
        </w:rPr>
        <w:t xml:space="preserve"> recognise</w:t>
      </w:r>
      <w:r>
        <w:rPr>
          <w:bCs/>
          <w:lang w:eastAsia="en-AU"/>
        </w:rPr>
        <w:t>s</w:t>
      </w:r>
      <w:r w:rsidR="004A2224" w:rsidRPr="00795673">
        <w:rPr>
          <w:bCs/>
          <w:lang w:eastAsia="en-AU"/>
        </w:rPr>
        <w:t xml:space="preserve"> that unexpected events may affect your progress</w:t>
      </w:r>
      <w:r>
        <w:rPr>
          <w:bCs/>
          <w:lang w:eastAsia="en-AU"/>
        </w:rPr>
        <w:t xml:space="preserve"> or </w:t>
      </w:r>
      <w:r w:rsidR="00266F71">
        <w:rPr>
          <w:bCs/>
          <w:lang w:eastAsia="en-AU"/>
        </w:rPr>
        <w:t xml:space="preserve">impact on your ability to </w:t>
      </w:r>
      <w:r>
        <w:rPr>
          <w:bCs/>
          <w:lang w:eastAsia="en-AU"/>
        </w:rPr>
        <w:t>achiev</w:t>
      </w:r>
      <w:r w:rsidR="00266F71">
        <w:rPr>
          <w:bCs/>
          <w:lang w:eastAsia="en-AU"/>
        </w:rPr>
        <w:t>e</w:t>
      </w:r>
      <w:r>
        <w:rPr>
          <w:bCs/>
          <w:lang w:eastAsia="en-AU"/>
        </w:rPr>
        <w:t xml:space="preserve"> results consistent with the NIAA’s priorities</w:t>
      </w:r>
      <w:r w:rsidR="004A2224" w:rsidRPr="00795673">
        <w:rPr>
          <w:bCs/>
          <w:lang w:eastAsia="en-AU"/>
        </w:rPr>
        <w:t>. In these circumstances,</w:t>
      </w:r>
      <w:r>
        <w:rPr>
          <w:bCs/>
          <w:lang w:eastAsia="en-AU"/>
        </w:rPr>
        <w:t xml:space="preserve"> </w:t>
      </w:r>
      <w:r w:rsidR="00266F71">
        <w:rPr>
          <w:bCs/>
          <w:lang w:eastAsia="en-AU"/>
        </w:rPr>
        <w:t xml:space="preserve">you or </w:t>
      </w:r>
      <w:r>
        <w:rPr>
          <w:bCs/>
          <w:lang w:eastAsia="en-AU"/>
        </w:rPr>
        <w:t>the NIAA</w:t>
      </w:r>
      <w:r w:rsidR="007F00C5">
        <w:rPr>
          <w:bCs/>
          <w:lang w:eastAsia="en-AU"/>
        </w:rPr>
        <w:t xml:space="preserve"> </w:t>
      </w:r>
      <w:r w:rsidR="004A2224" w:rsidRPr="00795673">
        <w:rPr>
          <w:bCs/>
          <w:lang w:eastAsia="en-AU"/>
        </w:rPr>
        <w:t>can request a variation to your grant agreement</w:t>
      </w:r>
      <w:r>
        <w:rPr>
          <w:bCs/>
          <w:lang w:eastAsia="en-AU"/>
        </w:rPr>
        <w:t>, including:</w:t>
      </w:r>
    </w:p>
    <w:p w14:paraId="2959F796" w14:textId="77777777" w:rsidR="00E46835" w:rsidRPr="001A4A24" w:rsidDel="004A2224" w:rsidRDefault="00E46835" w:rsidP="00E46835">
      <w:pPr>
        <w:pStyle w:val="ListBullet"/>
        <w:numPr>
          <w:ilvl w:val="0"/>
          <w:numId w:val="7"/>
        </w:numPr>
      </w:pPr>
      <w:r w:rsidRPr="001A4A24" w:rsidDel="004A2224">
        <w:t xml:space="preserve">changing </w:t>
      </w:r>
      <w:r w:rsidRPr="001A4A24">
        <w:t xml:space="preserve">key performance indicators or </w:t>
      </w:r>
      <w:r w:rsidRPr="001A4A24" w:rsidDel="004A2224">
        <w:t>milestones</w:t>
      </w:r>
    </w:p>
    <w:p w14:paraId="7B7BEDE9" w14:textId="77777777" w:rsidR="00E46835" w:rsidRPr="001A4A24" w:rsidDel="004A2224" w:rsidRDefault="00E46835" w:rsidP="00E46835">
      <w:pPr>
        <w:pStyle w:val="ListBullet"/>
        <w:numPr>
          <w:ilvl w:val="0"/>
          <w:numId w:val="7"/>
        </w:numPr>
      </w:pPr>
      <w:r w:rsidRPr="001A4A24" w:rsidDel="004A2224">
        <w:t xml:space="preserve">extending the timeframe for completing the grant </w:t>
      </w:r>
    </w:p>
    <w:p w14:paraId="5C62FB3B" w14:textId="77777777" w:rsidR="00E46835" w:rsidRPr="001A4A24" w:rsidRDefault="00E46835" w:rsidP="00E46835">
      <w:pPr>
        <w:pStyle w:val="ListBullet"/>
        <w:numPr>
          <w:ilvl w:val="0"/>
          <w:numId w:val="7"/>
        </w:numPr>
      </w:pPr>
      <w:r w:rsidRPr="001A4A24" w:rsidDel="004A2224">
        <w:t xml:space="preserve">changing </w:t>
      </w:r>
      <w:r w:rsidRPr="001A4A24">
        <w:t>grant</w:t>
      </w:r>
      <w:r w:rsidRPr="001A4A24" w:rsidDel="004A2224">
        <w:t xml:space="preserve"> activities</w:t>
      </w:r>
    </w:p>
    <w:p w14:paraId="5C4CDC60" w14:textId="77777777" w:rsidR="00E46835" w:rsidRDefault="00E46835" w:rsidP="00E46835">
      <w:pPr>
        <w:pStyle w:val="ListBullet"/>
        <w:numPr>
          <w:ilvl w:val="0"/>
          <w:numId w:val="7"/>
        </w:numPr>
      </w:pPr>
      <w:r>
        <w:t>changing</w:t>
      </w:r>
      <w:r w:rsidRPr="001A4A24">
        <w:t xml:space="preserve"> funding.</w:t>
      </w:r>
    </w:p>
    <w:p w14:paraId="0BAF35D4" w14:textId="77777777" w:rsidR="002C2BA1" w:rsidRPr="002C2BA1" w:rsidDel="004A2224" w:rsidRDefault="002C2BA1" w:rsidP="002C2BA1">
      <w:pPr>
        <w:tabs>
          <w:tab w:val="left" w:pos="0"/>
        </w:tabs>
        <w:rPr>
          <w:rFonts w:cs="Arial"/>
          <w:lang w:eastAsia="en-AU"/>
        </w:rPr>
      </w:pPr>
      <w:r w:rsidRPr="002C2BA1" w:rsidDel="004A2224">
        <w:rPr>
          <w:rFonts w:cs="Arial"/>
          <w:lang w:eastAsia="en-AU"/>
        </w:rPr>
        <w:t xml:space="preserve">You should not assume that a variation request will be successful. </w:t>
      </w:r>
      <w:r w:rsidRPr="002C2BA1">
        <w:rPr>
          <w:rFonts w:cs="Arial"/>
          <w:bCs/>
          <w:lang w:eastAsia="en-AU"/>
        </w:rPr>
        <w:t xml:space="preserve">The Agency </w:t>
      </w:r>
      <w:r w:rsidRPr="002C2BA1" w:rsidDel="004A2224">
        <w:rPr>
          <w:rFonts w:cs="Arial"/>
          <w:lang w:eastAsia="en-AU"/>
        </w:rPr>
        <w:t>will consider your request based on factors such as:</w:t>
      </w:r>
    </w:p>
    <w:p w14:paraId="5BB0CF85" w14:textId="77777777" w:rsidR="002C2BA1" w:rsidRPr="002C2BA1" w:rsidDel="004A2224" w:rsidRDefault="002C2BA1" w:rsidP="002C2BA1">
      <w:pPr>
        <w:pStyle w:val="ListBullet"/>
        <w:numPr>
          <w:ilvl w:val="0"/>
          <w:numId w:val="7"/>
        </w:numPr>
      </w:pPr>
      <w:r w:rsidRPr="002C2BA1" w:rsidDel="004A2224">
        <w:t xml:space="preserve">how it affects the grant </w:t>
      </w:r>
      <w:r w:rsidRPr="002C2BA1">
        <w:t>activity</w:t>
      </w:r>
      <w:r w:rsidRPr="002C2BA1" w:rsidDel="004A2224">
        <w:t xml:space="preserve"> outcome</w:t>
      </w:r>
    </w:p>
    <w:p w14:paraId="2916026D" w14:textId="77777777" w:rsidR="002C2BA1" w:rsidRPr="002C2BA1" w:rsidDel="004A2224" w:rsidRDefault="002C2BA1" w:rsidP="002C2BA1">
      <w:pPr>
        <w:pStyle w:val="ListBullet"/>
        <w:numPr>
          <w:ilvl w:val="0"/>
          <w:numId w:val="7"/>
        </w:numPr>
      </w:pPr>
      <w:r w:rsidRPr="002C2BA1" w:rsidDel="004A2224">
        <w:t xml:space="preserve">consistency with the </w:t>
      </w:r>
      <w:r w:rsidRPr="002C2BA1">
        <w:t>program</w:t>
      </w:r>
      <w:r w:rsidRPr="002C2BA1" w:rsidDel="004A2224">
        <w:t xml:space="preserve"> policy objectives an</w:t>
      </w:r>
      <w:r w:rsidRPr="002C2BA1">
        <w:t>d any relevant policies of the Agency</w:t>
      </w:r>
    </w:p>
    <w:p w14:paraId="4C67D2A8" w14:textId="77777777" w:rsidR="002C2BA1" w:rsidRPr="002C2BA1" w:rsidDel="004A2224" w:rsidRDefault="002C2BA1" w:rsidP="002C2BA1">
      <w:pPr>
        <w:pStyle w:val="ListBullet"/>
        <w:numPr>
          <w:ilvl w:val="0"/>
          <w:numId w:val="7"/>
        </w:numPr>
      </w:pPr>
      <w:r w:rsidRPr="002C2BA1" w:rsidDel="004A2224">
        <w:t>changes to the timing of grant payments</w:t>
      </w:r>
    </w:p>
    <w:p w14:paraId="460966AD" w14:textId="77777777" w:rsidR="002C2BA1" w:rsidRPr="002C2BA1" w:rsidDel="004A2224" w:rsidRDefault="002C2BA1" w:rsidP="002C2BA1">
      <w:pPr>
        <w:pStyle w:val="ListBullet"/>
        <w:numPr>
          <w:ilvl w:val="0"/>
          <w:numId w:val="7"/>
        </w:numPr>
        <w:rPr>
          <w:rFonts w:cs="Arial"/>
        </w:rPr>
      </w:pPr>
      <w:r w:rsidRPr="002C2BA1" w:rsidDel="004A2224">
        <w:t>availability</w:t>
      </w:r>
      <w:r w:rsidRPr="002C2BA1" w:rsidDel="004A2224">
        <w:rPr>
          <w:rFonts w:cs="Arial"/>
        </w:rPr>
        <w:t xml:space="preserve"> of </w:t>
      </w:r>
      <w:r w:rsidRPr="002C2BA1">
        <w:rPr>
          <w:rFonts w:cs="Arial"/>
        </w:rPr>
        <w:t xml:space="preserve">program </w:t>
      </w:r>
      <w:r w:rsidRPr="002C2BA1" w:rsidDel="004A2224">
        <w:rPr>
          <w:rFonts w:cs="Arial"/>
        </w:rPr>
        <w:t>funding.</w:t>
      </w:r>
    </w:p>
    <w:p w14:paraId="71B4C70C" w14:textId="77777777" w:rsidR="002C2BA1" w:rsidRPr="001A4A24" w:rsidDel="004A2224" w:rsidRDefault="002C2BA1" w:rsidP="002C2BA1">
      <w:pPr>
        <w:pStyle w:val="ListBullet"/>
        <w:numPr>
          <w:ilvl w:val="0"/>
          <w:numId w:val="0"/>
        </w:numPr>
        <w:ind w:left="360"/>
      </w:pPr>
      <w:r w:rsidRPr="002C2BA1">
        <w:rPr>
          <w:rFonts w:cs="Arial"/>
        </w:rPr>
        <w:t>All decisions to vary a grant agreement must be mutually agreed to between</w:t>
      </w:r>
    </w:p>
    <w:p w14:paraId="3F450D26" w14:textId="77777777" w:rsidR="00164671" w:rsidRDefault="00266F71" w:rsidP="007C30B0">
      <w:pPr>
        <w:tabs>
          <w:tab w:val="left" w:pos="0"/>
        </w:tabs>
      </w:pPr>
      <w:r>
        <w:rPr>
          <w:bCs/>
          <w:lang w:eastAsia="en-AU"/>
        </w:rPr>
        <w:t>T</w:t>
      </w:r>
      <w:r w:rsidR="00E46835">
        <w:rPr>
          <w:bCs/>
          <w:lang w:eastAsia="en-AU"/>
        </w:rPr>
        <w:t>he instigating party must put its concerns, issues and proposed changes in writing before the grant agreement end date.</w:t>
      </w:r>
      <w:r>
        <w:rPr>
          <w:bCs/>
          <w:lang w:eastAsia="en-AU"/>
        </w:rPr>
        <w:t xml:space="preserve"> </w:t>
      </w:r>
      <w:r>
        <w:t>Do</w:t>
      </w:r>
      <w:r w:rsidR="004A2224" w:rsidRPr="00164671">
        <w:t xml:space="preserve"> not assume that a variation request will be successful. </w:t>
      </w:r>
      <w:r w:rsidR="00E46835">
        <w:t>The NIAA</w:t>
      </w:r>
      <w:r w:rsidR="004A2224" w:rsidRPr="00164671">
        <w:t xml:space="preserve"> will consider your request based on </w:t>
      </w:r>
      <w:r w:rsidR="00AD6169">
        <w:t>provisions in the grant agreemen</w:t>
      </w:r>
      <w:r w:rsidR="00802523">
        <w:t>t and the</w:t>
      </w:r>
      <w:r w:rsidR="00796F89">
        <w:t xml:space="preserve"> likely</w:t>
      </w:r>
      <w:r w:rsidR="00802523">
        <w:t xml:space="preserve"> impact on achieving</w:t>
      </w:r>
      <w:r w:rsidR="00AD6169">
        <w:t xml:space="preserve"> outcomes</w:t>
      </w:r>
      <w:r w:rsidR="00DD22BF">
        <w:t>.</w:t>
      </w:r>
    </w:p>
    <w:p w14:paraId="571632F6" w14:textId="77777777" w:rsidR="00E46835" w:rsidRPr="00E46835" w:rsidRDefault="00E46835" w:rsidP="00760EC3">
      <w:pPr>
        <w:spacing w:after="360"/>
        <w:rPr>
          <w:rFonts w:cs="Arial"/>
        </w:rPr>
      </w:pPr>
      <w:r w:rsidRPr="004F7342">
        <w:rPr>
          <w:rFonts w:cs="Arial"/>
        </w:rPr>
        <w:t xml:space="preserve">All decisions to vary a grant agreement must be mutually agreed </w:t>
      </w:r>
      <w:r w:rsidR="00266F71">
        <w:rPr>
          <w:rFonts w:cs="Arial"/>
        </w:rPr>
        <w:t xml:space="preserve">by </w:t>
      </w:r>
      <w:r>
        <w:rPr>
          <w:rFonts w:cs="Arial"/>
        </w:rPr>
        <w:t xml:space="preserve">you and </w:t>
      </w:r>
      <w:r w:rsidRPr="004F7342">
        <w:rPr>
          <w:rFonts w:cs="Arial"/>
        </w:rPr>
        <w:t xml:space="preserve">the </w:t>
      </w:r>
      <w:r>
        <w:rPr>
          <w:rFonts w:cs="Arial"/>
        </w:rPr>
        <w:t xml:space="preserve">NIAA </w:t>
      </w:r>
      <w:r w:rsidRPr="004F7342">
        <w:rPr>
          <w:rFonts w:cs="Arial"/>
        </w:rPr>
        <w:t xml:space="preserve">before a variation </w:t>
      </w:r>
      <w:r w:rsidR="00266F71">
        <w:rPr>
          <w:rFonts w:cs="Arial"/>
        </w:rPr>
        <w:t xml:space="preserve">can be </w:t>
      </w:r>
      <w:r w:rsidRPr="004F7342">
        <w:rPr>
          <w:rFonts w:cs="Arial"/>
        </w:rPr>
        <w:t>execute</w:t>
      </w:r>
      <w:r w:rsidR="00266F71">
        <w:rPr>
          <w:rFonts w:cs="Arial"/>
        </w:rPr>
        <w:t>d</w:t>
      </w:r>
      <w:r w:rsidRPr="004F7342">
        <w:rPr>
          <w:rFonts w:cs="Arial"/>
        </w:rPr>
        <w:t xml:space="preserve">. </w:t>
      </w:r>
    </w:p>
    <w:p w14:paraId="09ADDE23" w14:textId="77777777" w:rsidR="00832FC6" w:rsidRDefault="00492B00" w:rsidP="00905C13">
      <w:pPr>
        <w:pStyle w:val="Heading3"/>
        <w:ind w:left="1134"/>
      </w:pPr>
      <w:bookmarkStart w:id="129" w:name="_Toc170734157"/>
      <w:r>
        <w:t>Compliance visits</w:t>
      </w:r>
      <w:bookmarkEnd w:id="128"/>
      <w:bookmarkEnd w:id="129"/>
      <w:r w:rsidR="00DC4884">
        <w:t xml:space="preserve"> </w:t>
      </w:r>
    </w:p>
    <w:p w14:paraId="6E2FA53A" w14:textId="77777777" w:rsidR="00E46835" w:rsidRDefault="00E46835" w:rsidP="00E02A6B">
      <w:r>
        <w:t>The NIAA</w:t>
      </w:r>
      <w:r w:rsidR="00AD6169">
        <w:t xml:space="preserve"> may</w:t>
      </w:r>
      <w:r w:rsidR="00266F71">
        <w:t xml:space="preserve"> </w:t>
      </w:r>
      <w:r w:rsidR="00AD6169">
        <w:t xml:space="preserve">visit you during or </w:t>
      </w:r>
      <w:r w:rsidR="00DA2695">
        <w:t>after</w:t>
      </w:r>
      <w:r w:rsidR="00AD6169">
        <w:t xml:space="preserve"> the completion of your grant activity to review your compliance with the</w:t>
      </w:r>
      <w:r w:rsidR="00266F71">
        <w:t xml:space="preserve"> </w:t>
      </w:r>
      <w:r w:rsidR="00AD6169">
        <w:t>grant agreement</w:t>
      </w:r>
      <w:r w:rsidR="00164671">
        <w:t>.</w:t>
      </w:r>
      <w:r w:rsidR="00AD6169">
        <w:t xml:space="preserve"> </w:t>
      </w:r>
      <w:r w:rsidR="00266F71">
        <w:t xml:space="preserve">The NIAA will </w:t>
      </w:r>
      <w:r w:rsidR="00AD6169">
        <w:t>provide you with reasonable notice</w:t>
      </w:r>
      <w:r w:rsidR="00176960">
        <w:t xml:space="preserve"> </w:t>
      </w:r>
      <w:r w:rsidR="001747EB">
        <w:t>e.g.</w:t>
      </w:r>
      <w:r w:rsidR="00176960">
        <w:t xml:space="preserve"> 2 weeks,</w:t>
      </w:r>
      <w:r w:rsidR="00AD6169">
        <w:t xml:space="preserve"> of any compliance visit</w:t>
      </w:r>
      <w:r w:rsidR="006567FA">
        <w:t>.</w:t>
      </w:r>
    </w:p>
    <w:p w14:paraId="34E28AF9" w14:textId="77777777" w:rsidR="00492B00" w:rsidRPr="00795673" w:rsidRDefault="00832FC6" w:rsidP="00905C13">
      <w:pPr>
        <w:pStyle w:val="Heading3"/>
        <w:ind w:left="1134"/>
      </w:pPr>
      <w:bookmarkStart w:id="130" w:name="_Toc170734158"/>
      <w:r w:rsidRPr="00795673">
        <w:t>R</w:t>
      </w:r>
      <w:r w:rsidR="00DC4884" w:rsidRPr="00795673">
        <w:t>ecord keeping</w:t>
      </w:r>
      <w:bookmarkEnd w:id="130"/>
    </w:p>
    <w:p w14:paraId="71FA3152" w14:textId="77777777" w:rsidR="00795673" w:rsidRDefault="00266F71" w:rsidP="007C30B0">
      <w:pPr>
        <w:pStyle w:val="ListBullet"/>
        <w:numPr>
          <w:ilvl w:val="0"/>
          <w:numId w:val="0"/>
        </w:numPr>
      </w:pPr>
      <w:r>
        <w:rPr>
          <w:rFonts w:cs="Arial"/>
        </w:rPr>
        <w:t xml:space="preserve">The NIAA may </w:t>
      </w:r>
      <w:r w:rsidRPr="00427665">
        <w:rPr>
          <w:rFonts w:cs="Arial"/>
        </w:rPr>
        <w:t>inspect, copy</w:t>
      </w:r>
      <w:r>
        <w:rPr>
          <w:rFonts w:cs="Arial"/>
        </w:rPr>
        <w:t>,</w:t>
      </w:r>
      <w:r w:rsidRPr="00427665">
        <w:rPr>
          <w:rFonts w:cs="Arial"/>
        </w:rPr>
        <w:t xml:space="preserve"> remove and</w:t>
      </w:r>
      <w:r>
        <w:rPr>
          <w:rFonts w:cs="Arial"/>
        </w:rPr>
        <w:t>/or</w:t>
      </w:r>
      <w:r w:rsidRPr="00427665">
        <w:rPr>
          <w:rFonts w:cs="Arial"/>
        </w:rPr>
        <w:t xml:space="preserve"> retain the records you are required to</w:t>
      </w:r>
      <w:r>
        <w:rPr>
          <w:rFonts w:cs="Arial"/>
        </w:rPr>
        <w:t xml:space="preserve"> keep under the grant agreement.</w:t>
      </w:r>
    </w:p>
    <w:p w14:paraId="2642FFD7" w14:textId="7DA8ED57" w:rsidR="00E1311F" w:rsidRDefault="00D82BBE" w:rsidP="00905C13">
      <w:pPr>
        <w:pStyle w:val="Heading3"/>
        <w:ind w:left="1134"/>
      </w:pPr>
      <w:bookmarkStart w:id="131" w:name="_Toc170734159"/>
      <w:r>
        <w:t xml:space="preserve">Monitoring, </w:t>
      </w:r>
      <w:r w:rsidR="002F2A48">
        <w:t>e</w:t>
      </w:r>
      <w:r>
        <w:t xml:space="preserve">valuation and </w:t>
      </w:r>
      <w:r w:rsidR="002F2A48">
        <w:t>l</w:t>
      </w:r>
      <w:r>
        <w:t>earning</w:t>
      </w:r>
      <w:bookmarkEnd w:id="131"/>
    </w:p>
    <w:p w14:paraId="735DA80E" w14:textId="499AA0CA" w:rsidR="00552C94" w:rsidRDefault="00AD7112" w:rsidP="004B1409">
      <w:r>
        <w:t>The NIAA</w:t>
      </w:r>
      <w:r w:rsidRPr="00726710">
        <w:rPr>
          <w:color w:val="4F6228" w:themeColor="accent3" w:themeShade="80"/>
        </w:rPr>
        <w:t xml:space="preserve"> </w:t>
      </w:r>
      <w:r w:rsidR="004B1409">
        <w:t xml:space="preserve">will </w:t>
      </w:r>
      <w:r w:rsidR="002F2A48">
        <w:t xml:space="preserve">monitor and </w:t>
      </w:r>
      <w:r w:rsidR="004B1409" w:rsidRPr="00B72EE8">
        <w:t>evaluat</w:t>
      </w:r>
      <w:r w:rsidR="004B1409">
        <w:t>e</w:t>
      </w:r>
      <w:r w:rsidR="004B1409" w:rsidRPr="00B72EE8">
        <w:t xml:space="preserve"> </w:t>
      </w:r>
      <w:r w:rsidR="004B1409" w:rsidRPr="00726710">
        <w:t>the</w:t>
      </w:r>
      <w:r w:rsidR="004B1409" w:rsidRPr="00726710">
        <w:rPr>
          <w:color w:val="4F6228" w:themeColor="accent3" w:themeShade="80"/>
        </w:rPr>
        <w:t xml:space="preserve"> </w:t>
      </w:r>
      <w:r w:rsidR="00D82BBE">
        <w:t>RJED</w:t>
      </w:r>
      <w:r w:rsidR="002F2A48">
        <w:t xml:space="preserve"> program </w:t>
      </w:r>
      <w:r w:rsidR="004B1409" w:rsidRPr="00B72EE8">
        <w:t>to</w:t>
      </w:r>
      <w:r w:rsidR="004B1409">
        <w:t xml:space="preserve"> measure how well </w:t>
      </w:r>
      <w:r w:rsidR="004B1409" w:rsidRPr="00B72EE8">
        <w:t>outcomes and objectives have been achieved</w:t>
      </w:r>
      <w:r w:rsidR="002F2A48">
        <w:t>, including outcomes for participants, organisations and communities</w:t>
      </w:r>
      <w:r w:rsidR="004B1409" w:rsidRPr="00B72EE8">
        <w:t xml:space="preserve">. </w:t>
      </w:r>
      <w:r w:rsidR="002F2A48">
        <w:t>Monitoring and</w:t>
      </w:r>
      <w:r w:rsidR="00552C94">
        <w:t xml:space="preserve"> evaluation</w:t>
      </w:r>
      <w:r w:rsidR="002F2A48">
        <w:t xml:space="preserve"> activities</w:t>
      </w:r>
      <w:r w:rsidR="009A072D">
        <w:t xml:space="preserve"> may</w:t>
      </w:r>
      <w:r w:rsidR="00552C94">
        <w:t>:</w:t>
      </w:r>
    </w:p>
    <w:p w14:paraId="6B050FD4" w14:textId="595B5A0A" w:rsidR="00552C94" w:rsidRDefault="009A072D" w:rsidP="007C30B0">
      <w:pPr>
        <w:pStyle w:val="ListBullet"/>
        <w:numPr>
          <w:ilvl w:val="0"/>
          <w:numId w:val="7"/>
        </w:numPr>
      </w:pPr>
      <w:r>
        <w:t>use information from your application and reports</w:t>
      </w:r>
    </w:p>
    <w:p w14:paraId="209A24CD" w14:textId="66EB5F82" w:rsidR="00C05C86" w:rsidRDefault="00C05C86" w:rsidP="007C30B0">
      <w:pPr>
        <w:pStyle w:val="ListBullet"/>
        <w:numPr>
          <w:ilvl w:val="0"/>
          <w:numId w:val="7"/>
        </w:numPr>
      </w:pPr>
      <w:r>
        <w:t xml:space="preserve">use systems to understand experiences throughout the program, </w:t>
      </w:r>
      <w:r w:rsidR="002F2A48">
        <w:t>(</w:t>
      </w:r>
      <w:r>
        <w:t>this could include apps to report progress from both businesses and participants in the program</w:t>
      </w:r>
      <w:r w:rsidR="002F2A48">
        <w:t>)</w:t>
      </w:r>
    </w:p>
    <w:p w14:paraId="3C3D23D7" w14:textId="112A371D" w:rsidR="00B501CF" w:rsidRDefault="009A072D" w:rsidP="007C30B0">
      <w:pPr>
        <w:pStyle w:val="ListBullet"/>
        <w:numPr>
          <w:ilvl w:val="0"/>
          <w:numId w:val="7"/>
        </w:numPr>
      </w:pPr>
      <w:r>
        <w:t>interview you</w:t>
      </w:r>
      <w:r w:rsidR="002F2A48">
        <w:t>, participants or other stakeholders,</w:t>
      </w:r>
      <w:r>
        <w:t xml:space="preserve"> </w:t>
      </w:r>
      <w:r w:rsidR="00552C94">
        <w:t xml:space="preserve">or </w:t>
      </w:r>
      <w:r>
        <w:t xml:space="preserve">ask for more information </w:t>
      </w:r>
      <w:r w:rsidR="00552C94">
        <w:t xml:space="preserve">on </w:t>
      </w:r>
      <w:r>
        <w:t>how the grant impacted you</w:t>
      </w:r>
      <w:r w:rsidR="004614C5">
        <w:t>r organisation</w:t>
      </w:r>
      <w:r w:rsidR="002F2A48">
        <w:t>, participants and/or the</w:t>
      </w:r>
      <w:r w:rsidR="004614C5">
        <w:t xml:space="preserve"> </w:t>
      </w:r>
      <w:r w:rsidR="002F2A48">
        <w:t xml:space="preserve">wider </w:t>
      </w:r>
      <w:r w:rsidR="004614C5">
        <w:t>community</w:t>
      </w:r>
      <w:r>
        <w:t xml:space="preserve"> and how effective </w:t>
      </w:r>
      <w:r w:rsidR="00552C94">
        <w:t>it</w:t>
      </w:r>
      <w:r w:rsidR="00B501CF">
        <w:t xml:space="preserve"> was in achieving its outcomes</w:t>
      </w:r>
      <w:r w:rsidR="002F2A48">
        <w:t>.</w:t>
      </w:r>
      <w:r w:rsidR="00C05C86">
        <w:t xml:space="preserve"> </w:t>
      </w:r>
      <w:r w:rsidR="002F2A48">
        <w:t>This</w:t>
      </w:r>
      <w:r w:rsidR="00C05C86">
        <w:t xml:space="preserve"> may be in the form of an online application or other methods as directed by the NIAA</w:t>
      </w:r>
      <w:r w:rsidR="00B501CF">
        <w:t>.</w:t>
      </w:r>
    </w:p>
    <w:p w14:paraId="1094B145" w14:textId="1508C759" w:rsidR="004B1409" w:rsidRDefault="00C05C86" w:rsidP="00C05C86">
      <w:pPr>
        <w:pStyle w:val="ListBullet"/>
        <w:numPr>
          <w:ilvl w:val="0"/>
          <w:numId w:val="7"/>
        </w:numPr>
      </w:pPr>
      <w:r>
        <w:t>You may be contacted during and</w:t>
      </w:r>
      <w:r w:rsidR="002F2A48">
        <w:t>/or</w:t>
      </w:r>
      <w:r>
        <w:t xml:space="preserve"> after the program to support RJED program monitoring and evaluation.</w:t>
      </w:r>
      <w:r w:rsidR="00D54F36">
        <w:t xml:space="preserve"> </w:t>
      </w:r>
      <w:r w:rsidR="004614C5">
        <w:t>W</w:t>
      </w:r>
      <w:r w:rsidR="004614C5" w:rsidRPr="00565DD5">
        <w:t xml:space="preserve">e may request assistance in distributing information </w:t>
      </w:r>
      <w:r w:rsidR="004614C5">
        <w:t xml:space="preserve">related to </w:t>
      </w:r>
      <w:r w:rsidR="002F2A48">
        <w:t xml:space="preserve">monitoring and </w:t>
      </w:r>
      <w:r w:rsidR="004614C5">
        <w:t>evaluation of the grant activity</w:t>
      </w:r>
      <w:r w:rsidR="004614C5" w:rsidRPr="00565DD5">
        <w:t xml:space="preserve"> to participants and other members of your community. </w:t>
      </w:r>
      <w:r w:rsidR="004614C5">
        <w:t xml:space="preserve"> </w:t>
      </w:r>
    </w:p>
    <w:p w14:paraId="2D3CFB26" w14:textId="6D90B022" w:rsidR="00C05C86" w:rsidRDefault="002F2A48" w:rsidP="00C05C86">
      <w:pPr>
        <w:pStyle w:val="ListBullet"/>
        <w:numPr>
          <w:ilvl w:val="0"/>
          <w:numId w:val="7"/>
        </w:numPr>
      </w:pPr>
      <w:r>
        <w:t>Engage third parties to collect information or provide</w:t>
      </w:r>
      <w:r w:rsidR="00C05C86">
        <w:t xml:space="preserve"> information to third parties as needed for monitoring, evaluation and related activities.</w:t>
      </w:r>
    </w:p>
    <w:p w14:paraId="33616674" w14:textId="77777777" w:rsidR="00E1311F" w:rsidRDefault="004B1409" w:rsidP="00905C13">
      <w:pPr>
        <w:pStyle w:val="Heading3"/>
        <w:ind w:left="1134"/>
      </w:pPr>
      <w:bookmarkStart w:id="132" w:name="_Toc170734160"/>
      <w:r>
        <w:t>Acknowledgement</w:t>
      </w:r>
      <w:bookmarkEnd w:id="132"/>
    </w:p>
    <w:p w14:paraId="3AA4476F" w14:textId="77777777" w:rsidR="00512E13" w:rsidRDefault="00512E13" w:rsidP="00512E13">
      <w:pPr>
        <w:rPr>
          <w:rFonts w:eastAsiaTheme="minorHAnsi"/>
        </w:rPr>
      </w:pPr>
      <w:r>
        <w:t xml:space="preserve">If you make a public statement about a </w:t>
      </w:r>
      <w:r w:rsidR="005163DB">
        <w:t>grant activity</w:t>
      </w:r>
      <w:r>
        <w:t xml:space="preserve"> funded under the program, </w:t>
      </w:r>
      <w:r w:rsidR="0030537D">
        <w:t>you</w:t>
      </w:r>
      <w:r>
        <w:t xml:space="preserve"> </w:t>
      </w:r>
      <w:r w:rsidR="0030537D">
        <w:t>must</w:t>
      </w:r>
      <w:r>
        <w:t xml:space="preserve"> </w:t>
      </w:r>
      <w:r w:rsidR="0030537D">
        <w:t>use the following statement</w:t>
      </w:r>
      <w:r>
        <w:t>:</w:t>
      </w:r>
    </w:p>
    <w:p w14:paraId="4B553841" w14:textId="77777777" w:rsidR="004B1409" w:rsidRPr="00B72EE8" w:rsidRDefault="004B1409" w:rsidP="001678AE">
      <w:pPr>
        <w:spacing w:after="0"/>
      </w:pPr>
      <w:r>
        <w:t>‘</w:t>
      </w:r>
      <w:r w:rsidRPr="008B782D">
        <w:t xml:space="preserve">This </w:t>
      </w:r>
      <w:r w:rsidR="00B501CF">
        <w:t>grant activity</w:t>
      </w:r>
      <w:r w:rsidRPr="008B782D">
        <w:t xml:space="preserve"> received grant funding from the Australian Government.</w:t>
      </w:r>
      <w:r>
        <w:t>’</w:t>
      </w:r>
    </w:p>
    <w:p w14:paraId="1F5BE1AB" w14:textId="528EB849" w:rsidR="00E1311F" w:rsidRDefault="004B1409" w:rsidP="00A4685F">
      <w:pPr>
        <w:pStyle w:val="Heading2"/>
        <w:numPr>
          <w:ilvl w:val="0"/>
          <w:numId w:val="8"/>
        </w:numPr>
      </w:pPr>
      <w:bookmarkStart w:id="133" w:name="_Toc170734161"/>
      <w:r>
        <w:t>Probity</w:t>
      </w:r>
      <w:bookmarkEnd w:id="133"/>
    </w:p>
    <w:p w14:paraId="22ED1E9C" w14:textId="77777777" w:rsidR="002D0AD9" w:rsidRDefault="004B1409" w:rsidP="004B1409">
      <w:r w:rsidRPr="00B72EE8">
        <w:t xml:space="preserve">The Australian Government </w:t>
      </w:r>
      <w:r>
        <w:t xml:space="preserve">will </w:t>
      </w:r>
      <w:r w:rsidR="0030537D">
        <w:t>en</w:t>
      </w:r>
      <w:r>
        <w:t xml:space="preserve">sure </w:t>
      </w:r>
      <w:r w:rsidRPr="00B72EE8">
        <w:t>the</w:t>
      </w:r>
      <w:r>
        <w:t xml:space="preserve"> </w:t>
      </w:r>
      <w:r w:rsidR="00B501CF">
        <w:t xml:space="preserve">grant opportunity </w:t>
      </w:r>
      <w:r w:rsidRPr="00B72EE8">
        <w:t>process</w:t>
      </w:r>
      <w:r w:rsidR="002D0AD9">
        <w:t>:</w:t>
      </w:r>
    </w:p>
    <w:p w14:paraId="7DBC1711" w14:textId="77777777" w:rsidR="002D0AD9" w:rsidRDefault="002D0AD9" w:rsidP="00AE7572">
      <w:pPr>
        <w:pStyle w:val="ListBullet"/>
        <w:numPr>
          <w:ilvl w:val="0"/>
          <w:numId w:val="7"/>
        </w:numPr>
      </w:pPr>
      <w:r>
        <w:t xml:space="preserve">is </w:t>
      </w:r>
      <w:r w:rsidR="004B1409" w:rsidRPr="00B72EE8">
        <w:t>fai</w:t>
      </w:r>
      <w:r w:rsidR="004B1409">
        <w:t>r</w:t>
      </w:r>
    </w:p>
    <w:p w14:paraId="33CDE38F" w14:textId="77777777" w:rsidR="002D0AD9" w:rsidRDefault="002D0AD9" w:rsidP="00AE7572">
      <w:pPr>
        <w:pStyle w:val="ListBullet"/>
        <w:numPr>
          <w:ilvl w:val="0"/>
          <w:numId w:val="7"/>
        </w:numPr>
      </w:pPr>
      <w:r>
        <w:t>run</w:t>
      </w:r>
      <w:r w:rsidR="004614C5">
        <w:t>s</w:t>
      </w:r>
      <w:r>
        <w:t xml:space="preserve"> in accordance with </w:t>
      </w:r>
      <w:r w:rsidR="004B1409" w:rsidRPr="00B72EE8">
        <w:t>th</w:t>
      </w:r>
      <w:r>
        <w:t xml:space="preserve">ese </w:t>
      </w:r>
      <w:r w:rsidR="004B1409" w:rsidRPr="00726710">
        <w:t xml:space="preserve">guidelines </w:t>
      </w:r>
    </w:p>
    <w:p w14:paraId="7C9FAC81" w14:textId="77777777" w:rsidR="002D0AD9" w:rsidRDefault="004B1409" w:rsidP="00AE7572">
      <w:pPr>
        <w:pStyle w:val="ListBullet"/>
        <w:numPr>
          <w:ilvl w:val="0"/>
          <w:numId w:val="7"/>
        </w:numPr>
      </w:pPr>
      <w:r w:rsidRPr="00726710">
        <w:t xml:space="preserve">incorporates appropriate safeguards against fraud, unlawful activities and other inappropriate conduct </w:t>
      </w:r>
    </w:p>
    <w:p w14:paraId="14A9BC9D" w14:textId="77777777" w:rsidR="004B1409" w:rsidRPr="00726710" w:rsidRDefault="004B1409" w:rsidP="00AE7572">
      <w:pPr>
        <w:pStyle w:val="ListBullet"/>
        <w:numPr>
          <w:ilvl w:val="0"/>
          <w:numId w:val="7"/>
        </w:numPr>
      </w:pPr>
      <w:r w:rsidRPr="00726710">
        <w:t>is consistent with the CGRGs.</w:t>
      </w:r>
    </w:p>
    <w:p w14:paraId="4EB58E4E" w14:textId="77777777" w:rsidR="004B1409" w:rsidRPr="00122DEC" w:rsidRDefault="002D0AD9" w:rsidP="004B1409">
      <w:r>
        <w:t xml:space="preserve">The NIAA may make changes to these guidelines and publish </w:t>
      </w:r>
      <w:r w:rsidR="004B1409" w:rsidRPr="00122DEC">
        <w:t xml:space="preserve">the revised guidelines on </w:t>
      </w:r>
      <w:hyperlink r:id="rId63" w:history="1">
        <w:r w:rsidR="004B1409" w:rsidRPr="00EF0702">
          <w:rPr>
            <w:rStyle w:val="Hyperlink"/>
          </w:rPr>
          <w:t>GrantConnect</w:t>
        </w:r>
      </w:hyperlink>
      <w:r w:rsidR="002547F6">
        <w:t>.</w:t>
      </w:r>
    </w:p>
    <w:p w14:paraId="262113D0" w14:textId="77777777" w:rsidR="004B1409" w:rsidRDefault="00A0109E" w:rsidP="00905C13">
      <w:pPr>
        <w:pStyle w:val="Heading3"/>
        <w:ind w:left="1134"/>
      </w:pPr>
      <w:bookmarkStart w:id="134" w:name="_Toc170734162"/>
      <w:r>
        <w:t>Enquiries and feedback</w:t>
      </w:r>
      <w:bookmarkEnd w:id="134"/>
    </w:p>
    <w:p w14:paraId="5E01E55B" w14:textId="77777777" w:rsidR="002D0AD9" w:rsidRDefault="002D0AD9" w:rsidP="00122DEC">
      <w:r>
        <w:t>C</w:t>
      </w:r>
      <w:r w:rsidRPr="00F20775">
        <w:t>ontact</w:t>
      </w:r>
      <w:r>
        <w:t xml:space="preserve"> your local </w:t>
      </w:r>
      <w:hyperlink r:id="rId64" w:history="1">
        <w:r w:rsidRPr="002E7831">
          <w:rPr>
            <w:rStyle w:val="Hyperlink"/>
          </w:rPr>
          <w:t>NIAA Regional Office</w:t>
        </w:r>
      </w:hyperlink>
      <w:r>
        <w:rPr>
          <w:rStyle w:val="Hyperlink"/>
          <w:u w:val="none"/>
        </w:rPr>
        <w:t xml:space="preserve"> </w:t>
      </w:r>
      <w:r>
        <w:t>if you have any questions about this grant opportunity, including grant decisions.</w:t>
      </w:r>
    </w:p>
    <w:p w14:paraId="09C8C940" w14:textId="77777777" w:rsidR="004B1409" w:rsidRDefault="002012B2" w:rsidP="00AE7572">
      <w:r>
        <w:t xml:space="preserve">If you would like to make a complaint about a grant process, phone (02) 6152 3050 or email </w:t>
      </w:r>
      <w:hyperlink r:id="rId65" w:history="1">
        <w:r w:rsidRPr="00DD3B18">
          <w:rPr>
            <w:rStyle w:val="Hyperlink"/>
          </w:rPr>
          <w:t>complaints@niaa.gov.au</w:t>
        </w:r>
      </w:hyperlink>
      <w:r>
        <w:t xml:space="preserve">. </w:t>
      </w:r>
      <w:r w:rsidR="004B1409" w:rsidRPr="00122DEC">
        <w:t>If you do not agree with the way the</w:t>
      </w:r>
      <w:r w:rsidR="004B1409" w:rsidRPr="00F1475D">
        <w:t xml:space="preserve"> </w:t>
      </w:r>
      <w:r>
        <w:t>NIAA</w:t>
      </w:r>
      <w:r w:rsidR="004B1409" w:rsidRPr="00516E21">
        <w:t xml:space="preserve"> </w:t>
      </w:r>
      <w:r w:rsidR="004B1409" w:rsidRPr="00122DEC">
        <w:t xml:space="preserve">has handled your complaint, </w:t>
      </w:r>
      <w:r w:rsidR="004B1409" w:rsidRPr="00F1475D">
        <w:t xml:space="preserve">you may complain to the </w:t>
      </w:r>
      <w:hyperlink r:id="rId66" w:history="1">
        <w:r w:rsidR="004B1409" w:rsidRPr="00132512">
          <w:rPr>
            <w:rStyle w:val="Hyperlink"/>
          </w:rPr>
          <w:t>Commonwealth Ombudsman</w:t>
        </w:r>
      </w:hyperlink>
      <w:r w:rsidR="004B1409" w:rsidRPr="00B72EE8">
        <w:t xml:space="preserve"> on: </w:t>
      </w:r>
    </w:p>
    <w:p w14:paraId="76DD5305" w14:textId="77777777" w:rsidR="004B1409" w:rsidRDefault="004B1409" w:rsidP="004B1409">
      <w:pPr>
        <w:ind w:left="1276" w:hanging="1276"/>
      </w:pPr>
      <w:r w:rsidRPr="00B72EE8">
        <w:tab/>
        <w:t>Phone (Toll free): 1300 362 072</w:t>
      </w:r>
      <w:r w:rsidRPr="00B72EE8">
        <w:br/>
        <w:t xml:space="preserve">Email: </w:t>
      </w:r>
      <w:hyperlink r:id="rId67" w:history="1">
        <w:r w:rsidRPr="00B72EE8">
          <w:t>ombudsman@ombudsman.gov.au</w:t>
        </w:r>
      </w:hyperlink>
      <w:r w:rsidRPr="00B72EE8">
        <w:t xml:space="preserve"> </w:t>
      </w:r>
      <w:r w:rsidRPr="00B72EE8">
        <w:br/>
        <w:t xml:space="preserve">Website: </w:t>
      </w:r>
      <w:hyperlink r:id="rId68" w:history="1">
        <w:r w:rsidRPr="00B72EE8">
          <w:t>www.ombudsman.gov.au</w:t>
        </w:r>
      </w:hyperlink>
    </w:p>
    <w:p w14:paraId="23C6DE8E" w14:textId="77777777" w:rsidR="002D0AD9" w:rsidRPr="00B72EE8" w:rsidRDefault="002D0AD9" w:rsidP="00AE7572">
      <w:r w:rsidRPr="00F1475D">
        <w:t>The Ombudsman will not usually look into a complaint unless t</w:t>
      </w:r>
      <w:r>
        <w:t xml:space="preserve">he matter has first been raised </w:t>
      </w:r>
      <w:r w:rsidRPr="00F1475D">
        <w:t>directly with the</w:t>
      </w:r>
      <w:r w:rsidRPr="00516E21">
        <w:t xml:space="preserve"> </w:t>
      </w:r>
      <w:r>
        <w:t>NIAA</w:t>
      </w:r>
      <w:r w:rsidRPr="00516E21">
        <w:t>.</w:t>
      </w:r>
    </w:p>
    <w:p w14:paraId="1F54AB41" w14:textId="77777777" w:rsidR="004B1409" w:rsidRPr="00EA7AD7" w:rsidRDefault="004B1409" w:rsidP="00905C13">
      <w:pPr>
        <w:pStyle w:val="Heading3"/>
        <w:ind w:left="1134"/>
      </w:pPr>
      <w:bookmarkStart w:id="135" w:name="_Toc170734163"/>
      <w:r>
        <w:t>Conflicts of interest</w:t>
      </w:r>
      <w:bookmarkEnd w:id="135"/>
    </w:p>
    <w:p w14:paraId="0E3AA2E6" w14:textId="77777777" w:rsidR="002C2BA1" w:rsidRPr="002C2BA1" w:rsidRDefault="002C2BA1" w:rsidP="002C2BA1">
      <w:pPr>
        <w:rPr>
          <w:rFonts w:cs="Arial"/>
        </w:rPr>
      </w:pPr>
      <w:r w:rsidRPr="002C2BA1">
        <w:rPr>
          <w:rFonts w:cs="Arial"/>
        </w:rPr>
        <w:t xml:space="preserve">Conflicts of interest can affect the performance of the grant opportunity or program. There may be an actual </w:t>
      </w:r>
      <w:hyperlink r:id="rId69" w:history="1">
        <w:r w:rsidRPr="002C2BA1">
          <w:rPr>
            <w:rFonts w:cs="Arial"/>
          </w:rPr>
          <w:t>conflict of interest</w:t>
        </w:r>
      </w:hyperlink>
      <w:r w:rsidRPr="002C2BA1">
        <w:rPr>
          <w:rFonts w:cs="Arial"/>
        </w:rPr>
        <w:t>, a perceived conflict of interest, or a potential conflict of interest, if the Agency’s staff, any member of a committee, panel or advisor and/or you or any of your personnel, including subcontractors and volunteers has, but not limited to:</w:t>
      </w:r>
    </w:p>
    <w:p w14:paraId="7A881390" w14:textId="77777777" w:rsidR="002C2BA1" w:rsidRPr="002C2BA1" w:rsidRDefault="002C2BA1" w:rsidP="002C2BA1">
      <w:pPr>
        <w:pStyle w:val="ListBullet"/>
        <w:numPr>
          <w:ilvl w:val="0"/>
          <w:numId w:val="7"/>
        </w:numPr>
        <w:rPr>
          <w:rFonts w:cs="Arial"/>
        </w:rPr>
      </w:pPr>
      <w:r w:rsidRPr="002C2BA1">
        <w:rPr>
          <w:rFonts w:cs="Arial"/>
        </w:rPr>
        <w:t xml:space="preserve">A professional, political, commercial or personal relationship with a party who is or is perceived to be able to influence the application selection process, such as </w:t>
      </w:r>
      <w:r w:rsidR="001747EB" w:rsidRPr="002C2BA1">
        <w:rPr>
          <w:rFonts w:cs="Arial"/>
        </w:rPr>
        <w:t>an</w:t>
      </w:r>
      <w:r w:rsidRPr="002C2BA1">
        <w:rPr>
          <w:rFonts w:cs="Arial"/>
        </w:rPr>
        <w:t xml:space="preserve"> Australian Government officer or member of an external panel.</w:t>
      </w:r>
    </w:p>
    <w:p w14:paraId="51637C7D" w14:textId="77777777" w:rsidR="002C2BA1" w:rsidRPr="002C2BA1" w:rsidRDefault="002C2BA1" w:rsidP="002C2BA1">
      <w:pPr>
        <w:pStyle w:val="ListBullet"/>
        <w:numPr>
          <w:ilvl w:val="0"/>
          <w:numId w:val="7"/>
        </w:numPr>
        <w:rPr>
          <w:rFonts w:cs="Arial"/>
        </w:rPr>
      </w:pPr>
      <w:r w:rsidRPr="002C2BA1">
        <w:rPr>
          <w:rFonts w:cs="Arial"/>
        </w:rPr>
        <w:t>A relationship with or interest in, an organisation or individual, which is likely to interfere with or restrict the applicants from carrying out the proposed activities fairly and independently. A</w:t>
      </w:r>
      <w:r w:rsidRPr="002C2BA1">
        <w:t>nd/</w:t>
      </w:r>
      <w:r w:rsidRPr="002C2BA1">
        <w:rPr>
          <w:rFonts w:cs="Arial"/>
        </w:rPr>
        <w:t>or</w:t>
      </w:r>
    </w:p>
    <w:p w14:paraId="70ABA6F1" w14:textId="77777777" w:rsidR="002C2BA1" w:rsidRPr="002C2BA1" w:rsidRDefault="002C2BA1" w:rsidP="002C2BA1">
      <w:pPr>
        <w:pStyle w:val="ListBullet"/>
        <w:numPr>
          <w:ilvl w:val="0"/>
          <w:numId w:val="7"/>
        </w:numPr>
        <w:rPr>
          <w:rFonts w:cs="Arial"/>
        </w:rPr>
      </w:pPr>
      <w:r w:rsidRPr="002C2BA1">
        <w:rPr>
          <w:rFonts w:cs="Arial"/>
        </w:rPr>
        <w:t>A relationship with, or interest in, an organisation or individual from which they will receive personal gain because the organisation receives a grant under the grant program/grant opportunity.</w:t>
      </w:r>
    </w:p>
    <w:p w14:paraId="04305C19" w14:textId="77777777" w:rsidR="002C2BA1" w:rsidRPr="002C2BA1" w:rsidRDefault="002C2BA1" w:rsidP="002C2BA1">
      <w:pPr>
        <w:rPr>
          <w:rFonts w:cs="Arial"/>
          <w:b/>
        </w:rPr>
      </w:pPr>
      <w:r w:rsidRPr="002C2BA1">
        <w:rPr>
          <w:rFonts w:cs="Arial"/>
          <w:b/>
        </w:rPr>
        <w:t>You will be asked to declare, as part of your application, any actual, perceived or potential conflicts of interests or that, to the best of your knowledge, there is no conflict of interest. The Agency will make the final decision on what is determined as an actual, potential or perceived conflict of interest.</w:t>
      </w:r>
    </w:p>
    <w:p w14:paraId="4E49D7F7" w14:textId="77777777" w:rsidR="002C2BA1" w:rsidRPr="002C2BA1" w:rsidRDefault="002C2BA1" w:rsidP="002C2BA1">
      <w:pPr>
        <w:spacing w:line="276" w:lineRule="auto"/>
        <w:rPr>
          <w:rFonts w:cs="Arial"/>
          <w:b/>
        </w:rPr>
      </w:pPr>
      <w:r w:rsidRPr="002C2BA1">
        <w:rPr>
          <w:rFonts w:cs="Arial"/>
          <w:b/>
        </w:rPr>
        <w:t xml:space="preserve">If you later identify an actual </w:t>
      </w:r>
      <w:hyperlink r:id="rId70">
        <w:r w:rsidRPr="002C2BA1">
          <w:rPr>
            <w:rFonts w:cs="Arial"/>
            <w:b/>
            <w:bCs/>
          </w:rPr>
          <w:t>conflict of interest</w:t>
        </w:r>
      </w:hyperlink>
      <w:r w:rsidRPr="002C2BA1">
        <w:rPr>
          <w:rFonts w:cs="Arial"/>
          <w:b/>
        </w:rPr>
        <w:t xml:space="preserve">, a perceived conflict of interest, or a potential conflict of interest, you must inform the Agency in writing immediately and provide further information to the satisfaction of the Agency. </w:t>
      </w:r>
    </w:p>
    <w:p w14:paraId="01EEF101" w14:textId="77777777" w:rsidR="002C2BA1" w:rsidRPr="002C2BA1" w:rsidRDefault="002C2BA1" w:rsidP="002C2BA1">
      <w:pPr>
        <w:spacing w:line="276" w:lineRule="auto"/>
        <w:rPr>
          <w:rFonts w:cs="Arial"/>
        </w:rPr>
      </w:pPr>
      <w:r w:rsidRPr="002C2BA1">
        <w:rPr>
          <w:rFonts w:cs="Arial"/>
        </w:rPr>
        <w:t xml:space="preserve">Committee members and other officials including the decision maker must also declare any conflicts of interest. </w:t>
      </w:r>
    </w:p>
    <w:p w14:paraId="46A077C6" w14:textId="77777777" w:rsidR="00182EAC" w:rsidRDefault="004B1409" w:rsidP="004B1409">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w:t>
      </w:r>
      <w:hyperlink r:id="rId71" w:history="1">
        <w:r w:rsidRPr="009C7586">
          <w:rPr>
            <w:rStyle w:val="Hyperlink"/>
          </w:rPr>
          <w:t>Public Service Code of Conduct (Section 13(7))</w:t>
        </w:r>
      </w:hyperlink>
      <w:r>
        <w:t xml:space="preserve"> of the </w:t>
      </w:r>
      <w:hyperlink r:id="rId72"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151FBA8E" w14:textId="77777777" w:rsidR="004B1409" w:rsidRDefault="007E6B1A" w:rsidP="00905C13">
      <w:pPr>
        <w:pStyle w:val="Heading3"/>
        <w:ind w:left="1134"/>
      </w:pPr>
      <w:bookmarkStart w:id="136" w:name="_Toc170734164"/>
      <w:r>
        <w:t>Privacy</w:t>
      </w:r>
      <w:bookmarkEnd w:id="136"/>
    </w:p>
    <w:p w14:paraId="7D4498F9" w14:textId="77777777" w:rsidR="007E6B1A" w:rsidRPr="000D1F02" w:rsidRDefault="00E62ABB" w:rsidP="007E6B1A">
      <w:r>
        <w:t>The NIAA</w:t>
      </w:r>
      <w:r w:rsidR="007E6B1A" w:rsidRPr="00164671">
        <w:t xml:space="preserve"> treat</w:t>
      </w:r>
      <w:r>
        <w:t>s</w:t>
      </w:r>
      <w:r w:rsidR="007E6B1A" w:rsidRPr="00164671">
        <w:t xml:space="preserve"> your personal information according to the </w:t>
      </w:r>
      <w:hyperlink r:id="rId73" w:history="1">
        <w:r w:rsidR="00A95129" w:rsidRPr="001420AF">
          <w:rPr>
            <w:rStyle w:val="Hyperlink"/>
            <w:i/>
          </w:rPr>
          <w:t>Privacy Act 1988</w:t>
        </w:r>
      </w:hyperlink>
      <w:r w:rsidR="00A95129">
        <w:rPr>
          <w:i/>
        </w:rPr>
        <w:t xml:space="preserve"> </w:t>
      </w:r>
      <w:r w:rsidR="00A95129" w:rsidRPr="00B368D9">
        <w:t>and the</w:t>
      </w:r>
      <w:r w:rsidR="00A95129">
        <w:rPr>
          <w:i/>
        </w:rPr>
        <w:t xml:space="preserve"> </w:t>
      </w:r>
      <w:hyperlink r:id="rId74" w:history="1">
        <w:r w:rsidR="007E6B1A" w:rsidRPr="009D794C">
          <w:rPr>
            <w:rStyle w:val="Hyperlink"/>
          </w:rPr>
          <w:t>Australian Privacy Principles</w:t>
        </w:r>
      </w:hyperlink>
      <w:r w:rsidR="00164671" w:rsidRPr="00164671">
        <w:t>.</w:t>
      </w:r>
      <w:r w:rsidR="007E6B1A" w:rsidRPr="00164671">
        <w:t xml:space="preserve"> This includes letting you know:</w:t>
      </w:r>
      <w:r w:rsidR="007E6B1A" w:rsidRPr="000D1F02">
        <w:t xml:space="preserve"> </w:t>
      </w:r>
    </w:p>
    <w:p w14:paraId="4BAD7BEC" w14:textId="77777777" w:rsidR="007E6B1A" w:rsidRPr="00E86A67" w:rsidRDefault="007E6B1A" w:rsidP="007E6B1A">
      <w:pPr>
        <w:pStyle w:val="ListBullet"/>
      </w:pPr>
      <w:r w:rsidRPr="00E86A67">
        <w:t xml:space="preserve">what personal information </w:t>
      </w:r>
      <w:r w:rsidR="00E62ABB">
        <w:t>the NIAA</w:t>
      </w:r>
      <w:r w:rsidRPr="00E86A67">
        <w:t xml:space="preserve"> collect</w:t>
      </w:r>
      <w:r w:rsidR="00E62ABB">
        <w:t>s</w:t>
      </w:r>
    </w:p>
    <w:p w14:paraId="5977E320" w14:textId="77777777" w:rsidR="007E6B1A" w:rsidRPr="00E86A67" w:rsidRDefault="007E6B1A" w:rsidP="007E6B1A">
      <w:pPr>
        <w:pStyle w:val="ListBullet"/>
      </w:pPr>
      <w:r w:rsidRPr="00E86A67">
        <w:t xml:space="preserve">why </w:t>
      </w:r>
      <w:r w:rsidR="00E62ABB">
        <w:t>the NIAA</w:t>
      </w:r>
      <w:r w:rsidRPr="00E86A67">
        <w:t xml:space="preserve"> co</w:t>
      </w:r>
      <w:r>
        <w:t>llect</w:t>
      </w:r>
      <w:r w:rsidR="00E62ABB">
        <w:t>s</w:t>
      </w:r>
      <w:r>
        <w:t xml:space="preserve"> your personal information</w:t>
      </w:r>
    </w:p>
    <w:p w14:paraId="67512D05" w14:textId="77777777" w:rsidR="007E6B1A" w:rsidRDefault="007E6B1A" w:rsidP="007E6B1A">
      <w:pPr>
        <w:pStyle w:val="ListBullet"/>
      </w:pPr>
      <w:r w:rsidRPr="00E86A67">
        <w:t xml:space="preserve">who </w:t>
      </w:r>
      <w:r w:rsidR="00E62ABB">
        <w:t>the NIAA</w:t>
      </w:r>
      <w:r w:rsidRPr="00E86A67">
        <w:t xml:space="preserve"> gi</w:t>
      </w:r>
      <w:r>
        <w:t>ve</w:t>
      </w:r>
      <w:r w:rsidR="00E62ABB">
        <w:t>s</w:t>
      </w:r>
      <w:r>
        <w:t xml:space="preserve"> your personal information to</w:t>
      </w:r>
      <w:r w:rsidR="00EA7AD7">
        <w:t>.</w:t>
      </w:r>
    </w:p>
    <w:p w14:paraId="30391653" w14:textId="77777777" w:rsidR="00A95129" w:rsidRDefault="00A95129" w:rsidP="007E6B1A">
      <w:r>
        <w:t>Your personal information can only be disclosed to someone else for the primary purpose for which it was collected, unless an exemption applies.</w:t>
      </w:r>
    </w:p>
    <w:p w14:paraId="191A2B26" w14:textId="77777777" w:rsidR="00E62ABB" w:rsidRDefault="00A95129" w:rsidP="00A95129">
      <w:r w:rsidRPr="00763129">
        <w:t xml:space="preserve">The </w:t>
      </w:r>
      <w:r w:rsidRPr="00B12804">
        <w:t xml:space="preserve">Australian Government </w:t>
      </w:r>
      <w:r w:rsidRPr="00763129">
        <w:t xml:space="preserve">may also use and disclose information </w:t>
      </w:r>
      <w:r>
        <w:t>about grant</w:t>
      </w:r>
      <w:r w:rsidRPr="00763129">
        <w:t xml:space="preserve"> applicants and </w:t>
      </w:r>
      <w:r>
        <w:t xml:space="preserve">grant recipients under this grant opportunity </w:t>
      </w:r>
      <w:r w:rsidRPr="00763129">
        <w:t>in any other Australian Government business or function</w:t>
      </w:r>
      <w:r>
        <w:t>. This includes disclosing grant information on GrantConnect as required for reporting purpose</w:t>
      </w:r>
      <w:r w:rsidR="009376CD">
        <w:t>s</w:t>
      </w:r>
      <w:r>
        <w:t xml:space="preserve"> and giving </w:t>
      </w:r>
      <w:r w:rsidRPr="00763129">
        <w:t>information to the Australian Taxation Office for compliance purposes.</w:t>
      </w:r>
    </w:p>
    <w:p w14:paraId="1BF5FEBD" w14:textId="77777777" w:rsidR="00A95129" w:rsidRDefault="00E62ABB" w:rsidP="00A95129">
      <w:r>
        <w:t>The NIAA</w:t>
      </w:r>
      <w:r w:rsidR="00A95129">
        <w:t xml:space="preserve"> may share the information you </w:t>
      </w:r>
      <w:r>
        <w:t>provide</w:t>
      </w:r>
      <w:r w:rsidR="00A95129">
        <w:t xml:space="preserve"> with other Commonwealth </w:t>
      </w:r>
      <w:r w:rsidR="002B4620">
        <w:t>entities</w:t>
      </w:r>
      <w:r w:rsidR="00A95129">
        <w:t xml:space="preserve"> for purposes including government administration, research or service delivery, according to Australian laws.</w:t>
      </w:r>
    </w:p>
    <w:p w14:paraId="473A5966" w14:textId="77777777" w:rsidR="00A95129" w:rsidRDefault="00A95129" w:rsidP="00A95129">
      <w:r>
        <w:t xml:space="preserve">As part of your application, you declare your ability to comply with the </w:t>
      </w:r>
      <w:r w:rsidRPr="00B368D9">
        <w:rPr>
          <w:i/>
        </w:rPr>
        <w:t>Privacy Act 1988</w:t>
      </w:r>
      <w:r>
        <w:t xml:space="preserve"> and the Australian Privacy Principles</w:t>
      </w:r>
      <w:r w:rsidR="00E62ABB">
        <w:t xml:space="preserve">. You also declare you will </w:t>
      </w:r>
      <w:r>
        <w:t xml:space="preserve">impose the same privacy obligations on officers, employees, agents and subcontractors that you engage to assist with </w:t>
      </w:r>
      <w:r w:rsidR="007A46B8">
        <w:t>the activity, in respect of personal information you collect, use, store, or disclose in connection with the activity. Accordingly, you must not do anything</w:t>
      </w:r>
      <w:r w:rsidR="002B4620">
        <w:t>, which</w:t>
      </w:r>
      <w:r w:rsidR="007A46B8">
        <w:t xml:space="preserve"> if done by the </w:t>
      </w:r>
      <w:r w:rsidR="00BD2841">
        <w:t>NIAA</w:t>
      </w:r>
      <w:r w:rsidR="007A46B8">
        <w:t xml:space="preserve"> would breach an Australian Privacy Principle as defined in the Act.</w:t>
      </w:r>
    </w:p>
    <w:p w14:paraId="2484757F" w14:textId="77777777" w:rsidR="00BD2841" w:rsidRPr="00763129" w:rsidRDefault="00BD2841" w:rsidP="00A95129">
      <w:r>
        <w:t>The NIAA</w:t>
      </w:r>
      <w:r w:rsidRPr="00BD2841">
        <w:t xml:space="preserve">’s </w:t>
      </w:r>
      <w:hyperlink r:id="rId75" w:history="1">
        <w:r w:rsidRPr="00BD2841">
          <w:rPr>
            <w:rStyle w:val="Hyperlink"/>
          </w:rPr>
          <w:t>Privacy Policy</w:t>
        </w:r>
      </w:hyperlink>
      <w:r w:rsidRPr="00BD2841">
        <w:t xml:space="preserve"> contains information about how you can access the personal information held by the </w:t>
      </w:r>
      <w:r w:rsidR="00FE6C44">
        <w:t>NIAA</w:t>
      </w:r>
      <w:r w:rsidRPr="00BD2841">
        <w:t xml:space="preserve"> and seek correction of the information. It also explains how you can make a complaint about a breach of the Australian Privacy Principles. You can access the Privacy Policy at niaa.gov.au or </w:t>
      </w:r>
      <w:r w:rsidR="00E62ABB">
        <w:t xml:space="preserve">by </w:t>
      </w:r>
      <w:r w:rsidRPr="00BD2841">
        <w:t>email</w:t>
      </w:r>
      <w:r w:rsidR="00E62ABB">
        <w:t>ing</w:t>
      </w:r>
      <w:r w:rsidRPr="00BD2841">
        <w:t xml:space="preserve"> </w:t>
      </w:r>
      <w:r w:rsidRPr="00FB1AFE">
        <w:rPr>
          <w:u w:val="single"/>
        </w:rPr>
        <w:t>privacy@niaa.gov.au</w:t>
      </w:r>
      <w:r w:rsidRPr="00BD2841">
        <w:t xml:space="preserve"> for a copy of the policy.</w:t>
      </w:r>
    </w:p>
    <w:p w14:paraId="089C6201" w14:textId="77777777" w:rsidR="00D35A39" w:rsidRDefault="00D35A39" w:rsidP="00905C13">
      <w:pPr>
        <w:pStyle w:val="Heading3"/>
        <w:ind w:left="1134"/>
      </w:pPr>
      <w:bookmarkStart w:id="137" w:name="_Toc170734165"/>
      <w:r>
        <w:t>Confidential Information</w:t>
      </w:r>
      <w:bookmarkEnd w:id="137"/>
    </w:p>
    <w:p w14:paraId="7268842C" w14:textId="77777777" w:rsidR="007A46B8" w:rsidRDefault="002B4620" w:rsidP="007E6B1A">
      <w:pPr>
        <w:rPr>
          <w:lang w:eastAsia="en-AU"/>
        </w:rPr>
      </w:pPr>
      <w:r>
        <w:rPr>
          <w:lang w:eastAsia="en-AU"/>
        </w:rPr>
        <w:t>Other</w:t>
      </w:r>
      <w:r w:rsidR="007A46B8">
        <w:rPr>
          <w:lang w:eastAsia="en-AU"/>
        </w:rPr>
        <w:t xml:space="preserve"> than information available in the public domain, you agree not to disclose to any person, other than </w:t>
      </w:r>
      <w:r w:rsidR="00E62ABB">
        <w:rPr>
          <w:lang w:eastAsia="en-AU"/>
        </w:rPr>
        <w:t>the NIAA</w:t>
      </w:r>
      <w:r w:rsidR="007A46B8">
        <w:rPr>
          <w:lang w:eastAsia="en-AU"/>
        </w:rPr>
        <w:t xml:space="preserve">, any confidential information relating to the grant application and/or agreement, without </w:t>
      </w:r>
      <w:r w:rsidR="00E62ABB">
        <w:rPr>
          <w:lang w:eastAsia="en-AU"/>
        </w:rPr>
        <w:t>the NIAA’s</w:t>
      </w:r>
      <w:r>
        <w:rPr>
          <w:lang w:eastAsia="en-AU"/>
        </w:rPr>
        <w:t xml:space="preserve"> </w:t>
      </w:r>
      <w:r w:rsidR="007A46B8">
        <w:rPr>
          <w:lang w:eastAsia="en-AU"/>
        </w:rPr>
        <w:t>prior written approval</w:t>
      </w:r>
      <w:r>
        <w:rPr>
          <w:lang w:eastAsia="en-AU"/>
        </w:rPr>
        <w:t>.</w:t>
      </w:r>
      <w:r w:rsidR="007A46B8">
        <w:rPr>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2EA37496" w14:textId="77777777" w:rsidR="007A46B8" w:rsidRDefault="003D2348" w:rsidP="007E6B1A">
      <w:pPr>
        <w:rPr>
          <w:lang w:eastAsia="en-AU"/>
        </w:rPr>
      </w:pPr>
      <w:r>
        <w:rPr>
          <w:lang w:eastAsia="en-AU"/>
        </w:rPr>
        <w:t xml:space="preserve">The NIAA </w:t>
      </w:r>
      <w:r w:rsidR="007A46B8">
        <w:rPr>
          <w:lang w:eastAsia="en-AU"/>
        </w:rPr>
        <w:t>may at any time</w:t>
      </w:r>
      <w:r w:rsidR="002B4620">
        <w:rPr>
          <w:lang w:eastAsia="en-AU"/>
        </w:rPr>
        <w:t>,</w:t>
      </w:r>
      <w:r w:rsidR="007A46B8">
        <w:rPr>
          <w:lang w:eastAsia="en-AU"/>
        </w:rPr>
        <w:t xml:space="preserve"> require you to arrange for</w:t>
      </w:r>
      <w:r w:rsidR="00646F92">
        <w:rPr>
          <w:lang w:eastAsia="en-AU"/>
        </w:rPr>
        <w:t>:</w:t>
      </w:r>
      <w:r w:rsidR="007A46B8">
        <w:rPr>
          <w:lang w:eastAsia="en-AU"/>
        </w:rPr>
        <w:t xml:space="preserve"> you</w:t>
      </w:r>
      <w:r w:rsidR="002B4620">
        <w:rPr>
          <w:lang w:eastAsia="en-AU"/>
        </w:rPr>
        <w:t>;</w:t>
      </w:r>
      <w:r w:rsidR="007A46B8">
        <w:rPr>
          <w:lang w:eastAsia="en-AU"/>
        </w:rPr>
        <w:t xml:space="preserve"> your employees</w:t>
      </w:r>
      <w:r w:rsidR="00646F92">
        <w:rPr>
          <w:lang w:eastAsia="en-AU"/>
        </w:rPr>
        <w:t>;</w:t>
      </w:r>
      <w:r w:rsidR="007A46B8">
        <w:rPr>
          <w:lang w:eastAsia="en-AU"/>
        </w:rPr>
        <w:t xml:space="preserve"> agents or subcontractors</w:t>
      </w:r>
      <w:r w:rsidR="00646F92">
        <w:rPr>
          <w:lang w:eastAsia="en-AU"/>
        </w:rPr>
        <w:t>,</w:t>
      </w:r>
      <w:r w:rsidR="007A46B8">
        <w:rPr>
          <w:lang w:eastAsia="en-AU"/>
        </w:rPr>
        <w:t xml:space="preserve"> to give a written undertaking relating to nondisclosure of </w:t>
      </w:r>
      <w:r w:rsidR="002B4620">
        <w:rPr>
          <w:lang w:eastAsia="en-AU"/>
        </w:rPr>
        <w:t xml:space="preserve">our </w:t>
      </w:r>
      <w:r w:rsidR="007A46B8">
        <w:rPr>
          <w:lang w:eastAsia="en-AU"/>
        </w:rPr>
        <w:t xml:space="preserve">confidential information in a form </w:t>
      </w:r>
      <w:r w:rsidR="002B4620">
        <w:rPr>
          <w:lang w:eastAsia="en-AU"/>
        </w:rPr>
        <w:t xml:space="preserve">we consider </w:t>
      </w:r>
      <w:r w:rsidR="007A46B8">
        <w:rPr>
          <w:lang w:eastAsia="en-AU"/>
        </w:rPr>
        <w:t>acceptable</w:t>
      </w:r>
      <w:r w:rsidR="002B4620">
        <w:rPr>
          <w:lang w:eastAsia="en-AU"/>
        </w:rPr>
        <w:t>.</w:t>
      </w:r>
      <w:r w:rsidR="007A46B8">
        <w:rPr>
          <w:lang w:eastAsia="en-AU"/>
        </w:rPr>
        <w:t xml:space="preserve"> </w:t>
      </w:r>
    </w:p>
    <w:p w14:paraId="4FBC67D9" w14:textId="77777777" w:rsidR="002B4620" w:rsidRDefault="003D2348" w:rsidP="007E6B1A">
      <w:pPr>
        <w:rPr>
          <w:lang w:eastAsia="en-AU"/>
        </w:rPr>
      </w:pPr>
      <w:r>
        <w:rPr>
          <w:lang w:eastAsia="en-AU"/>
        </w:rPr>
        <w:t>The NIAA</w:t>
      </w:r>
      <w:r w:rsidR="002B4620">
        <w:rPr>
          <w:lang w:eastAsia="en-AU"/>
        </w:rPr>
        <w:t xml:space="preserve"> will keep any information in connection with the grant agreement confidential to the extent that it meets all of the three conditions below:</w:t>
      </w:r>
    </w:p>
    <w:p w14:paraId="09E8C302" w14:textId="77777777" w:rsidR="002B4620" w:rsidRPr="00AB0818" w:rsidRDefault="002B4620" w:rsidP="00F0019A">
      <w:pPr>
        <w:pStyle w:val="ListNumber"/>
        <w:numPr>
          <w:ilvl w:val="0"/>
          <w:numId w:val="15"/>
        </w:numPr>
      </w:pPr>
      <w:r>
        <w:t>y</w:t>
      </w:r>
      <w:r w:rsidRPr="00AB0818">
        <w:t>ou clearly identify the information as confidential and explain why we should treat it as conf</w:t>
      </w:r>
      <w:r>
        <w:t>idential</w:t>
      </w:r>
    </w:p>
    <w:p w14:paraId="418DC8AB" w14:textId="77777777" w:rsidR="002B4620" w:rsidRPr="00AB0818" w:rsidRDefault="002B4620" w:rsidP="002B4620">
      <w:pPr>
        <w:pStyle w:val="ListNumber"/>
      </w:pPr>
      <w:r>
        <w:t>t</w:t>
      </w:r>
      <w:r w:rsidRPr="00AB0818">
        <w:t>he inform</w:t>
      </w:r>
      <w:r>
        <w:t>ation is commercially sensitive</w:t>
      </w:r>
    </w:p>
    <w:p w14:paraId="775810A6" w14:textId="77777777" w:rsidR="002B4620" w:rsidRPr="00AB0818" w:rsidRDefault="002B4620" w:rsidP="002B4620">
      <w:pPr>
        <w:pStyle w:val="ListNumber"/>
      </w:pPr>
      <w:r>
        <w:t>r</w:t>
      </w:r>
      <w:r w:rsidRPr="00AB0818">
        <w:t>evealing the information would cause unreasona</w:t>
      </w:r>
      <w:r>
        <w:t>ble harm to you or someone else.</w:t>
      </w:r>
    </w:p>
    <w:p w14:paraId="0883A9EB" w14:textId="77777777" w:rsidR="007E6B1A" w:rsidRPr="0033741C" w:rsidRDefault="003D2348" w:rsidP="007E6B1A">
      <w:pPr>
        <w:rPr>
          <w:lang w:eastAsia="en-AU"/>
        </w:rPr>
      </w:pPr>
      <w:r>
        <w:rPr>
          <w:lang w:eastAsia="en-AU"/>
        </w:rPr>
        <w:t xml:space="preserve">The NIAA </w:t>
      </w:r>
      <w:r w:rsidR="002B4620">
        <w:rPr>
          <w:lang w:eastAsia="en-AU"/>
        </w:rPr>
        <w:t xml:space="preserve">will not be in breach of any confidentiality agreement if the information is disclosed to: </w:t>
      </w:r>
    </w:p>
    <w:p w14:paraId="3E1A485B" w14:textId="77777777" w:rsidR="007E6B1A" w:rsidRPr="0033741C" w:rsidRDefault="007E6B1A" w:rsidP="002D2607">
      <w:pPr>
        <w:pStyle w:val="ListBullet"/>
      </w:pPr>
      <w:r w:rsidRPr="0033741C">
        <w:t xml:space="preserve">Commonwealth employees and contractors </w:t>
      </w:r>
      <w:r>
        <w:t>to help us manage the program effectively</w:t>
      </w:r>
    </w:p>
    <w:p w14:paraId="11569671" w14:textId="77777777" w:rsidR="007E6B1A" w:rsidRDefault="007E6B1A" w:rsidP="002D2607">
      <w:pPr>
        <w:pStyle w:val="ListBullet"/>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41D61630" w14:textId="77777777" w:rsidR="007E6B1A" w:rsidRDefault="007E6B1A" w:rsidP="002D2607">
      <w:pPr>
        <w:pStyle w:val="ListBullet"/>
      </w:pPr>
      <w:r>
        <w:t>employees and contractors of other Commonwealth agencies for any purposes, including government administration, research or service delivery</w:t>
      </w:r>
    </w:p>
    <w:p w14:paraId="4D1DFE90" w14:textId="77777777" w:rsidR="007E6B1A" w:rsidRPr="0033741C" w:rsidRDefault="007E6B1A" w:rsidP="002D2607">
      <w:pPr>
        <w:pStyle w:val="ListBullet"/>
      </w:pPr>
      <w:r>
        <w:t>other Commonwealth, State, Territory or local government agencies in program reports and consultations</w:t>
      </w:r>
    </w:p>
    <w:p w14:paraId="12BBACF6" w14:textId="77777777" w:rsidR="007E6B1A" w:rsidRPr="0033741C" w:rsidRDefault="007E6B1A" w:rsidP="002D2607">
      <w:pPr>
        <w:pStyle w:val="ListBullet"/>
      </w:pPr>
      <w:r w:rsidRPr="0033741C">
        <w:t>the Auditor-General, Ombudsman or Privacy Commissioner</w:t>
      </w:r>
    </w:p>
    <w:p w14:paraId="44E71A41" w14:textId="77777777" w:rsidR="007E6B1A" w:rsidRPr="00BA6D16" w:rsidRDefault="007E6B1A" w:rsidP="002D2607">
      <w:pPr>
        <w:pStyle w:val="ListBullet"/>
      </w:pPr>
      <w:r w:rsidRPr="00BA6D16">
        <w:t>the responsible Minister or Parliamentary Secretary</w:t>
      </w:r>
      <w:r w:rsidR="002B4620">
        <w:t>, and</w:t>
      </w:r>
    </w:p>
    <w:p w14:paraId="70E714FD" w14:textId="77777777" w:rsidR="007E6B1A" w:rsidRPr="0033741C" w:rsidRDefault="007E6B1A" w:rsidP="002D2607">
      <w:pPr>
        <w:pStyle w:val="ListBullet"/>
      </w:pPr>
      <w:r w:rsidRPr="0033741C">
        <w:t xml:space="preserve">a House or a Committee of the </w:t>
      </w:r>
      <w:r>
        <w:t xml:space="preserve">Australian </w:t>
      </w:r>
      <w:r w:rsidRPr="0033741C">
        <w:t>Parliament</w:t>
      </w:r>
      <w:r>
        <w:t>.</w:t>
      </w:r>
    </w:p>
    <w:p w14:paraId="6C1D24E5" w14:textId="77777777" w:rsidR="007E6B1A" w:rsidRPr="00E86A67" w:rsidRDefault="007E6B1A" w:rsidP="007E6B1A">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specific requirements about special categories of information collected, created or held under the </w:t>
      </w:r>
      <w:r>
        <w:t xml:space="preserve">grant </w:t>
      </w:r>
      <w:r w:rsidRPr="00E86A67">
        <w:t xml:space="preserve">agreement. </w:t>
      </w:r>
    </w:p>
    <w:p w14:paraId="351D501D" w14:textId="77777777" w:rsidR="004B1409" w:rsidRDefault="002D2607" w:rsidP="00905C13">
      <w:pPr>
        <w:pStyle w:val="Heading3"/>
        <w:ind w:left="1134"/>
      </w:pPr>
      <w:bookmarkStart w:id="138" w:name="_Toc170734166"/>
      <w:r>
        <w:t>Freedom of information</w:t>
      </w:r>
      <w:bookmarkEnd w:id="138"/>
    </w:p>
    <w:p w14:paraId="40974A2B" w14:textId="77777777" w:rsidR="002D2607" w:rsidRPr="00B72EE8" w:rsidRDefault="002D2607" w:rsidP="002D2607">
      <w:r w:rsidRPr="00B72EE8">
        <w:t xml:space="preserve">All documents in the possession of the </w:t>
      </w:r>
      <w:r>
        <w:t xml:space="preserve">Australian </w:t>
      </w:r>
      <w:r w:rsidRPr="00781E9D">
        <w:t xml:space="preserve">Government, including those </w:t>
      </w:r>
      <w:r>
        <w:t>about</w:t>
      </w:r>
      <w:r w:rsidR="00182EAC">
        <w:t xml:space="preserve"> this grant opportunity</w:t>
      </w:r>
      <w:r w:rsidRPr="00B72EE8">
        <w:t xml:space="preserve">, are subject to the </w:t>
      </w:r>
      <w:hyperlink r:id="rId76" w:history="1">
        <w:r w:rsidRPr="00CD28FC">
          <w:rPr>
            <w:rStyle w:val="Hyperlink"/>
          </w:rPr>
          <w:t>Freedom of Information Act 1982</w:t>
        </w:r>
      </w:hyperlink>
      <w:r w:rsidRPr="00B72EE8">
        <w:t xml:space="preserve"> </w:t>
      </w:r>
      <w:r w:rsidRPr="0049044C">
        <w:t>(FOI Act)</w:t>
      </w:r>
      <w:r w:rsidRPr="00333BAC">
        <w:rPr>
          <w:i/>
        </w:rPr>
        <w:t>.</w:t>
      </w:r>
    </w:p>
    <w:p w14:paraId="0705211A" w14:textId="77777777" w:rsidR="002D2607" w:rsidRPr="00B72EE8" w:rsidRDefault="002D2607" w:rsidP="002D2607">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6AD38EE0" w14:textId="77777777" w:rsidR="002D2607" w:rsidRPr="00B72EE8" w:rsidRDefault="002D2607" w:rsidP="002D2607">
      <w:r w:rsidRPr="00B72EE8">
        <w:t>All F</w:t>
      </w:r>
      <w:r>
        <w:t xml:space="preserve">reedom of Information </w:t>
      </w:r>
      <w:r w:rsidRPr="00B72EE8">
        <w:t>requests must be referred to the Freedom of Information Coordinator in writing.</w:t>
      </w:r>
    </w:p>
    <w:p w14:paraId="511D1C90" w14:textId="77777777" w:rsidR="002D2607" w:rsidRPr="00B72EE8" w:rsidRDefault="002D2607" w:rsidP="002D2607">
      <w:pPr>
        <w:tabs>
          <w:tab w:val="left" w:pos="1418"/>
        </w:tabs>
        <w:ind w:left="1418" w:hanging="1418"/>
        <w:contextualSpacing/>
      </w:pPr>
      <w:r w:rsidRPr="00B72EE8">
        <w:t>By mail:</w:t>
      </w:r>
      <w:r w:rsidRPr="00B72EE8">
        <w:tab/>
        <w:t>Freedom of Information Coordinator</w:t>
      </w:r>
    </w:p>
    <w:p w14:paraId="64DD9D72" w14:textId="77777777" w:rsidR="00646F92" w:rsidRDefault="003D2348" w:rsidP="005F3D72">
      <w:pPr>
        <w:tabs>
          <w:tab w:val="left" w:pos="1418"/>
        </w:tabs>
        <w:ind w:left="2836" w:hanging="1418"/>
        <w:contextualSpacing/>
      </w:pPr>
      <w:r>
        <w:t>National Indigenous Australians Agency</w:t>
      </w:r>
    </w:p>
    <w:p w14:paraId="24EE1627" w14:textId="77777777" w:rsidR="00646F92" w:rsidRDefault="003D2348" w:rsidP="005F3D72">
      <w:pPr>
        <w:tabs>
          <w:tab w:val="left" w:pos="1418"/>
        </w:tabs>
        <w:ind w:left="2836" w:hanging="1418"/>
        <w:contextualSpacing/>
      </w:pPr>
      <w:r>
        <w:t>PO Box 2191</w:t>
      </w:r>
    </w:p>
    <w:p w14:paraId="5CD493AF" w14:textId="77777777" w:rsidR="003D2348" w:rsidRPr="00516E21" w:rsidRDefault="003D2348" w:rsidP="003D2348">
      <w:pPr>
        <w:tabs>
          <w:tab w:val="left" w:pos="1418"/>
        </w:tabs>
        <w:ind w:left="2836" w:hanging="1418"/>
      </w:pPr>
      <w:r>
        <w:t>CANBERRA ACT 2601</w:t>
      </w:r>
    </w:p>
    <w:p w14:paraId="62327F48" w14:textId="7E348524" w:rsidR="002D2607" w:rsidRPr="00122DEC" w:rsidRDefault="002D2607" w:rsidP="002D2607">
      <w:r w:rsidRPr="00122DEC">
        <w:t>By email:</w:t>
      </w:r>
      <w:r w:rsidRPr="00122DEC">
        <w:tab/>
      </w:r>
      <w:hyperlink r:id="rId77" w:history="1">
        <w:r w:rsidR="00C236B5" w:rsidRPr="002522EB">
          <w:rPr>
            <w:rStyle w:val="Hyperlink"/>
          </w:rPr>
          <w:t>foi@niaa.gov.au</w:t>
        </w:r>
      </w:hyperlink>
    </w:p>
    <w:p w14:paraId="4649DDC6" w14:textId="1D90251C" w:rsidR="007E6B1A" w:rsidRDefault="002D2607" w:rsidP="00A4685F">
      <w:pPr>
        <w:pStyle w:val="Heading2"/>
        <w:numPr>
          <w:ilvl w:val="0"/>
          <w:numId w:val="8"/>
        </w:numPr>
      </w:pPr>
      <w:bookmarkStart w:id="139" w:name="_Toc170734167"/>
      <w:r>
        <w:t>Consultation</w:t>
      </w:r>
      <w:bookmarkEnd w:id="139"/>
    </w:p>
    <w:p w14:paraId="1ACDCEFF" w14:textId="77777777" w:rsidR="004018DB" w:rsidRDefault="000327EC" w:rsidP="00760EC3">
      <w:pPr>
        <w:pStyle w:val="ListBullet"/>
        <w:numPr>
          <w:ilvl w:val="0"/>
          <w:numId w:val="0"/>
        </w:numPr>
        <w:rPr>
          <w:iCs w:val="0"/>
        </w:rPr>
      </w:pPr>
      <w:r w:rsidRPr="000327EC">
        <w:rPr>
          <w:iCs w:val="0"/>
        </w:rPr>
        <w:t xml:space="preserve">These guidelines draw on feedback received from previous public consultation processes and the </w:t>
      </w:r>
      <w:r>
        <w:rPr>
          <w:iCs w:val="0"/>
        </w:rPr>
        <w:t>NIAA</w:t>
      </w:r>
      <w:r w:rsidRPr="000327EC">
        <w:rPr>
          <w:iCs w:val="0"/>
        </w:rPr>
        <w:t xml:space="preserve">’s daily role in working with providers and </w:t>
      </w:r>
      <w:r w:rsidR="00646F92">
        <w:rPr>
          <w:iCs w:val="0"/>
        </w:rPr>
        <w:t>First Nations people</w:t>
      </w:r>
      <w:r w:rsidRPr="000327EC">
        <w:rPr>
          <w:iCs w:val="0"/>
        </w:rPr>
        <w:t xml:space="preserve"> and communities across Australia. The </w:t>
      </w:r>
      <w:r>
        <w:rPr>
          <w:iCs w:val="0"/>
        </w:rPr>
        <w:t>NIAA</w:t>
      </w:r>
      <w:r w:rsidRPr="000327EC">
        <w:rPr>
          <w:iCs w:val="0"/>
        </w:rPr>
        <w:t xml:space="preserve"> will continue to review the guidelines based on </w:t>
      </w:r>
      <w:r w:rsidR="00646F92">
        <w:rPr>
          <w:iCs w:val="0"/>
        </w:rPr>
        <w:t>this ex</w:t>
      </w:r>
      <w:r w:rsidRPr="000327EC">
        <w:rPr>
          <w:iCs w:val="0"/>
        </w:rPr>
        <w:t>perience</w:t>
      </w:r>
      <w:r w:rsidR="004018DB">
        <w:rPr>
          <w:iCs w:val="0"/>
        </w:rPr>
        <w:t xml:space="preserve"> </w:t>
      </w:r>
      <w:r w:rsidR="00646F92">
        <w:rPr>
          <w:iCs w:val="0"/>
        </w:rPr>
        <w:t xml:space="preserve">and </w:t>
      </w:r>
      <w:r w:rsidRPr="000327EC">
        <w:rPr>
          <w:iCs w:val="0"/>
        </w:rPr>
        <w:t xml:space="preserve">the experiences of our grantees. </w:t>
      </w:r>
    </w:p>
    <w:p w14:paraId="648ACCD9" w14:textId="77777777" w:rsidR="002D2607" w:rsidRDefault="00646F92" w:rsidP="00760EC3">
      <w:pPr>
        <w:pStyle w:val="ListBullet"/>
        <w:numPr>
          <w:ilvl w:val="0"/>
          <w:numId w:val="0"/>
        </w:numPr>
      </w:pPr>
      <w:r>
        <w:rPr>
          <w:iCs w:val="0"/>
        </w:rPr>
        <w:t xml:space="preserve">The NIAA </w:t>
      </w:r>
      <w:r w:rsidR="000327EC" w:rsidRPr="000327EC">
        <w:rPr>
          <w:iCs w:val="0"/>
        </w:rPr>
        <w:t xml:space="preserve">will also seek advice from </w:t>
      </w:r>
      <w:r w:rsidR="00A30737">
        <w:rPr>
          <w:iCs w:val="0"/>
        </w:rPr>
        <w:t>First Nations people</w:t>
      </w:r>
      <w:r w:rsidR="000327EC" w:rsidRPr="000327EC">
        <w:rPr>
          <w:iCs w:val="0"/>
        </w:rPr>
        <w:t xml:space="preserve">, communities, and other stakeholders </w:t>
      </w:r>
      <w:r w:rsidR="00A30737">
        <w:rPr>
          <w:iCs w:val="0"/>
        </w:rPr>
        <w:t>(</w:t>
      </w:r>
      <w:r w:rsidR="000327EC" w:rsidRPr="000327EC">
        <w:rPr>
          <w:iCs w:val="0"/>
        </w:rPr>
        <w:t>such as representative groups</w:t>
      </w:r>
      <w:r w:rsidR="00A30737">
        <w:rPr>
          <w:iCs w:val="0"/>
        </w:rPr>
        <w:t>)</w:t>
      </w:r>
      <w:r>
        <w:rPr>
          <w:iCs w:val="0"/>
        </w:rPr>
        <w:t xml:space="preserve"> as required</w:t>
      </w:r>
      <w:r w:rsidR="000327EC" w:rsidRPr="000327EC">
        <w:rPr>
          <w:iCs w:val="0"/>
        </w:rPr>
        <w:t>.</w:t>
      </w:r>
      <w:r w:rsidR="000327EC">
        <w:t xml:space="preserve"> </w:t>
      </w:r>
      <w:r w:rsidR="002D2607">
        <w:br w:type="page"/>
      </w:r>
    </w:p>
    <w:p w14:paraId="3BE19439" w14:textId="77777777" w:rsidR="00D96D08" w:rsidRDefault="002D2607" w:rsidP="00A4685F">
      <w:pPr>
        <w:pStyle w:val="Heading2"/>
      </w:pPr>
      <w:bookmarkStart w:id="140" w:name="_Toc170734168"/>
      <w:bookmarkEnd w:id="117"/>
      <w:r w:rsidRPr="002D2607">
        <w:t>Glossary</w:t>
      </w:r>
      <w:bookmarkEnd w:id="140"/>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E305E0" w:rsidRPr="00E305E0" w14:paraId="5B8389F2" w14:textId="77777777" w:rsidTr="00E305E0">
        <w:trPr>
          <w:cantSplit/>
          <w:tblHeader/>
        </w:trPr>
        <w:tc>
          <w:tcPr>
            <w:tcW w:w="1843" w:type="pct"/>
            <w:shd w:val="clear" w:color="auto" w:fill="B8CCE4" w:themeFill="accent1" w:themeFillTint="66"/>
          </w:tcPr>
          <w:p w14:paraId="178DE6A4" w14:textId="77777777" w:rsidR="002A7660" w:rsidRPr="00E305E0" w:rsidRDefault="002A7660" w:rsidP="004B1409">
            <w:pPr>
              <w:pStyle w:val="TableHeadingNumbered"/>
              <w:rPr>
                <w:b/>
                <w:color w:val="auto"/>
              </w:rPr>
            </w:pPr>
            <w:r w:rsidRPr="00E305E0">
              <w:rPr>
                <w:b/>
                <w:color w:val="auto"/>
              </w:rPr>
              <w:t>Term</w:t>
            </w:r>
          </w:p>
        </w:tc>
        <w:tc>
          <w:tcPr>
            <w:tcW w:w="3157" w:type="pct"/>
            <w:shd w:val="clear" w:color="auto" w:fill="B8CCE4" w:themeFill="accent1" w:themeFillTint="66"/>
          </w:tcPr>
          <w:p w14:paraId="39D5D61B" w14:textId="77777777" w:rsidR="002A7660" w:rsidRPr="00E305E0" w:rsidRDefault="002A7660" w:rsidP="004B1409">
            <w:pPr>
              <w:pStyle w:val="TableHeadingNumbered"/>
              <w:rPr>
                <w:b/>
                <w:color w:val="auto"/>
              </w:rPr>
            </w:pPr>
            <w:r w:rsidRPr="00E305E0">
              <w:rPr>
                <w:b/>
                <w:color w:val="auto"/>
              </w:rPr>
              <w:t>Definition</w:t>
            </w:r>
          </w:p>
        </w:tc>
      </w:tr>
      <w:tr w:rsidR="002547F6" w:rsidRPr="00274AE2" w14:paraId="362BA84B" w14:textId="77777777" w:rsidTr="004960E4">
        <w:trPr>
          <w:cantSplit/>
        </w:trPr>
        <w:tc>
          <w:tcPr>
            <w:tcW w:w="1843" w:type="pct"/>
          </w:tcPr>
          <w:p w14:paraId="604FF555" w14:textId="77777777" w:rsidR="002547F6" w:rsidRPr="00274AE2" w:rsidRDefault="0079049E" w:rsidP="00455160">
            <w:r>
              <w:t>A</w:t>
            </w:r>
            <w:r w:rsidR="002547F6" w:rsidRPr="00274AE2">
              <w:t>ccountable authority</w:t>
            </w:r>
          </w:p>
        </w:tc>
        <w:tc>
          <w:tcPr>
            <w:tcW w:w="3157" w:type="pct"/>
          </w:tcPr>
          <w:p w14:paraId="7683B7B6" w14:textId="77777777" w:rsidR="002547F6" w:rsidRPr="00274AE2" w:rsidRDefault="0013259D"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78" w:history="1">
              <w:r w:rsidR="00452C26" w:rsidRPr="00676247">
                <w:rPr>
                  <w:rStyle w:val="Hyperlink"/>
                  <w:i/>
                </w:rPr>
                <w:t>Public Governance, Performance and Accountability Act 2013</w:t>
              </w:r>
            </w:hyperlink>
          </w:p>
        </w:tc>
      </w:tr>
      <w:tr w:rsidR="002D2607" w:rsidRPr="009E3949" w14:paraId="635BD85E" w14:textId="77777777" w:rsidTr="004960E4">
        <w:trPr>
          <w:cantSplit/>
        </w:trPr>
        <w:tc>
          <w:tcPr>
            <w:tcW w:w="1843" w:type="pct"/>
          </w:tcPr>
          <w:p w14:paraId="43E423BB" w14:textId="77777777" w:rsidR="002D2607" w:rsidRDefault="0079049E" w:rsidP="002D2607">
            <w:r>
              <w:t>A</w:t>
            </w:r>
            <w:r w:rsidR="002D2607" w:rsidRPr="001B21A4">
              <w:t>ssessment criteria</w:t>
            </w:r>
          </w:p>
        </w:tc>
        <w:tc>
          <w:tcPr>
            <w:tcW w:w="3157" w:type="pct"/>
          </w:tcPr>
          <w:p w14:paraId="223B98A6" w14:textId="77777777" w:rsidR="002D2607" w:rsidRPr="006C4678" w:rsidRDefault="0013259D" w:rsidP="00613D08">
            <w:r>
              <w:rPr>
                <w:rFonts w:cs="Arial"/>
                <w:lang w:eastAsia="en-AU"/>
              </w:rPr>
              <w:t>A</w:t>
            </w:r>
            <w:r w:rsidR="00932BB0"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176960" w:rsidRPr="009E3949" w14:paraId="7E191891" w14:textId="77777777" w:rsidTr="004960E4">
        <w:trPr>
          <w:cantSplit/>
        </w:trPr>
        <w:tc>
          <w:tcPr>
            <w:tcW w:w="1843" w:type="pct"/>
          </w:tcPr>
          <w:p w14:paraId="5588739A" w14:textId="77777777" w:rsidR="00176960" w:rsidRDefault="00176960" w:rsidP="00176960">
            <w:r>
              <w:t>CDP</w:t>
            </w:r>
          </w:p>
        </w:tc>
        <w:tc>
          <w:tcPr>
            <w:tcW w:w="3157" w:type="pct"/>
          </w:tcPr>
          <w:p w14:paraId="6EC7B289" w14:textId="77777777" w:rsidR="00176960" w:rsidRDefault="00176960" w:rsidP="00176960">
            <w:pPr>
              <w:rPr>
                <w:rFonts w:cs="Arial"/>
                <w:lang w:eastAsia="en-AU"/>
              </w:rPr>
            </w:pPr>
            <w:r>
              <w:t xml:space="preserve">The NIAA’s </w:t>
            </w:r>
            <w:r w:rsidRPr="002A5989">
              <w:t>Community Development Program</w:t>
            </w:r>
            <w:r>
              <w:t>.</w:t>
            </w:r>
          </w:p>
        </w:tc>
      </w:tr>
      <w:tr w:rsidR="008326AD" w:rsidRPr="009E3949" w14:paraId="79E56898" w14:textId="77777777" w:rsidTr="004960E4">
        <w:trPr>
          <w:cantSplit/>
        </w:trPr>
        <w:tc>
          <w:tcPr>
            <w:tcW w:w="1843" w:type="pct"/>
          </w:tcPr>
          <w:p w14:paraId="23D07AF9" w14:textId="77777777" w:rsidR="008326AD" w:rsidRDefault="008326AD" w:rsidP="008326AD">
            <w:r>
              <w:rPr>
                <w:rFonts w:cs="Arial"/>
              </w:rPr>
              <w:t>CDP participant</w:t>
            </w:r>
          </w:p>
        </w:tc>
        <w:tc>
          <w:tcPr>
            <w:tcW w:w="3157" w:type="pct"/>
          </w:tcPr>
          <w:p w14:paraId="100A6585" w14:textId="77777777" w:rsidR="008326AD" w:rsidRDefault="008326AD" w:rsidP="008326AD">
            <w:r w:rsidRPr="0040611C">
              <w:rPr>
                <w:rFonts w:cs="Arial"/>
                <w:lang w:eastAsia="en-AU"/>
              </w:rPr>
              <w:t>Is eligible to participate in CDP as a job seeker or volunteer and must have a current address in a CDP region. In general, people living in remote Australia who are looking for a job and receiving income support payments are eligible for CDP services. Those who are not on income support can volunteer to participate in CDP.</w:t>
            </w:r>
          </w:p>
        </w:tc>
      </w:tr>
      <w:tr w:rsidR="00176960" w:rsidRPr="009E3949" w14:paraId="61697C84" w14:textId="77777777" w:rsidTr="004960E4">
        <w:trPr>
          <w:cantSplit/>
        </w:trPr>
        <w:tc>
          <w:tcPr>
            <w:tcW w:w="1843" w:type="pct"/>
          </w:tcPr>
          <w:p w14:paraId="70EA81C8" w14:textId="77777777" w:rsidR="00176960" w:rsidRDefault="00176960" w:rsidP="00176960">
            <w:r>
              <w:t xml:space="preserve">Commonwealth </w:t>
            </w:r>
            <w:r w:rsidRPr="001B21A4">
              <w:t>entity</w:t>
            </w:r>
          </w:p>
        </w:tc>
        <w:tc>
          <w:tcPr>
            <w:tcW w:w="3157" w:type="pct"/>
          </w:tcPr>
          <w:p w14:paraId="6F81CB84" w14:textId="77777777" w:rsidR="00176960" w:rsidRDefault="00176960" w:rsidP="00176960">
            <w:r>
              <w:rPr>
                <w:rFonts w:cs="Arial"/>
                <w:lang w:eastAsia="en-AU"/>
              </w:rPr>
              <w:t>A</w:t>
            </w:r>
            <w:r w:rsidRPr="00932BB0">
              <w:rPr>
                <w:rFonts w:cs="Arial"/>
                <w:lang w:eastAsia="en-AU"/>
              </w:rPr>
              <w:t xml:space="preserve"> Department of State, or a Parliamentary Department, or a listed entity or a body corporate established by a law of the Commonwealth. See subsections 10(1) and (2) of the PGPA Act</w:t>
            </w:r>
          </w:p>
        </w:tc>
      </w:tr>
      <w:tr w:rsidR="00176960" w:rsidRPr="009E3949" w14:paraId="0EBE0C7C" w14:textId="77777777" w:rsidTr="004960E4">
        <w:trPr>
          <w:cantSplit/>
        </w:trPr>
        <w:tc>
          <w:tcPr>
            <w:tcW w:w="1843" w:type="pct"/>
          </w:tcPr>
          <w:p w14:paraId="26DAADA5" w14:textId="77777777" w:rsidR="00176960" w:rsidRPr="00C236B5" w:rsidRDefault="000A7AA5" w:rsidP="00176960">
            <w:hyperlink r:id="rId79" w:history="1">
              <w:r w:rsidR="00176960" w:rsidRPr="00C236B5">
                <w:rPr>
                  <w:rStyle w:val="Hyperlink"/>
                </w:rPr>
                <w:t>Commonwealth Grants Rules and Guidelines (CGRGs)</w:t>
              </w:r>
            </w:hyperlink>
            <w:r w:rsidR="00176960" w:rsidRPr="00C236B5">
              <w:rPr>
                <w:rStyle w:val="Hyperlink"/>
              </w:rPr>
              <w:t xml:space="preserve"> </w:t>
            </w:r>
          </w:p>
        </w:tc>
        <w:tc>
          <w:tcPr>
            <w:tcW w:w="3157" w:type="pct"/>
          </w:tcPr>
          <w:p w14:paraId="2E4456AE" w14:textId="77777777" w:rsidR="00176960" w:rsidRDefault="00176960" w:rsidP="00176960">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176960" w:rsidRPr="009E3949" w14:paraId="079D6821" w14:textId="77777777" w:rsidTr="004960E4">
        <w:trPr>
          <w:cantSplit/>
        </w:trPr>
        <w:tc>
          <w:tcPr>
            <w:tcW w:w="1843" w:type="pct"/>
          </w:tcPr>
          <w:p w14:paraId="2BF19829" w14:textId="77777777" w:rsidR="00176960" w:rsidRDefault="00176960" w:rsidP="00176960">
            <w:r>
              <w:t>C</w:t>
            </w:r>
            <w:r w:rsidRPr="00463AB3">
              <w:t>ompletion date</w:t>
            </w:r>
          </w:p>
        </w:tc>
        <w:tc>
          <w:tcPr>
            <w:tcW w:w="3157" w:type="pct"/>
          </w:tcPr>
          <w:p w14:paraId="6E672FB0" w14:textId="77777777" w:rsidR="00176960" w:rsidRPr="006C4678" w:rsidRDefault="00176960" w:rsidP="00176960">
            <w:r>
              <w:t>T</w:t>
            </w:r>
            <w:r w:rsidRPr="00463AB3">
              <w:t xml:space="preserve">he expected date that the grant activity must be completed and the grant spent by </w:t>
            </w:r>
          </w:p>
        </w:tc>
      </w:tr>
      <w:tr w:rsidR="00176960" w:rsidRPr="00274AE2" w14:paraId="4C626FAA" w14:textId="77777777" w:rsidTr="004960E4">
        <w:trPr>
          <w:cantSplit/>
        </w:trPr>
        <w:tc>
          <w:tcPr>
            <w:tcW w:w="1843" w:type="pct"/>
          </w:tcPr>
          <w:p w14:paraId="3CB070C3" w14:textId="77777777" w:rsidR="00176960" w:rsidRDefault="00176960" w:rsidP="00176960">
            <w:r w:rsidRPr="004F7342">
              <w:rPr>
                <w:rFonts w:cs="Arial"/>
                <w:lang w:eastAsia="en-AU"/>
              </w:rPr>
              <w:t>Control</w:t>
            </w:r>
          </w:p>
        </w:tc>
        <w:tc>
          <w:tcPr>
            <w:tcW w:w="3157" w:type="pct"/>
          </w:tcPr>
          <w:p w14:paraId="57E2BA36" w14:textId="77777777" w:rsidR="00176960" w:rsidRPr="00760EC3" w:rsidRDefault="00176960" w:rsidP="00176960">
            <w:pPr>
              <w:suppressAutoHyphens/>
              <w:spacing w:before="60"/>
            </w:pPr>
            <w:r w:rsidRPr="00760EC3">
              <w:t>Control is related to the people in your organisation that have decision-making authority over strategic direction or governance. For most entities, this will mean your Board or Management Committee. Depending on the legal entity type, control may mean:</w:t>
            </w:r>
          </w:p>
          <w:p w14:paraId="300E8D7F" w14:textId="77777777" w:rsidR="00176960" w:rsidRPr="00760EC3" w:rsidRDefault="00176960" w:rsidP="00F0019A">
            <w:pPr>
              <w:pStyle w:val="NumberedList2"/>
              <w:numPr>
                <w:ilvl w:val="1"/>
                <w:numId w:val="17"/>
              </w:numPr>
              <w:spacing w:before="60"/>
              <w:ind w:left="484"/>
              <w:rPr>
                <w:rFonts w:ascii="Arial" w:hAnsi="Arial" w:cs="Arial"/>
                <w:sz w:val="20"/>
                <w:szCs w:val="20"/>
              </w:rPr>
            </w:pPr>
            <w:r w:rsidRPr="00760EC3">
              <w:rPr>
                <w:rFonts w:ascii="Arial" w:hAnsi="Arial" w:cs="Arial"/>
                <w:sz w:val="20"/>
                <w:szCs w:val="20"/>
              </w:rPr>
              <w:t>Directors and Secretary—Company Limited by Shares, Company Limited by Guarantee, Cooperatives</w:t>
            </w:r>
          </w:p>
          <w:p w14:paraId="39571FD9" w14:textId="77777777" w:rsidR="00176960" w:rsidRPr="00760EC3" w:rsidRDefault="00176960" w:rsidP="00F0019A">
            <w:pPr>
              <w:pStyle w:val="NumberedList2"/>
              <w:numPr>
                <w:ilvl w:val="1"/>
                <w:numId w:val="17"/>
              </w:numPr>
              <w:spacing w:before="60"/>
              <w:ind w:left="484"/>
              <w:rPr>
                <w:rFonts w:ascii="Arial" w:hAnsi="Arial" w:cs="Arial"/>
                <w:sz w:val="20"/>
                <w:szCs w:val="20"/>
              </w:rPr>
            </w:pPr>
            <w:r w:rsidRPr="00760EC3">
              <w:rPr>
                <w:rFonts w:ascii="Arial" w:hAnsi="Arial" w:cs="Arial"/>
                <w:sz w:val="20"/>
                <w:szCs w:val="20"/>
              </w:rPr>
              <w:t>Management Committee and Public Officer— ORIC-Registered Indigenous Corporations, Incorporated Associations</w:t>
            </w:r>
          </w:p>
          <w:p w14:paraId="5E6D9216" w14:textId="77777777" w:rsidR="00176960" w:rsidRPr="00760EC3" w:rsidRDefault="00176960" w:rsidP="00F0019A">
            <w:pPr>
              <w:pStyle w:val="NumberedList2"/>
              <w:numPr>
                <w:ilvl w:val="1"/>
                <w:numId w:val="17"/>
              </w:numPr>
              <w:spacing w:before="60"/>
              <w:ind w:left="484"/>
              <w:rPr>
                <w:rFonts w:ascii="Arial" w:hAnsi="Arial" w:cs="Arial"/>
                <w:sz w:val="20"/>
                <w:szCs w:val="20"/>
              </w:rPr>
            </w:pPr>
            <w:r w:rsidRPr="00760EC3">
              <w:rPr>
                <w:rFonts w:ascii="Arial" w:hAnsi="Arial" w:cs="Arial"/>
                <w:sz w:val="20"/>
                <w:szCs w:val="20"/>
              </w:rPr>
              <w:t>Proprietor/partner—Sole traders, actual person partnerships.</w:t>
            </w:r>
          </w:p>
          <w:p w14:paraId="2C8A300F" w14:textId="77777777" w:rsidR="00176960" w:rsidRDefault="00176960" w:rsidP="00176960">
            <w:pPr>
              <w:rPr>
                <w:rFonts w:cs="Arial"/>
                <w:lang w:eastAsia="en-AU"/>
              </w:rPr>
            </w:pPr>
            <w:r w:rsidRPr="0079049E">
              <w:rPr>
                <w:rFonts w:cs="Arial"/>
                <w:lang w:eastAsia="en-AU"/>
              </w:rPr>
              <w:t>Note: for trusts, the trustee will typically be one of the legal entities above.</w:t>
            </w:r>
          </w:p>
        </w:tc>
      </w:tr>
      <w:tr w:rsidR="00176960" w:rsidRPr="00274AE2" w14:paraId="076694C7" w14:textId="77777777" w:rsidTr="004960E4">
        <w:trPr>
          <w:cantSplit/>
        </w:trPr>
        <w:tc>
          <w:tcPr>
            <w:tcW w:w="1843" w:type="pct"/>
          </w:tcPr>
          <w:p w14:paraId="776299C8" w14:textId="77777777" w:rsidR="00176960" w:rsidRDefault="00176960" w:rsidP="00176960">
            <w:r w:rsidRPr="004F7342">
              <w:rPr>
                <w:rFonts w:cs="Arial"/>
                <w:i/>
              </w:rPr>
              <w:t>Corporations Act 2001</w:t>
            </w:r>
          </w:p>
        </w:tc>
        <w:tc>
          <w:tcPr>
            <w:tcW w:w="3157" w:type="pct"/>
          </w:tcPr>
          <w:p w14:paraId="1CB2835F" w14:textId="77777777" w:rsidR="00176960" w:rsidRDefault="00176960" w:rsidP="00176960">
            <w:pPr>
              <w:rPr>
                <w:rFonts w:cs="Arial"/>
                <w:lang w:eastAsia="en-AU"/>
              </w:rPr>
            </w:pPr>
            <w:r w:rsidRPr="004F7342">
              <w:rPr>
                <w:rFonts w:cs="Arial"/>
                <w:lang w:eastAsia="en-AU"/>
              </w:rPr>
              <w:t xml:space="preserve">An act of the Commonwealth that sets out the laws dealing with business entities in Australia at federal and interstate level. It focuses primarily on companies, although it also covers some laws relating to other entities such as partnerships and managed grant funding schemes. Incorporation can be applied for through the </w:t>
            </w:r>
            <w:hyperlink r:id="rId80">
              <w:r w:rsidRPr="3E969A75">
                <w:rPr>
                  <w:rFonts w:cs="Arial"/>
                  <w:lang w:eastAsia="en-AU"/>
                </w:rPr>
                <w:t>Australian Securities and Investment Commission website</w:t>
              </w:r>
            </w:hyperlink>
            <w:r w:rsidRPr="3E969A75">
              <w:rPr>
                <w:rFonts w:cs="Arial"/>
                <w:lang w:eastAsia="en-AU"/>
              </w:rPr>
              <w:t>.</w:t>
            </w:r>
          </w:p>
        </w:tc>
      </w:tr>
      <w:tr w:rsidR="00176960" w:rsidRPr="00274AE2" w14:paraId="12042BDB" w14:textId="77777777" w:rsidTr="004960E4">
        <w:trPr>
          <w:cantSplit/>
        </w:trPr>
        <w:tc>
          <w:tcPr>
            <w:tcW w:w="1843" w:type="pct"/>
          </w:tcPr>
          <w:p w14:paraId="056651CA" w14:textId="77777777" w:rsidR="00176960" w:rsidRDefault="00176960" w:rsidP="00176960">
            <w:r w:rsidRPr="004F7342">
              <w:rPr>
                <w:rFonts w:cs="Arial"/>
                <w:i/>
              </w:rPr>
              <w:t>Corporations (Aboriginal and Torres Strait Islander) Act 2006</w:t>
            </w:r>
          </w:p>
        </w:tc>
        <w:tc>
          <w:tcPr>
            <w:tcW w:w="3157" w:type="pct"/>
          </w:tcPr>
          <w:p w14:paraId="415C6E67" w14:textId="77777777" w:rsidR="00176960" w:rsidRDefault="00176960" w:rsidP="00176960">
            <w:pPr>
              <w:rPr>
                <w:rFonts w:cs="Arial"/>
                <w:lang w:eastAsia="en-AU"/>
              </w:rPr>
            </w:pPr>
            <w:r w:rsidRPr="004F7342">
              <w:rPr>
                <w:rFonts w:cs="Arial"/>
              </w:rPr>
              <w:t xml:space="preserve">The law that establishes the role of the Registrar of Aboriginal and Torres Strait Islander Corporations, now called the Registrar of Indigenous Corporations, and allows </w:t>
            </w:r>
            <w:r>
              <w:rPr>
                <w:rFonts w:cs="Arial"/>
              </w:rPr>
              <w:t>Indigenous Australian</w:t>
            </w:r>
            <w:r w:rsidRPr="004F7342">
              <w:rPr>
                <w:rFonts w:cs="Arial"/>
              </w:rPr>
              <w:t xml:space="preserve"> groups to form corporations. The </w:t>
            </w:r>
            <w:hyperlink r:id="rId81" w:history="1">
              <w:r w:rsidRPr="00935495">
                <w:rPr>
                  <w:rStyle w:val="Hyperlink"/>
                  <w:rFonts w:cs="Arial"/>
                  <w:i/>
                </w:rPr>
                <w:t>Corporations (Aboriginal and Torres Strait Islander) Act 2006</w:t>
              </w:r>
            </w:hyperlink>
            <w:r w:rsidRPr="004F7342">
              <w:rPr>
                <w:rFonts w:cs="Arial"/>
              </w:rPr>
              <w:t xml:space="preserve"> (CATSI Act) replaced the </w:t>
            </w:r>
            <w:r w:rsidRPr="004F7342">
              <w:rPr>
                <w:rFonts w:cs="Arial"/>
                <w:i/>
                <w:iCs/>
              </w:rPr>
              <w:t>Aboriginal Councils and Associations Act 1976</w:t>
            </w:r>
            <w:r w:rsidRPr="004F7342">
              <w:rPr>
                <w:rFonts w:cs="Arial"/>
                <w:i/>
              </w:rPr>
              <w:t xml:space="preserve"> </w:t>
            </w:r>
            <w:r w:rsidRPr="004F7342">
              <w:rPr>
                <w:rFonts w:cs="Arial"/>
              </w:rPr>
              <w:t xml:space="preserve">(ACA Act). Under the CATSI Act, laws governing Indigenous corporations have been modernised while retaining special measures to meet the specific needs of </w:t>
            </w:r>
            <w:r>
              <w:rPr>
                <w:rFonts w:cs="Arial"/>
              </w:rPr>
              <w:t>Indigenous Australians</w:t>
            </w:r>
            <w:r w:rsidRPr="004F7342">
              <w:rPr>
                <w:rFonts w:cs="Arial"/>
              </w:rPr>
              <w:t xml:space="preserve">. Incorporation can be applied for through the </w:t>
            </w:r>
            <w:hyperlink r:id="rId82">
              <w:r w:rsidRPr="3E969A75">
                <w:rPr>
                  <w:rStyle w:val="Hyperlink"/>
                  <w:rFonts w:cs="Arial"/>
                </w:rPr>
                <w:t>Office of the Registrar of Indigenous Corporations (ORIC) website</w:t>
              </w:r>
            </w:hyperlink>
            <w:r w:rsidRPr="3E969A75">
              <w:rPr>
                <w:rFonts w:cs="Arial"/>
              </w:rPr>
              <w:t>.</w:t>
            </w:r>
          </w:p>
        </w:tc>
      </w:tr>
      <w:tr w:rsidR="00176960" w:rsidRPr="00274AE2" w14:paraId="66DEE35F" w14:textId="77777777" w:rsidTr="004960E4">
        <w:trPr>
          <w:cantSplit/>
        </w:trPr>
        <w:tc>
          <w:tcPr>
            <w:tcW w:w="1843" w:type="pct"/>
          </w:tcPr>
          <w:p w14:paraId="45131A25" w14:textId="77777777" w:rsidR="00176960" w:rsidRPr="00274AE2" w:rsidRDefault="00176960" w:rsidP="00176960">
            <w:r>
              <w:t>C</w:t>
            </w:r>
            <w:r w:rsidRPr="00274AE2">
              <w:t>o-sponsoring entity</w:t>
            </w:r>
          </w:p>
        </w:tc>
        <w:tc>
          <w:tcPr>
            <w:tcW w:w="3157" w:type="pct"/>
          </w:tcPr>
          <w:p w14:paraId="08DED004" w14:textId="77777777" w:rsidR="00176960" w:rsidRPr="00274AE2" w:rsidRDefault="00176960" w:rsidP="00176960">
            <w:pPr>
              <w:rPr>
                <w:rFonts w:cs="Arial"/>
                <w:lang w:eastAsia="en-AU"/>
              </w:rPr>
            </w:pPr>
            <w:r>
              <w:rPr>
                <w:rFonts w:cs="Arial"/>
                <w:lang w:eastAsia="en-AU"/>
              </w:rPr>
              <w:t>W</w:t>
            </w:r>
            <w:r w:rsidRPr="00274AE2">
              <w:rPr>
                <w:rFonts w:cs="Arial"/>
                <w:lang w:eastAsia="en-AU"/>
              </w:rPr>
              <w:t>hen two or more entities are responsible for the policy and the appropriation for outcomes associated with it</w:t>
            </w:r>
          </w:p>
        </w:tc>
      </w:tr>
      <w:tr w:rsidR="00176960" w:rsidRPr="009E3949" w14:paraId="50EE6DB0" w14:textId="77777777" w:rsidTr="004960E4">
        <w:trPr>
          <w:cantSplit/>
        </w:trPr>
        <w:tc>
          <w:tcPr>
            <w:tcW w:w="1843" w:type="pct"/>
          </w:tcPr>
          <w:p w14:paraId="0FC59D04" w14:textId="77777777" w:rsidR="00176960" w:rsidRDefault="00176960" w:rsidP="00176960">
            <w:r>
              <w:t>Date of effect</w:t>
            </w:r>
          </w:p>
        </w:tc>
        <w:tc>
          <w:tcPr>
            <w:tcW w:w="3157" w:type="pct"/>
          </w:tcPr>
          <w:p w14:paraId="2B254C57" w14:textId="77777777" w:rsidR="00176960" w:rsidRPr="006C4678" w:rsidRDefault="00176960" w:rsidP="00176960">
            <w:pPr>
              <w:rPr>
                <w:i/>
              </w:rPr>
            </w:pPr>
            <w:r>
              <w:rPr>
                <w:rFonts w:cs="Arial"/>
                <w:lang w:eastAsia="en-AU"/>
              </w:rPr>
              <w:t>C</w:t>
            </w:r>
            <w:r w:rsidRPr="00164671">
              <w:rPr>
                <w:rFonts w:cs="Arial"/>
                <w:lang w:eastAsia="en-AU"/>
              </w:rPr>
              <w:t xml:space="preserve">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176960" w:rsidRPr="009E3949" w14:paraId="13B688C6" w14:textId="77777777" w:rsidTr="004960E4">
        <w:trPr>
          <w:cantSplit/>
        </w:trPr>
        <w:tc>
          <w:tcPr>
            <w:tcW w:w="1843" w:type="pct"/>
          </w:tcPr>
          <w:p w14:paraId="65F2C8BC" w14:textId="77777777" w:rsidR="00176960" w:rsidRDefault="00176960" w:rsidP="00176960">
            <w:r>
              <w:t>D</w:t>
            </w:r>
            <w:r w:rsidRPr="001B21A4">
              <w:t>ecision maker</w:t>
            </w:r>
          </w:p>
        </w:tc>
        <w:tc>
          <w:tcPr>
            <w:tcW w:w="3157" w:type="pct"/>
          </w:tcPr>
          <w:p w14:paraId="2E0BBF4C" w14:textId="77777777" w:rsidR="00176960" w:rsidRPr="006C4678" w:rsidRDefault="00176960" w:rsidP="00176960">
            <w:r>
              <w:rPr>
                <w:rFonts w:cs="Arial"/>
                <w:lang w:eastAsia="en-AU"/>
              </w:rPr>
              <w:t>T</w:t>
            </w:r>
            <w:r w:rsidRPr="00710FAB">
              <w:rPr>
                <w:rFonts w:cs="Arial"/>
                <w:lang w:eastAsia="en-AU"/>
              </w:rPr>
              <w:t>he person who makes a decision to award a grant</w:t>
            </w:r>
          </w:p>
        </w:tc>
      </w:tr>
      <w:tr w:rsidR="00176960" w:rsidRPr="009E3949" w14:paraId="76AE35C5" w14:textId="77777777" w:rsidTr="004960E4">
        <w:trPr>
          <w:cantSplit/>
        </w:trPr>
        <w:tc>
          <w:tcPr>
            <w:tcW w:w="1843" w:type="pct"/>
          </w:tcPr>
          <w:p w14:paraId="5CA9D651" w14:textId="77777777" w:rsidR="00176960" w:rsidRDefault="00176960" w:rsidP="00176960">
            <w:r>
              <w:t>E</w:t>
            </w:r>
            <w:r w:rsidRPr="001B21A4">
              <w:t>ligibility criteria</w:t>
            </w:r>
          </w:p>
        </w:tc>
        <w:tc>
          <w:tcPr>
            <w:tcW w:w="3157" w:type="pct"/>
          </w:tcPr>
          <w:p w14:paraId="7A8FB8B7" w14:textId="77777777" w:rsidR="00176960" w:rsidRPr="006C4678" w:rsidRDefault="00176960" w:rsidP="00176960">
            <w:pPr>
              <w:rPr>
                <w:bCs/>
              </w:rPr>
            </w:pPr>
            <w:r>
              <w:rPr>
                <w:rFonts w:cs="Arial"/>
                <w:lang w:eastAsia="en-AU"/>
              </w:rPr>
              <w:t>R</w:t>
            </w:r>
            <w:r w:rsidRPr="00932BB0">
              <w:rPr>
                <w:rFonts w:cs="Arial"/>
                <w:lang w:eastAsia="en-AU"/>
              </w:rPr>
              <w:t>efer to the mandatory criteria which must be met to qualify for a grant. Assessment criteria may apply in addition to eligibility criteria</w:t>
            </w:r>
            <w:r>
              <w:rPr>
                <w:rFonts w:cs="Arial"/>
                <w:lang w:eastAsia="en-AU"/>
              </w:rPr>
              <w:t>.</w:t>
            </w:r>
          </w:p>
        </w:tc>
      </w:tr>
      <w:tr w:rsidR="00176960" w:rsidRPr="009E3949" w14:paraId="0D2AD28B" w14:textId="77777777" w:rsidTr="004960E4">
        <w:trPr>
          <w:cantSplit/>
        </w:trPr>
        <w:tc>
          <w:tcPr>
            <w:tcW w:w="1843" w:type="pct"/>
          </w:tcPr>
          <w:p w14:paraId="1451B8FC" w14:textId="77777777" w:rsidR="00176960" w:rsidRDefault="00176960" w:rsidP="00176960">
            <w:r>
              <w:rPr>
                <w:rFonts w:cs="Arial"/>
              </w:rPr>
              <w:t>Empowered Communities</w:t>
            </w:r>
          </w:p>
        </w:tc>
        <w:tc>
          <w:tcPr>
            <w:tcW w:w="3157" w:type="pct"/>
          </w:tcPr>
          <w:p w14:paraId="1E325D1D" w14:textId="77777777" w:rsidR="00176960" w:rsidRPr="006C4678" w:rsidRDefault="00176960" w:rsidP="00176960">
            <w:r>
              <w:rPr>
                <w:rFonts w:cs="Arial"/>
              </w:rPr>
              <w:t xml:space="preserve">A First Nations </w:t>
            </w:r>
            <w:r w:rsidRPr="004959B1">
              <w:rPr>
                <w:rFonts w:cs="Arial"/>
              </w:rPr>
              <w:t xml:space="preserve">designed and led initiative </w:t>
            </w:r>
            <w:r>
              <w:rPr>
                <w:rFonts w:cs="Arial"/>
              </w:rPr>
              <w:t xml:space="preserve">that involves First Nations leaders, </w:t>
            </w:r>
            <w:r w:rsidRPr="00736D53">
              <w:rPr>
                <w:rFonts w:cs="Arial"/>
              </w:rPr>
              <w:t xml:space="preserve">communities and governments working </w:t>
            </w:r>
            <w:r>
              <w:rPr>
                <w:rFonts w:cs="Arial"/>
              </w:rPr>
              <w:t xml:space="preserve">in partnership </w:t>
            </w:r>
            <w:r w:rsidRPr="00736D53">
              <w:rPr>
                <w:rFonts w:cs="Arial"/>
              </w:rPr>
              <w:t>to set priorities, improve services and apply funding effectively at a regional level</w:t>
            </w:r>
            <w:r>
              <w:rPr>
                <w:rFonts w:cs="Arial"/>
              </w:rPr>
              <w:t>. This</w:t>
            </w:r>
            <w:r w:rsidRPr="00736D53">
              <w:rPr>
                <w:rFonts w:cs="Arial"/>
              </w:rPr>
              <w:t xml:space="preserve"> i</w:t>
            </w:r>
            <w:r>
              <w:rPr>
                <w:rFonts w:cs="Arial"/>
              </w:rPr>
              <w:t>ncreases First Nations ownership to</w:t>
            </w:r>
            <w:r w:rsidRPr="00736D53">
              <w:rPr>
                <w:rFonts w:cs="Arial"/>
              </w:rPr>
              <w:t xml:space="preserve"> give </w:t>
            </w:r>
            <w:r>
              <w:rPr>
                <w:rFonts w:cs="Arial"/>
              </w:rPr>
              <w:t xml:space="preserve">First Nations </w:t>
            </w:r>
            <w:r w:rsidRPr="00736D53">
              <w:rPr>
                <w:rFonts w:cs="Arial"/>
              </w:rPr>
              <w:t>people</w:t>
            </w:r>
            <w:r>
              <w:rPr>
                <w:rFonts w:cs="Arial"/>
              </w:rPr>
              <w:t>s</w:t>
            </w:r>
            <w:r w:rsidRPr="00736D53">
              <w:rPr>
                <w:rFonts w:cs="Arial"/>
              </w:rPr>
              <w:t xml:space="preserve"> a greater say in decisions that affect them.</w:t>
            </w:r>
            <w:r>
              <w:rPr>
                <w:rFonts w:cs="Arial"/>
              </w:rPr>
              <w:t xml:space="preserve"> For further information refer to </w:t>
            </w:r>
            <w:hyperlink r:id="rId83">
              <w:r w:rsidRPr="3E969A75">
                <w:rPr>
                  <w:rStyle w:val="Hyperlink"/>
                </w:rPr>
                <w:t>niaa.gov.au/indigenous-affairs/empowered-communities</w:t>
              </w:r>
            </w:hyperlink>
            <w:r w:rsidRPr="3E969A75">
              <w:rPr>
                <w:color w:val="1F497D" w:themeColor="text2"/>
              </w:rPr>
              <w:t>.</w:t>
            </w:r>
          </w:p>
        </w:tc>
      </w:tr>
      <w:tr w:rsidR="00176960" w:rsidRPr="009E3949" w14:paraId="571065F7" w14:textId="77777777" w:rsidTr="004960E4">
        <w:trPr>
          <w:cantSplit/>
        </w:trPr>
        <w:tc>
          <w:tcPr>
            <w:tcW w:w="1843" w:type="pct"/>
          </w:tcPr>
          <w:p w14:paraId="3EDBCA08" w14:textId="77777777" w:rsidR="00176960" w:rsidRPr="00463AB3" w:rsidRDefault="00176960" w:rsidP="00176960">
            <w:pPr>
              <w:rPr>
                <w:rFonts w:cs="Arial"/>
                <w:lang w:eastAsia="en-AU"/>
              </w:rPr>
            </w:pPr>
            <w:r w:rsidRPr="004F7342">
              <w:rPr>
                <w:rFonts w:cs="Arial"/>
                <w:lang w:eastAsia="en-AU"/>
              </w:rPr>
              <w:t>Evaluation</w:t>
            </w:r>
          </w:p>
        </w:tc>
        <w:tc>
          <w:tcPr>
            <w:tcW w:w="3157" w:type="pct"/>
          </w:tcPr>
          <w:p w14:paraId="10E25CD7" w14:textId="77777777" w:rsidR="00176960" w:rsidRPr="00463AB3" w:rsidRDefault="00176960" w:rsidP="00176960">
            <w:pPr>
              <w:rPr>
                <w:rFonts w:cs="Arial"/>
                <w:lang w:eastAsia="en-AU"/>
              </w:rPr>
            </w:pPr>
            <w:r w:rsidRPr="004F7342">
              <w:rPr>
                <w:rFonts w:cs="Arial"/>
              </w:rPr>
              <w:t>Evaluation is the systematic measurement of the significance, merit and worth of policies and programs, undertaken to understand and improve decisions about investment. Evaluation involves the assessment of outcomes and operations of programs or policy compared to expectations in order to make improvements.</w:t>
            </w:r>
          </w:p>
        </w:tc>
      </w:tr>
      <w:tr w:rsidR="00176960" w:rsidRPr="009E3949" w14:paraId="72F68070" w14:textId="77777777" w:rsidTr="004960E4">
        <w:trPr>
          <w:cantSplit/>
        </w:trPr>
        <w:tc>
          <w:tcPr>
            <w:tcW w:w="1843" w:type="pct"/>
          </w:tcPr>
          <w:p w14:paraId="2B24A7F9" w14:textId="77777777" w:rsidR="00176960" w:rsidRDefault="00176960" w:rsidP="00176960">
            <w:pPr>
              <w:rPr>
                <w:rFonts w:cs="Arial"/>
                <w:lang w:eastAsia="en-AU"/>
              </w:rPr>
            </w:pPr>
            <w:r>
              <w:t>First Nations enterprise</w:t>
            </w:r>
          </w:p>
        </w:tc>
        <w:tc>
          <w:tcPr>
            <w:tcW w:w="3157" w:type="pct"/>
          </w:tcPr>
          <w:p w14:paraId="384CBCDF" w14:textId="77777777" w:rsidR="00176960" w:rsidRDefault="00176960" w:rsidP="00176960">
            <w:pPr>
              <w:suppressAutoHyphens/>
              <w:spacing w:before="60"/>
            </w:pPr>
            <w:r w:rsidRPr="0079049E">
              <w:t xml:space="preserve">An entity with at least 50% </w:t>
            </w:r>
            <w:r>
              <w:t xml:space="preserve">First Nations </w:t>
            </w:r>
            <w:r w:rsidRPr="0079049E">
              <w:t>ownership, as outlined in the Indigenous Procurement Policy.</w:t>
            </w:r>
          </w:p>
        </w:tc>
      </w:tr>
      <w:tr w:rsidR="00176960" w:rsidRPr="009E3949" w14:paraId="352D4197" w14:textId="77777777" w:rsidTr="004960E4">
        <w:trPr>
          <w:cantSplit/>
        </w:trPr>
        <w:tc>
          <w:tcPr>
            <w:tcW w:w="1843" w:type="pct"/>
          </w:tcPr>
          <w:p w14:paraId="75AA4930" w14:textId="77777777" w:rsidR="00176960" w:rsidRDefault="00176960" w:rsidP="00176960">
            <w:r>
              <w:t>First Nations organisations</w:t>
            </w:r>
          </w:p>
          <w:p w14:paraId="20C6A40F" w14:textId="77777777" w:rsidR="00176960" w:rsidRPr="00A55AB6" w:rsidRDefault="00176960" w:rsidP="00176960">
            <w:pPr>
              <w:rPr>
                <w:rFonts w:cs="Arial"/>
                <w:lang w:eastAsia="en-AU"/>
              </w:rPr>
            </w:pPr>
            <w:r w:rsidRPr="00A55AB6">
              <w:rPr>
                <w:rFonts w:cs="Arial"/>
              </w:rPr>
              <w:t>(</w:t>
            </w:r>
            <w:r w:rsidRPr="00A55AB6">
              <w:rPr>
                <w:rFonts w:cs="Arial"/>
                <w:b/>
              </w:rPr>
              <w:t>Note</w:t>
            </w:r>
            <w:r w:rsidRPr="00A55AB6">
              <w:rPr>
                <w:rFonts w:cs="Arial"/>
              </w:rPr>
              <w:t>: This definition is used for administering the Incorporation Requirements only – Refer to Appendix B)</w:t>
            </w:r>
          </w:p>
        </w:tc>
        <w:tc>
          <w:tcPr>
            <w:tcW w:w="3157" w:type="pct"/>
          </w:tcPr>
          <w:p w14:paraId="7F90A365" w14:textId="77777777" w:rsidR="00176960" w:rsidRPr="0013259D" w:rsidRDefault="00176960" w:rsidP="00176960">
            <w:pPr>
              <w:rPr>
                <w:rFonts w:cs="Arial"/>
              </w:rPr>
            </w:pPr>
            <w:r w:rsidRPr="0013259D">
              <w:rPr>
                <w:rFonts w:cs="Arial"/>
              </w:rPr>
              <w:t xml:space="preserve">Aligns with the s29-5 of the </w:t>
            </w:r>
            <w:r w:rsidRPr="005E7CD5">
              <w:rPr>
                <w:rFonts w:cs="Arial"/>
                <w:i/>
              </w:rPr>
              <w:t>Corporations (Aboriginal and Torres Strait Islander) Act 2006</w:t>
            </w:r>
            <w:r w:rsidRPr="0013259D">
              <w:rPr>
                <w:rFonts w:cs="Arial"/>
              </w:rPr>
              <w:t xml:space="preserve"> and Part 2 – Regulation 6 of the Corporations (Aboriginal and Torres Strait Islander) Regulations 2017 </w:t>
            </w:r>
          </w:p>
          <w:p w14:paraId="6AD952A0" w14:textId="77777777" w:rsidR="00176960" w:rsidRPr="0013259D" w:rsidRDefault="00176960" w:rsidP="00F0019A">
            <w:pPr>
              <w:pStyle w:val="NumberedList2"/>
              <w:numPr>
                <w:ilvl w:val="1"/>
                <w:numId w:val="23"/>
              </w:numPr>
              <w:spacing w:before="60"/>
              <w:rPr>
                <w:rFonts w:ascii="Arial" w:hAnsi="Arial" w:cs="Arial"/>
                <w:sz w:val="20"/>
                <w:szCs w:val="20"/>
              </w:rPr>
            </w:pPr>
            <w:r w:rsidRPr="0013259D">
              <w:rPr>
                <w:rFonts w:ascii="Arial" w:hAnsi="Arial" w:cs="Arial"/>
                <w:sz w:val="20"/>
                <w:szCs w:val="20"/>
              </w:rPr>
              <w:t>If the corporation has five (5) or more members—at least 51% of the members are</w:t>
            </w:r>
            <w:r>
              <w:rPr>
                <w:rFonts w:ascii="Arial" w:hAnsi="Arial" w:cs="Arial"/>
                <w:sz w:val="20"/>
                <w:szCs w:val="20"/>
              </w:rPr>
              <w:t xml:space="preserve"> Indigenous</w:t>
            </w:r>
            <w:r w:rsidRPr="0013259D">
              <w:rPr>
                <w:rFonts w:ascii="Arial" w:hAnsi="Arial" w:cs="Arial"/>
                <w:sz w:val="20"/>
                <w:szCs w:val="20"/>
              </w:rPr>
              <w:t xml:space="preserve"> Australians. </w:t>
            </w:r>
          </w:p>
          <w:p w14:paraId="2E43A48F" w14:textId="77777777" w:rsidR="00176960" w:rsidRPr="0013259D" w:rsidRDefault="00176960" w:rsidP="00F0019A">
            <w:pPr>
              <w:pStyle w:val="NumberedList2"/>
              <w:numPr>
                <w:ilvl w:val="1"/>
                <w:numId w:val="23"/>
              </w:numPr>
              <w:spacing w:before="60"/>
              <w:rPr>
                <w:rFonts w:ascii="Arial" w:hAnsi="Arial" w:cs="Arial"/>
                <w:sz w:val="20"/>
                <w:szCs w:val="20"/>
              </w:rPr>
            </w:pPr>
            <w:r w:rsidRPr="0013259D">
              <w:rPr>
                <w:rFonts w:ascii="Arial" w:hAnsi="Arial" w:cs="Arial"/>
                <w:sz w:val="20"/>
                <w:szCs w:val="20"/>
              </w:rPr>
              <w:t xml:space="preserve">If the corporation has fewer than five (5) members but more than one (1) member—all of the members, or all but one of the members are </w:t>
            </w:r>
            <w:r>
              <w:rPr>
                <w:rFonts w:ascii="Arial" w:hAnsi="Arial" w:cs="Arial"/>
                <w:sz w:val="20"/>
                <w:szCs w:val="20"/>
              </w:rPr>
              <w:t>Indigenous</w:t>
            </w:r>
            <w:r w:rsidRPr="0013259D">
              <w:rPr>
                <w:rFonts w:ascii="Arial" w:hAnsi="Arial" w:cs="Arial"/>
                <w:sz w:val="20"/>
                <w:szCs w:val="20"/>
              </w:rPr>
              <w:t xml:space="preserve"> Australians.</w:t>
            </w:r>
          </w:p>
          <w:p w14:paraId="740CD318" w14:textId="77777777" w:rsidR="00176960" w:rsidRPr="0013259D" w:rsidRDefault="00176960" w:rsidP="00F0019A">
            <w:pPr>
              <w:pStyle w:val="NumberedList2"/>
              <w:numPr>
                <w:ilvl w:val="1"/>
                <w:numId w:val="23"/>
              </w:numPr>
              <w:spacing w:before="60"/>
              <w:rPr>
                <w:rFonts w:ascii="Arial" w:hAnsi="Arial" w:cs="Arial"/>
                <w:sz w:val="20"/>
                <w:szCs w:val="20"/>
              </w:rPr>
            </w:pPr>
            <w:r w:rsidRPr="0013259D">
              <w:rPr>
                <w:rFonts w:ascii="Arial" w:hAnsi="Arial" w:cs="Arial"/>
                <w:sz w:val="20"/>
                <w:szCs w:val="20"/>
              </w:rPr>
              <w:t xml:space="preserve">If the corporation has only one (1) member – that member is an </w:t>
            </w:r>
            <w:r>
              <w:rPr>
                <w:rFonts w:ascii="Arial" w:hAnsi="Arial" w:cs="Arial"/>
                <w:sz w:val="20"/>
                <w:szCs w:val="20"/>
              </w:rPr>
              <w:t>Indigenous</w:t>
            </w:r>
            <w:r w:rsidRPr="0013259D">
              <w:rPr>
                <w:rFonts w:ascii="Arial" w:hAnsi="Arial" w:cs="Arial"/>
                <w:sz w:val="20"/>
                <w:szCs w:val="20"/>
              </w:rPr>
              <w:t xml:space="preserve"> Australian.</w:t>
            </w:r>
          </w:p>
          <w:p w14:paraId="2B0B350F" w14:textId="77777777" w:rsidR="00176960" w:rsidRPr="0013259D" w:rsidRDefault="00176960" w:rsidP="00176960">
            <w:pPr>
              <w:rPr>
                <w:rFonts w:cs="Arial"/>
              </w:rPr>
            </w:pPr>
            <w:r w:rsidRPr="0013259D">
              <w:rPr>
                <w:rFonts w:cs="Arial"/>
              </w:rPr>
              <w:t>Note that “member” is used as a term for ownership and may vary between entity types (e.g. “shareholder” for co-operatives).</w:t>
            </w:r>
          </w:p>
          <w:p w14:paraId="67FF454E" w14:textId="77777777" w:rsidR="00176960" w:rsidRPr="0013259D" w:rsidRDefault="00176960" w:rsidP="00176960">
            <w:pPr>
              <w:rPr>
                <w:rFonts w:cs="Arial"/>
                <w:b/>
              </w:rPr>
            </w:pPr>
            <w:r w:rsidRPr="0013259D">
              <w:rPr>
                <w:rFonts w:cs="Arial"/>
                <w:b/>
              </w:rPr>
              <w:t xml:space="preserve">and </w:t>
            </w:r>
          </w:p>
          <w:p w14:paraId="4712BEC4" w14:textId="77777777" w:rsidR="00176960" w:rsidRDefault="00176960" w:rsidP="00176960">
            <w:pPr>
              <w:suppressAutoHyphens/>
              <w:spacing w:before="60"/>
            </w:pPr>
            <w:r w:rsidRPr="0013259D">
              <w:rPr>
                <w:rFonts w:cs="Arial"/>
              </w:rPr>
              <w:t>Aligns with s246-5 of the Act—</w:t>
            </w:r>
            <w:r w:rsidRPr="0013259D">
              <w:rPr>
                <w:rFonts w:cs="Arial"/>
                <w:u w:val="single"/>
              </w:rPr>
              <w:t xml:space="preserve">a majority of the directors must be </w:t>
            </w:r>
            <w:r>
              <w:rPr>
                <w:rFonts w:cs="Arial"/>
                <w:u w:val="single"/>
              </w:rPr>
              <w:t>Indigenous</w:t>
            </w:r>
            <w:r w:rsidRPr="0013259D">
              <w:rPr>
                <w:rFonts w:cs="Arial"/>
                <w:u w:val="single"/>
              </w:rPr>
              <w:t xml:space="preserve"> peoples</w:t>
            </w:r>
            <w:r w:rsidRPr="0013259D">
              <w:rPr>
                <w:rFonts w:cs="Arial"/>
              </w:rPr>
              <w:t>.</w:t>
            </w:r>
          </w:p>
        </w:tc>
      </w:tr>
      <w:tr w:rsidR="00176960" w:rsidRPr="009E3949" w14:paraId="149A4903" w14:textId="77777777" w:rsidTr="004960E4">
        <w:trPr>
          <w:cantSplit/>
        </w:trPr>
        <w:tc>
          <w:tcPr>
            <w:tcW w:w="1843" w:type="pct"/>
          </w:tcPr>
          <w:p w14:paraId="243A1646" w14:textId="77777777" w:rsidR="00176960" w:rsidRPr="0007627E" w:rsidRDefault="00176960" w:rsidP="00176960">
            <w:r>
              <w:rPr>
                <w:rFonts w:cs="Arial"/>
                <w:lang w:eastAsia="en-AU"/>
              </w:rPr>
              <w:t>G</w:t>
            </w:r>
            <w:r w:rsidRPr="00463AB3">
              <w:rPr>
                <w:rFonts w:cs="Arial"/>
                <w:lang w:eastAsia="en-AU"/>
              </w:rPr>
              <w:t xml:space="preserve">rant </w:t>
            </w:r>
          </w:p>
        </w:tc>
        <w:tc>
          <w:tcPr>
            <w:tcW w:w="3157" w:type="pct"/>
          </w:tcPr>
          <w:p w14:paraId="63753BCB" w14:textId="77777777" w:rsidR="00176960" w:rsidRPr="006A6E10" w:rsidRDefault="00176960" w:rsidP="00176960">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2383B5B6" w14:textId="77777777" w:rsidR="00176960" w:rsidRPr="00181A24" w:rsidRDefault="00176960" w:rsidP="00F0019A">
            <w:pPr>
              <w:pStyle w:val="NumberedList2"/>
              <w:numPr>
                <w:ilvl w:val="1"/>
                <w:numId w:val="20"/>
              </w:numPr>
              <w:spacing w:before="60"/>
              <w:rPr>
                <w:rFonts w:ascii="Arial" w:hAnsi="Arial" w:cs="Arial"/>
                <w:sz w:val="20"/>
                <w:szCs w:val="20"/>
              </w:rPr>
            </w:pPr>
            <w:r w:rsidRPr="00181A24">
              <w:rPr>
                <w:rFonts w:ascii="Arial" w:hAnsi="Arial" w:cs="Arial"/>
                <w:sz w:val="20"/>
                <w:szCs w:val="20"/>
              </w:rPr>
              <w:t>under which relevant money</w:t>
            </w:r>
            <w:r w:rsidRPr="00760EC3">
              <w:rPr>
                <w:vertAlign w:val="superscript"/>
              </w:rPr>
              <w:footnoteReference w:id="10"/>
            </w:r>
            <w:r w:rsidRPr="00181A24">
              <w:rPr>
                <w:rFonts w:ascii="Arial" w:hAnsi="Arial" w:cs="Arial"/>
                <w:sz w:val="20"/>
                <w:szCs w:val="20"/>
              </w:rPr>
              <w:t xml:space="preserve"> or other</w:t>
            </w:r>
            <w:r>
              <w:rPr>
                <w:rFonts w:ascii="Arial" w:hAnsi="Arial" w:cs="Arial"/>
                <w:sz w:val="20"/>
                <w:szCs w:val="20"/>
              </w:rPr>
              <w:t xml:space="preserve"> </w:t>
            </w:r>
            <w:hyperlink r:id="rId84" w:history="1">
              <w:r w:rsidRPr="00760EC3">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760EC3">
              <w:rPr>
                <w:vertAlign w:val="superscript"/>
              </w:rPr>
              <w:footnoteReference w:id="11"/>
            </w:r>
            <w:r w:rsidRPr="0079049E">
              <w:rPr>
                <w:rFonts w:ascii="Arial" w:hAnsi="Arial" w:cs="Arial"/>
                <w:sz w:val="20"/>
                <w:szCs w:val="20"/>
                <w:vertAlign w:val="superscript"/>
              </w:rPr>
              <w:t xml:space="preserve"> </w:t>
            </w:r>
            <w:r w:rsidRPr="00181A24">
              <w:rPr>
                <w:rFonts w:ascii="Arial" w:hAnsi="Arial" w:cs="Arial"/>
                <w:sz w:val="20"/>
                <w:szCs w:val="20"/>
              </w:rPr>
              <w:t>is to be paid to a grantee other than the Commonwealth; and</w:t>
            </w:r>
          </w:p>
          <w:p w14:paraId="0EDECE3A" w14:textId="77777777" w:rsidR="00176960" w:rsidRPr="00710FAB" w:rsidRDefault="00176960" w:rsidP="00F0019A">
            <w:pPr>
              <w:pStyle w:val="NumberedList2"/>
              <w:numPr>
                <w:ilvl w:val="1"/>
                <w:numId w:val="20"/>
              </w:numPr>
              <w:spacing w:before="60"/>
            </w:pPr>
            <w:r w:rsidRPr="00181A24">
              <w:rPr>
                <w:rFonts w:ascii="Arial" w:hAnsi="Arial" w:cs="Arial"/>
                <w:sz w:val="20"/>
                <w:szCs w:val="20"/>
              </w:rPr>
              <w:t>which is intended to help address one or more of the Australian Government’s policy outcomes while assisting the grantee achieve its objectives.</w:t>
            </w:r>
            <w:r w:rsidRPr="003B575D">
              <w:rPr>
                <w:rFonts w:ascii="Arial" w:hAnsi="Arial" w:cs="Arial"/>
              </w:rPr>
              <w:t xml:space="preserve"> </w:t>
            </w:r>
          </w:p>
        </w:tc>
      </w:tr>
      <w:tr w:rsidR="00176960" w:rsidRPr="009E3949" w14:paraId="08DA379F" w14:textId="77777777" w:rsidTr="004960E4">
        <w:trPr>
          <w:cantSplit/>
        </w:trPr>
        <w:tc>
          <w:tcPr>
            <w:tcW w:w="1843" w:type="pct"/>
          </w:tcPr>
          <w:p w14:paraId="7DEFA591" w14:textId="77777777" w:rsidR="00176960" w:rsidRPr="00463AB3" w:rsidRDefault="00176960" w:rsidP="00176960">
            <w:pPr>
              <w:rPr>
                <w:rFonts w:cs="Arial"/>
                <w:lang w:eastAsia="en-AU"/>
              </w:rPr>
            </w:pPr>
            <w:r>
              <w:t xml:space="preserve">Grant </w:t>
            </w:r>
            <w:r w:rsidRPr="001B21A4">
              <w:t>activity</w:t>
            </w:r>
            <w:r>
              <w:t>/activities</w:t>
            </w:r>
          </w:p>
        </w:tc>
        <w:tc>
          <w:tcPr>
            <w:tcW w:w="3157" w:type="pct"/>
          </w:tcPr>
          <w:p w14:paraId="6DAFB5B1" w14:textId="77777777" w:rsidR="00176960" w:rsidRPr="00463AB3" w:rsidRDefault="00176960" w:rsidP="00176960">
            <w:pPr>
              <w:rPr>
                <w:rFonts w:cs="Arial"/>
                <w:lang w:eastAsia="en-AU"/>
              </w:rPr>
            </w:pPr>
            <w:r>
              <w:t>R</w:t>
            </w:r>
            <w:r w:rsidRPr="00A77F5D">
              <w:t>efers to the project/tasks/services that the grantee is required to undertake</w:t>
            </w:r>
          </w:p>
        </w:tc>
      </w:tr>
      <w:tr w:rsidR="00176960" w:rsidRPr="009E3949" w14:paraId="38B46806" w14:textId="77777777" w:rsidTr="004960E4">
        <w:trPr>
          <w:cantSplit/>
        </w:trPr>
        <w:tc>
          <w:tcPr>
            <w:tcW w:w="1843" w:type="pct"/>
          </w:tcPr>
          <w:p w14:paraId="36948D07" w14:textId="77777777" w:rsidR="00176960" w:rsidRDefault="00176960" w:rsidP="00176960">
            <w:r>
              <w:t>G</w:t>
            </w:r>
            <w:r w:rsidRPr="001B21A4">
              <w:t>rant agreement</w:t>
            </w:r>
          </w:p>
        </w:tc>
        <w:tc>
          <w:tcPr>
            <w:tcW w:w="3157" w:type="pct"/>
          </w:tcPr>
          <w:p w14:paraId="7BF31D35" w14:textId="77777777" w:rsidR="00176960" w:rsidRPr="00710FAB" w:rsidRDefault="00176960" w:rsidP="00176960">
            <w:r>
              <w:t>S</w:t>
            </w:r>
            <w:r w:rsidRPr="00A77F5D">
              <w:t>ets out the relationship between the parties to the agreement, and specifies the details of the grant</w:t>
            </w:r>
          </w:p>
        </w:tc>
      </w:tr>
      <w:tr w:rsidR="00176960" w:rsidRPr="009E3949" w14:paraId="1EBF5FE6" w14:textId="77777777" w:rsidTr="004960E4">
        <w:trPr>
          <w:cantSplit/>
        </w:trPr>
        <w:tc>
          <w:tcPr>
            <w:tcW w:w="1843" w:type="pct"/>
          </w:tcPr>
          <w:p w14:paraId="7C078C10" w14:textId="77777777" w:rsidR="00176960" w:rsidRPr="001B21A4" w:rsidRDefault="00176960" w:rsidP="00176960">
            <w:r>
              <w:t>Grant opportunity</w:t>
            </w:r>
          </w:p>
        </w:tc>
        <w:tc>
          <w:tcPr>
            <w:tcW w:w="3157" w:type="pct"/>
          </w:tcPr>
          <w:p w14:paraId="48953281" w14:textId="77777777" w:rsidR="00176960" w:rsidRPr="00710FAB" w:rsidRDefault="00176960" w:rsidP="00176960">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176960" w:rsidRPr="009E3949" w14:paraId="3630AA95" w14:textId="77777777" w:rsidTr="004960E4">
        <w:trPr>
          <w:cantSplit/>
        </w:trPr>
        <w:tc>
          <w:tcPr>
            <w:tcW w:w="1843" w:type="pct"/>
          </w:tcPr>
          <w:p w14:paraId="2ECEB6A6" w14:textId="77777777" w:rsidR="00176960" w:rsidRDefault="00176960" w:rsidP="00176960">
            <w:r>
              <w:t>G</w:t>
            </w:r>
            <w:r w:rsidRPr="001B21A4">
              <w:t xml:space="preserve">rant </w:t>
            </w:r>
            <w:r>
              <w:t>program</w:t>
            </w:r>
          </w:p>
        </w:tc>
        <w:tc>
          <w:tcPr>
            <w:tcW w:w="3157" w:type="pct"/>
          </w:tcPr>
          <w:p w14:paraId="4B41CBB5" w14:textId="77777777" w:rsidR="00176960" w:rsidRPr="00F85418" w:rsidRDefault="00176960" w:rsidP="00176960">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[entity] Portfolio Budget Statement Program</w:t>
            </w:r>
            <w:r>
              <w:rPr>
                <w:rFonts w:cs="Arial"/>
              </w:rPr>
              <w:t>.</w:t>
            </w:r>
          </w:p>
        </w:tc>
      </w:tr>
      <w:tr w:rsidR="00176960" w:rsidRPr="009E3949" w14:paraId="51E100A7" w14:textId="77777777" w:rsidTr="004960E4">
        <w:trPr>
          <w:cantSplit/>
        </w:trPr>
        <w:tc>
          <w:tcPr>
            <w:tcW w:w="1843" w:type="pct"/>
          </w:tcPr>
          <w:p w14:paraId="040CE914" w14:textId="77777777" w:rsidR="00176960" w:rsidRDefault="000A7AA5" w:rsidP="00176960">
            <w:hyperlink r:id="rId85" w:history="1">
              <w:r w:rsidR="00176960" w:rsidRPr="00132512">
                <w:rPr>
                  <w:rStyle w:val="Hyperlink"/>
                </w:rPr>
                <w:t>GrantConnect</w:t>
              </w:r>
            </w:hyperlink>
          </w:p>
        </w:tc>
        <w:tc>
          <w:tcPr>
            <w:tcW w:w="3157" w:type="pct"/>
          </w:tcPr>
          <w:p w14:paraId="7E565AA9" w14:textId="77777777" w:rsidR="00176960" w:rsidRDefault="00176960" w:rsidP="00176960">
            <w:r>
              <w:t>I</w:t>
            </w:r>
            <w:r w:rsidRPr="00A77F5D">
              <w:t>s the Australian Government’s whole-of-government grants information system, which centralises the publication and reporting of Commonwealth grants in accordance with the CGRGs</w:t>
            </w:r>
          </w:p>
        </w:tc>
      </w:tr>
      <w:tr w:rsidR="00176960" w:rsidRPr="009E3949" w14:paraId="19A69C19" w14:textId="77777777" w:rsidTr="004960E4">
        <w:trPr>
          <w:cantSplit/>
        </w:trPr>
        <w:tc>
          <w:tcPr>
            <w:tcW w:w="1843" w:type="pct"/>
          </w:tcPr>
          <w:p w14:paraId="3FE2D8DD" w14:textId="77777777" w:rsidR="00176960" w:rsidRPr="001B21A4" w:rsidRDefault="00176960" w:rsidP="00176960">
            <w:r>
              <w:t>Grantee</w:t>
            </w:r>
          </w:p>
        </w:tc>
        <w:tc>
          <w:tcPr>
            <w:tcW w:w="3157" w:type="pct"/>
          </w:tcPr>
          <w:p w14:paraId="7CA67A16" w14:textId="77777777" w:rsidR="00176960" w:rsidRPr="00710FAB" w:rsidRDefault="00176960" w:rsidP="00176960">
            <w:pPr>
              <w:rPr>
                <w:rFonts w:cs="Arial"/>
              </w:rPr>
            </w:pPr>
            <w:r>
              <w:t>The individual/organisation which has been selected to receive a grant</w:t>
            </w:r>
          </w:p>
        </w:tc>
      </w:tr>
      <w:tr w:rsidR="00176960" w:rsidRPr="009E3949" w14:paraId="4F2906CA" w14:textId="77777777" w:rsidTr="004960E4">
        <w:trPr>
          <w:cantSplit/>
        </w:trPr>
        <w:tc>
          <w:tcPr>
            <w:tcW w:w="1843" w:type="pct"/>
          </w:tcPr>
          <w:p w14:paraId="27BF3989" w14:textId="77777777" w:rsidR="00176960" w:rsidRPr="00463AB3" w:rsidRDefault="00176960" w:rsidP="00176960">
            <w:r w:rsidRPr="0013259D">
              <w:t>Key Performance Indicator</w:t>
            </w:r>
          </w:p>
        </w:tc>
        <w:tc>
          <w:tcPr>
            <w:tcW w:w="3157" w:type="pct"/>
          </w:tcPr>
          <w:p w14:paraId="6E0EF710" w14:textId="77777777" w:rsidR="00176960" w:rsidRDefault="00176960" w:rsidP="00176960">
            <w:pPr>
              <w:rPr>
                <w:rFonts w:cs="Arial"/>
              </w:rPr>
            </w:pPr>
            <w:r w:rsidRPr="0013259D">
              <w:rPr>
                <w:rFonts w:cs="Arial"/>
              </w:rPr>
              <w:t>A measure that provides information about the extent to which the activities or services meet agreed performance requirements.</w:t>
            </w:r>
          </w:p>
        </w:tc>
      </w:tr>
      <w:tr w:rsidR="00176960" w:rsidRPr="009E3949" w14:paraId="64D52B08" w14:textId="77777777" w:rsidTr="004960E4">
        <w:trPr>
          <w:cantSplit/>
        </w:trPr>
        <w:tc>
          <w:tcPr>
            <w:tcW w:w="1843" w:type="pct"/>
          </w:tcPr>
          <w:p w14:paraId="73F65576" w14:textId="77777777" w:rsidR="00176960" w:rsidRPr="00463AB3" w:rsidRDefault="00176960" w:rsidP="00176960">
            <w:r w:rsidRPr="0013259D">
              <w:t>Management</w:t>
            </w:r>
          </w:p>
        </w:tc>
        <w:tc>
          <w:tcPr>
            <w:tcW w:w="3157" w:type="pct"/>
          </w:tcPr>
          <w:p w14:paraId="4C398727" w14:textId="77777777" w:rsidR="00176960" w:rsidRPr="0013259D" w:rsidRDefault="00176960" w:rsidP="00176960">
            <w:pPr>
              <w:rPr>
                <w:rFonts w:cs="Arial"/>
              </w:rPr>
            </w:pPr>
            <w:r w:rsidRPr="0013259D">
              <w:rPr>
                <w:rFonts w:cs="Arial"/>
              </w:rPr>
              <w:t>Management refers to the responsibility for the day-to-day operation of the funded organisation. It includes:</w:t>
            </w:r>
          </w:p>
          <w:p w14:paraId="5602C39A" w14:textId="77777777" w:rsidR="00176960" w:rsidRPr="0013259D" w:rsidRDefault="00176960" w:rsidP="00F0019A">
            <w:pPr>
              <w:pStyle w:val="NumberedList2"/>
              <w:numPr>
                <w:ilvl w:val="1"/>
                <w:numId w:val="21"/>
              </w:numPr>
              <w:spacing w:before="60"/>
              <w:rPr>
                <w:rFonts w:ascii="Arial" w:hAnsi="Arial" w:cs="Arial"/>
                <w:sz w:val="20"/>
                <w:szCs w:val="20"/>
              </w:rPr>
            </w:pPr>
            <w:r w:rsidRPr="0013259D">
              <w:rPr>
                <w:rFonts w:ascii="Arial" w:hAnsi="Arial" w:cs="Arial"/>
                <w:sz w:val="20"/>
                <w:szCs w:val="20"/>
              </w:rPr>
              <w:t>the CEO (or equivalent)</w:t>
            </w:r>
          </w:p>
          <w:p w14:paraId="4316BC05" w14:textId="77777777" w:rsidR="00176960" w:rsidRPr="0013259D" w:rsidRDefault="00176960" w:rsidP="00F0019A">
            <w:pPr>
              <w:pStyle w:val="NumberedList2"/>
              <w:numPr>
                <w:ilvl w:val="1"/>
                <w:numId w:val="21"/>
              </w:numPr>
              <w:spacing w:before="60"/>
              <w:rPr>
                <w:rFonts w:ascii="Arial" w:hAnsi="Arial" w:cs="Arial"/>
                <w:sz w:val="20"/>
                <w:szCs w:val="20"/>
              </w:rPr>
            </w:pPr>
            <w:r w:rsidRPr="0013259D">
              <w:rPr>
                <w:rFonts w:ascii="Arial" w:hAnsi="Arial" w:cs="Arial"/>
                <w:sz w:val="20"/>
                <w:szCs w:val="20"/>
              </w:rPr>
              <w:t>the people occupying the highest positions in relation to:</w:t>
            </w:r>
          </w:p>
          <w:p w14:paraId="5A37D3D2" w14:textId="77777777" w:rsidR="00176960" w:rsidRPr="0013259D" w:rsidRDefault="00176960" w:rsidP="00F0019A">
            <w:pPr>
              <w:pStyle w:val="NumberedList2"/>
              <w:numPr>
                <w:ilvl w:val="2"/>
                <w:numId w:val="21"/>
              </w:numPr>
              <w:spacing w:before="60"/>
              <w:rPr>
                <w:rFonts w:ascii="Arial" w:hAnsi="Arial" w:cs="Arial"/>
                <w:sz w:val="20"/>
                <w:szCs w:val="20"/>
              </w:rPr>
            </w:pPr>
            <w:r w:rsidRPr="0013259D">
              <w:rPr>
                <w:rFonts w:ascii="Arial" w:hAnsi="Arial" w:cs="Arial"/>
                <w:sz w:val="20"/>
                <w:szCs w:val="20"/>
              </w:rPr>
              <w:t>service delivery</w:t>
            </w:r>
          </w:p>
          <w:p w14:paraId="2AC60E7C" w14:textId="77777777" w:rsidR="00176960" w:rsidRPr="0013259D" w:rsidRDefault="00176960" w:rsidP="00F0019A">
            <w:pPr>
              <w:pStyle w:val="NumberedList2"/>
              <w:numPr>
                <w:ilvl w:val="2"/>
                <w:numId w:val="21"/>
              </w:numPr>
              <w:spacing w:before="60"/>
              <w:rPr>
                <w:rFonts w:ascii="Arial" w:hAnsi="Arial" w:cs="Arial"/>
                <w:sz w:val="20"/>
                <w:szCs w:val="20"/>
              </w:rPr>
            </w:pPr>
            <w:r w:rsidRPr="0013259D">
              <w:rPr>
                <w:rFonts w:ascii="Arial" w:hAnsi="Arial" w:cs="Arial"/>
                <w:sz w:val="20"/>
                <w:szCs w:val="20"/>
              </w:rPr>
              <w:t>finances</w:t>
            </w:r>
          </w:p>
          <w:p w14:paraId="0B2673CE" w14:textId="77777777" w:rsidR="00176960" w:rsidRPr="0013259D" w:rsidRDefault="00176960" w:rsidP="00F0019A">
            <w:pPr>
              <w:pStyle w:val="NumberedList2"/>
              <w:numPr>
                <w:ilvl w:val="2"/>
                <w:numId w:val="21"/>
              </w:numPr>
              <w:spacing w:before="60"/>
              <w:rPr>
                <w:rFonts w:ascii="Arial" w:hAnsi="Arial" w:cs="Arial"/>
                <w:sz w:val="20"/>
                <w:szCs w:val="20"/>
              </w:rPr>
            </w:pPr>
            <w:r w:rsidRPr="0013259D">
              <w:rPr>
                <w:rFonts w:ascii="Arial" w:hAnsi="Arial" w:cs="Arial"/>
                <w:sz w:val="20"/>
                <w:szCs w:val="20"/>
              </w:rPr>
              <w:t>operations (e.g. property, ICT), and/or</w:t>
            </w:r>
          </w:p>
          <w:p w14:paraId="5D35679F" w14:textId="77777777" w:rsidR="00176960" w:rsidRPr="0013259D" w:rsidRDefault="00176960" w:rsidP="00F0019A">
            <w:pPr>
              <w:pStyle w:val="NumberedList2"/>
              <w:numPr>
                <w:ilvl w:val="2"/>
                <w:numId w:val="21"/>
              </w:numPr>
              <w:spacing w:before="60"/>
              <w:rPr>
                <w:rFonts w:ascii="Arial" w:hAnsi="Arial" w:cs="Arial"/>
                <w:sz w:val="20"/>
                <w:szCs w:val="20"/>
              </w:rPr>
            </w:pPr>
            <w:r w:rsidRPr="0013259D">
              <w:rPr>
                <w:rFonts w:ascii="Arial" w:hAnsi="Arial" w:cs="Arial"/>
                <w:sz w:val="20"/>
                <w:szCs w:val="20"/>
              </w:rPr>
              <w:t>human resources.</w:t>
            </w:r>
          </w:p>
        </w:tc>
      </w:tr>
      <w:tr w:rsidR="00DB2CAE" w:rsidRPr="009E3949" w14:paraId="73D2187C" w14:textId="77777777" w:rsidTr="004960E4">
        <w:trPr>
          <w:cantSplit/>
        </w:trPr>
        <w:tc>
          <w:tcPr>
            <w:tcW w:w="1843" w:type="pct"/>
          </w:tcPr>
          <w:p w14:paraId="60E0BDCD" w14:textId="77777777" w:rsidR="00DB2CAE" w:rsidRPr="0013259D" w:rsidRDefault="00DB2CAE" w:rsidP="00176960">
            <w:r>
              <w:t>NJPT</w:t>
            </w:r>
          </w:p>
        </w:tc>
        <w:tc>
          <w:tcPr>
            <w:tcW w:w="3157" w:type="pct"/>
          </w:tcPr>
          <w:p w14:paraId="28DE50E5" w14:textId="77777777" w:rsidR="00DB2CAE" w:rsidRPr="0013259D" w:rsidRDefault="00DB2CAE" w:rsidP="00176960">
            <w:pPr>
              <w:rPr>
                <w:rFonts w:cs="Arial"/>
              </w:rPr>
            </w:pPr>
            <w:r w:rsidRPr="00DB2CAE">
              <w:rPr>
                <w:rFonts w:cs="Arial"/>
              </w:rPr>
              <w:t>The New Jobs Program Trial administered by NIAA</w:t>
            </w:r>
          </w:p>
        </w:tc>
      </w:tr>
      <w:tr w:rsidR="00176960" w:rsidRPr="009E3949" w14:paraId="43EFE404" w14:textId="77777777" w:rsidTr="004960E4">
        <w:trPr>
          <w:cantSplit/>
        </w:trPr>
        <w:tc>
          <w:tcPr>
            <w:tcW w:w="1843" w:type="pct"/>
          </w:tcPr>
          <w:p w14:paraId="5E024F32" w14:textId="77777777" w:rsidR="00176960" w:rsidRPr="00463AB3" w:rsidRDefault="00176960" w:rsidP="00176960">
            <w:r w:rsidRPr="0013259D">
              <w:t>Owners</w:t>
            </w:r>
          </w:p>
        </w:tc>
        <w:tc>
          <w:tcPr>
            <w:tcW w:w="3157" w:type="pct"/>
          </w:tcPr>
          <w:p w14:paraId="19A51EA3" w14:textId="77777777" w:rsidR="00176960" w:rsidRPr="004F7342" w:rsidRDefault="00176960" w:rsidP="00176960">
            <w:pPr>
              <w:rPr>
                <w:rFonts w:cs="Arial"/>
              </w:rPr>
            </w:pPr>
            <w:r w:rsidRPr="004F7342">
              <w:rPr>
                <w:rFonts w:cs="Arial"/>
              </w:rPr>
              <w:t xml:space="preserve">Depending </w:t>
            </w:r>
            <w:r>
              <w:rPr>
                <w:rFonts w:cs="Arial"/>
              </w:rPr>
              <w:t>on legal entity type, “Owners</w:t>
            </w:r>
            <w:r w:rsidRPr="004F7342">
              <w:rPr>
                <w:rFonts w:cs="Arial"/>
              </w:rPr>
              <w:t>” may be based on your:</w:t>
            </w:r>
          </w:p>
          <w:p w14:paraId="6E951526" w14:textId="77777777" w:rsidR="00176960" w:rsidRPr="0013259D" w:rsidRDefault="00176960" w:rsidP="00F0019A">
            <w:pPr>
              <w:pStyle w:val="NumberedList2"/>
              <w:numPr>
                <w:ilvl w:val="1"/>
                <w:numId w:val="22"/>
              </w:numPr>
              <w:spacing w:before="60"/>
              <w:rPr>
                <w:rFonts w:ascii="Arial" w:hAnsi="Arial" w:cs="Arial"/>
                <w:sz w:val="20"/>
                <w:szCs w:val="20"/>
              </w:rPr>
            </w:pPr>
            <w:r w:rsidRPr="0013259D">
              <w:rPr>
                <w:rFonts w:ascii="Arial" w:hAnsi="Arial" w:cs="Arial"/>
                <w:sz w:val="20"/>
                <w:szCs w:val="20"/>
              </w:rPr>
              <w:t>Members</w:t>
            </w:r>
            <w:r>
              <w:rPr>
                <w:rFonts w:ascii="Arial" w:hAnsi="Arial" w:cs="Arial"/>
                <w:sz w:val="20"/>
                <w:szCs w:val="20"/>
              </w:rPr>
              <w:t xml:space="preserve"> </w:t>
            </w:r>
            <w:r w:rsidRPr="0013259D">
              <w:rPr>
                <w:rFonts w:ascii="Arial" w:hAnsi="Arial" w:cs="Arial"/>
                <w:sz w:val="20"/>
                <w:szCs w:val="20"/>
              </w:rPr>
              <w:t>ORIC-Registered Indigenous Corporations, Companies Limited by Guarantee, Incorporated Associations</w:t>
            </w:r>
          </w:p>
          <w:p w14:paraId="68594D03" w14:textId="77777777" w:rsidR="00176960" w:rsidRPr="0013259D" w:rsidRDefault="00176960" w:rsidP="00F0019A">
            <w:pPr>
              <w:pStyle w:val="NumberedList2"/>
              <w:numPr>
                <w:ilvl w:val="1"/>
                <w:numId w:val="22"/>
              </w:numPr>
              <w:spacing w:before="60"/>
              <w:rPr>
                <w:rFonts w:ascii="Arial" w:hAnsi="Arial" w:cs="Arial"/>
                <w:sz w:val="20"/>
                <w:szCs w:val="20"/>
              </w:rPr>
            </w:pPr>
            <w:r w:rsidRPr="0013259D">
              <w:rPr>
                <w:rFonts w:ascii="Arial" w:hAnsi="Arial" w:cs="Arial"/>
                <w:sz w:val="20"/>
                <w:szCs w:val="20"/>
              </w:rPr>
              <w:t>Shareholders—Companies Limited by Shares, Cooperatives</w:t>
            </w:r>
          </w:p>
          <w:p w14:paraId="44EC4FD2" w14:textId="77777777" w:rsidR="00176960" w:rsidRPr="0013259D" w:rsidRDefault="00176960" w:rsidP="00F0019A">
            <w:pPr>
              <w:pStyle w:val="NumberedList2"/>
              <w:numPr>
                <w:ilvl w:val="1"/>
                <w:numId w:val="22"/>
              </w:numPr>
              <w:spacing w:before="60"/>
              <w:rPr>
                <w:rFonts w:ascii="Arial" w:hAnsi="Arial" w:cs="Arial"/>
                <w:sz w:val="20"/>
                <w:szCs w:val="20"/>
              </w:rPr>
            </w:pPr>
            <w:r w:rsidRPr="0013259D">
              <w:rPr>
                <w:rFonts w:ascii="Arial" w:hAnsi="Arial" w:cs="Arial"/>
                <w:sz w:val="20"/>
                <w:szCs w:val="20"/>
              </w:rPr>
              <w:t>Proprietors/partners—Sole traders, actual person partnerships</w:t>
            </w:r>
          </w:p>
          <w:p w14:paraId="38BEFC10" w14:textId="77777777" w:rsidR="00176960" w:rsidRPr="0013259D" w:rsidRDefault="00176960" w:rsidP="00F0019A">
            <w:pPr>
              <w:pStyle w:val="NumberedList2"/>
              <w:numPr>
                <w:ilvl w:val="1"/>
                <w:numId w:val="22"/>
              </w:numPr>
              <w:spacing w:before="60"/>
              <w:rPr>
                <w:rFonts w:ascii="Arial" w:hAnsi="Arial" w:cs="Arial"/>
                <w:sz w:val="20"/>
                <w:szCs w:val="20"/>
              </w:rPr>
            </w:pPr>
            <w:r w:rsidRPr="0013259D">
              <w:rPr>
                <w:rFonts w:ascii="Arial" w:hAnsi="Arial" w:cs="Arial"/>
                <w:sz w:val="20"/>
                <w:szCs w:val="20"/>
              </w:rPr>
              <w:t>Beneficiaries—Trusts</w:t>
            </w:r>
          </w:p>
          <w:p w14:paraId="11D8C450" w14:textId="77777777" w:rsidR="00176960" w:rsidRPr="0013259D" w:rsidRDefault="00176960" w:rsidP="00176960">
            <w:pPr>
              <w:rPr>
                <w:rFonts w:cs="Arial"/>
              </w:rPr>
            </w:pPr>
            <w:r w:rsidRPr="0013259D">
              <w:rPr>
                <w:rFonts w:cs="Arial"/>
              </w:rPr>
              <w:t>If you are a for-profit entity, ownership relates to those who draw a financial benefit from the entity (other than a salary/wage). For not-for-profits, “benefit” is a broader term that may include social/cultural benefits or maintaining an asset or rights (including native title).</w:t>
            </w:r>
          </w:p>
        </w:tc>
      </w:tr>
      <w:tr w:rsidR="00176960" w:rsidRPr="009E3949" w14:paraId="531050E0" w14:textId="77777777" w:rsidTr="004960E4">
        <w:trPr>
          <w:cantSplit/>
        </w:trPr>
        <w:tc>
          <w:tcPr>
            <w:tcW w:w="1843" w:type="pct"/>
          </w:tcPr>
          <w:p w14:paraId="650B34B5" w14:textId="77777777" w:rsidR="00176960" w:rsidRDefault="00176960" w:rsidP="00176960">
            <w:r w:rsidRPr="00463AB3">
              <w:t>PBS Program</w:t>
            </w:r>
          </w:p>
        </w:tc>
        <w:tc>
          <w:tcPr>
            <w:tcW w:w="3157" w:type="pct"/>
          </w:tcPr>
          <w:p w14:paraId="79F1F9FD" w14:textId="77777777" w:rsidR="00176960" w:rsidRPr="00710FAB" w:rsidRDefault="00176960" w:rsidP="00176960">
            <w:r>
              <w:rPr>
                <w:rFonts w:cs="Arial"/>
              </w:rPr>
              <w:t>D</w:t>
            </w:r>
            <w:r w:rsidRPr="00463AB3">
              <w:rPr>
                <w:rFonts w:cs="Arial"/>
              </w:rPr>
              <w:t xml:space="preserve">escribed within the entity’s </w:t>
            </w:r>
            <w:hyperlink r:id="rId86" w:history="1">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Grant Programs. A PBS Program may have more than one Grant Program associated with it, and each of these may have </w:t>
            </w:r>
            <w:r w:rsidRPr="00463AB3">
              <w:rPr>
                <w:rFonts w:cs="Arial"/>
              </w:rPr>
              <w:t>one or more grant opportunities</w:t>
            </w:r>
            <w:r>
              <w:rPr>
                <w:rFonts w:cs="Arial"/>
              </w:rPr>
              <w:t>.</w:t>
            </w:r>
          </w:p>
        </w:tc>
      </w:tr>
      <w:tr w:rsidR="00176960" w:rsidRPr="009E3949" w14:paraId="16CE7E26" w14:textId="77777777" w:rsidTr="004960E4">
        <w:trPr>
          <w:cantSplit/>
        </w:trPr>
        <w:tc>
          <w:tcPr>
            <w:tcW w:w="1843" w:type="pct"/>
          </w:tcPr>
          <w:p w14:paraId="33FB85DB" w14:textId="77777777" w:rsidR="00176960" w:rsidRDefault="00176960" w:rsidP="00176960">
            <w:r>
              <w:rPr>
                <w:rFonts w:cs="Arial"/>
              </w:rPr>
              <w:t>Remote</w:t>
            </w:r>
          </w:p>
        </w:tc>
        <w:tc>
          <w:tcPr>
            <w:tcW w:w="3157" w:type="pct"/>
          </w:tcPr>
          <w:p w14:paraId="534AEC4A" w14:textId="77777777" w:rsidR="00176960" w:rsidRPr="00BE76E2" w:rsidRDefault="00176960" w:rsidP="00176960">
            <w:pPr>
              <w:rPr>
                <w:rFonts w:cs="Arial"/>
              </w:rPr>
            </w:pPr>
            <w:r>
              <w:rPr>
                <w:rFonts w:cs="Arial"/>
              </w:rPr>
              <w:t>The NIAA</w:t>
            </w:r>
            <w:r w:rsidRPr="3E969A75">
              <w:rPr>
                <w:rFonts w:cs="Arial"/>
              </w:rPr>
              <w:t xml:space="preserve"> generally applies the </w:t>
            </w:r>
            <w:hyperlink r:id="rId87">
              <w:r w:rsidRPr="3E969A75">
                <w:rPr>
                  <w:rStyle w:val="Hyperlink"/>
                  <w:rFonts w:cs="Arial"/>
                </w:rPr>
                <w:t>Accessibility/Remoteness Index of Australia (ARIA)+</w:t>
              </w:r>
            </w:hyperlink>
            <w:r w:rsidRPr="3E969A75">
              <w:rPr>
                <w:rFonts w:cs="Arial"/>
              </w:rPr>
              <w:t xml:space="preserve"> to define remote areas, except where otherwise indicated. </w:t>
            </w:r>
            <w:r w:rsidRPr="00BE76E2">
              <w:rPr>
                <w:rFonts w:cs="Arial"/>
              </w:rPr>
              <w:t xml:space="preserve">ARIA is widely accepted as Australia's most authoritative geographic measure of remoteness. ARIA measures the remoteness of a populated locality by its physical distance by road to the nearest urban centre. </w:t>
            </w:r>
          </w:p>
          <w:p w14:paraId="7C57A287" w14:textId="77777777" w:rsidR="00176960" w:rsidRPr="00BE76E2" w:rsidRDefault="00176960" w:rsidP="00176960">
            <w:pPr>
              <w:rPr>
                <w:rFonts w:cs="Arial"/>
              </w:rPr>
            </w:pPr>
            <w:r>
              <w:rPr>
                <w:rFonts w:cs="Arial"/>
              </w:rPr>
              <w:t>Please see the map at Figure A</w:t>
            </w:r>
            <w:r w:rsidRPr="00BE76E2">
              <w:rPr>
                <w:rFonts w:cs="Arial"/>
              </w:rPr>
              <w:t xml:space="preserve"> for a geographic representation of remote areas defined under ARIA. </w:t>
            </w:r>
          </w:p>
          <w:p w14:paraId="49031878" w14:textId="77777777" w:rsidR="00176960" w:rsidRDefault="00176960" w:rsidP="00176960">
            <w:r w:rsidRPr="00BE76E2">
              <w:rPr>
                <w:rFonts w:cs="Arial"/>
              </w:rPr>
              <w:t xml:space="preserve">The </w:t>
            </w:r>
            <w:r>
              <w:rPr>
                <w:rFonts w:cs="Arial"/>
              </w:rPr>
              <w:t>NIAA</w:t>
            </w:r>
            <w:r w:rsidRPr="00BE76E2">
              <w:rPr>
                <w:rFonts w:cs="Arial"/>
              </w:rPr>
              <w:t xml:space="preserve"> recognises there are some communities located within inner or outer regional areas that may be considered remote that fall outside the definition of remote explained above. These may be communities that have limited access to government services or standards of infrastructure.</w:t>
            </w:r>
          </w:p>
        </w:tc>
      </w:tr>
      <w:tr w:rsidR="00176960" w:rsidRPr="009E3949" w14:paraId="4C61CD67" w14:textId="77777777" w:rsidTr="004960E4">
        <w:trPr>
          <w:cantSplit/>
        </w:trPr>
        <w:tc>
          <w:tcPr>
            <w:tcW w:w="1843" w:type="pct"/>
          </w:tcPr>
          <w:p w14:paraId="0ACA4762" w14:textId="77777777" w:rsidR="00176960" w:rsidRPr="001B21A4" w:rsidRDefault="00176960" w:rsidP="00176960">
            <w:r>
              <w:t>S</w:t>
            </w:r>
            <w:r w:rsidRPr="001B21A4">
              <w:t>election process</w:t>
            </w:r>
          </w:p>
        </w:tc>
        <w:tc>
          <w:tcPr>
            <w:tcW w:w="3157" w:type="pct"/>
          </w:tcPr>
          <w:p w14:paraId="0D212A56" w14:textId="77777777" w:rsidR="00176960" w:rsidRPr="00710FAB" w:rsidRDefault="00176960" w:rsidP="00176960">
            <w:r>
              <w:t>T</w:t>
            </w:r>
            <w:r w:rsidRPr="00710FAB">
              <w:t xml:space="preserve">he method used to select potential grantees. This process may involve comparative assessment of applications or the assessment of applications against the eligibility criteria and/or </w:t>
            </w:r>
            <w:r>
              <w:t>the assessment criteria.</w:t>
            </w:r>
          </w:p>
        </w:tc>
      </w:tr>
      <w:tr w:rsidR="00176960" w:rsidRPr="009E3949" w14:paraId="479BC4AC" w14:textId="77777777" w:rsidTr="004960E4">
        <w:trPr>
          <w:cantSplit/>
        </w:trPr>
        <w:tc>
          <w:tcPr>
            <w:tcW w:w="1843" w:type="pct"/>
          </w:tcPr>
          <w:p w14:paraId="5F11D00B" w14:textId="77777777" w:rsidR="00176960" w:rsidRPr="001B21A4" w:rsidRDefault="00176960" w:rsidP="00176960">
            <w:r>
              <w:t xml:space="preserve">Value with relevant </w:t>
            </w:r>
            <w:r w:rsidRPr="00274AE2">
              <w:t>money</w:t>
            </w:r>
          </w:p>
        </w:tc>
        <w:tc>
          <w:tcPr>
            <w:tcW w:w="3157" w:type="pct"/>
          </w:tcPr>
          <w:p w14:paraId="496717DA" w14:textId="77777777" w:rsidR="00176960" w:rsidRPr="00274AE2" w:rsidRDefault="00176960" w:rsidP="00176960">
            <w:r>
              <w:t>J</w:t>
            </w:r>
            <w:r w:rsidRPr="00274AE2">
              <w:t xml:space="preserve">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130AE894" w14:textId="77777777" w:rsidR="00176960" w:rsidRPr="00274AE2" w:rsidRDefault="00176960" w:rsidP="00176960">
            <w:pPr>
              <w:spacing w:before="0" w:after="40" w:line="240" w:lineRule="auto"/>
            </w:pPr>
            <w:r w:rsidRPr="00274AE2">
              <w:t>When administering a grant opportunity, an official should consider the relevant financial and non-financial costs and benefits of each proposal including, but not limited to:</w:t>
            </w:r>
          </w:p>
          <w:p w14:paraId="24893C33" w14:textId="77777777" w:rsidR="00176960" w:rsidRPr="00274AE2" w:rsidRDefault="00176960" w:rsidP="00F0019A">
            <w:pPr>
              <w:numPr>
                <w:ilvl w:val="0"/>
                <w:numId w:val="16"/>
              </w:numPr>
              <w:spacing w:before="0" w:after="40" w:line="240" w:lineRule="auto"/>
              <w:ind w:left="342" w:hanging="342"/>
              <w:rPr>
                <w:rFonts w:cs="Arial"/>
                <w:lang w:eastAsia="en-AU"/>
              </w:rPr>
            </w:pPr>
            <w:r w:rsidRPr="00274AE2">
              <w:rPr>
                <w:rFonts w:cs="Arial"/>
                <w:lang w:eastAsia="en-AU"/>
              </w:rPr>
              <w:t>the quality of the project proposal and activities;</w:t>
            </w:r>
          </w:p>
          <w:p w14:paraId="3FD7407A" w14:textId="77777777" w:rsidR="00176960" w:rsidRPr="00274AE2" w:rsidRDefault="00176960" w:rsidP="00F0019A">
            <w:pPr>
              <w:numPr>
                <w:ilvl w:val="0"/>
                <w:numId w:val="16"/>
              </w:numPr>
              <w:spacing w:before="0" w:after="40" w:line="240" w:lineRule="auto"/>
              <w:ind w:left="342" w:hanging="342"/>
              <w:rPr>
                <w:rFonts w:cs="Arial"/>
                <w:lang w:eastAsia="en-AU"/>
              </w:rPr>
            </w:pPr>
            <w:r w:rsidRPr="00274AE2">
              <w:rPr>
                <w:rFonts w:cs="Arial"/>
                <w:lang w:eastAsia="en-AU"/>
              </w:rPr>
              <w:t>fitness for purpose of the proposal in contributing to government objectives;</w:t>
            </w:r>
          </w:p>
          <w:p w14:paraId="3FD15AE4" w14:textId="77777777" w:rsidR="00176960" w:rsidRPr="00D57F95" w:rsidRDefault="00176960" w:rsidP="00F0019A">
            <w:pPr>
              <w:numPr>
                <w:ilvl w:val="0"/>
                <w:numId w:val="16"/>
              </w:numPr>
              <w:spacing w:before="0" w:after="40" w:line="240" w:lineRule="auto"/>
              <w:ind w:left="342" w:hanging="342"/>
            </w:pPr>
            <w:r w:rsidRPr="00274AE2">
              <w:rPr>
                <w:rFonts w:cs="Arial"/>
                <w:lang w:eastAsia="en-AU"/>
              </w:rPr>
              <w:t>that the absence of a grant is likely to prevent the grantee and government’s outcomes being achieved; and</w:t>
            </w:r>
          </w:p>
          <w:p w14:paraId="5D98BD1C" w14:textId="77777777" w:rsidR="00176960" w:rsidRPr="00710FAB" w:rsidRDefault="00176960" w:rsidP="00F0019A">
            <w:pPr>
              <w:numPr>
                <w:ilvl w:val="0"/>
                <w:numId w:val="16"/>
              </w:numPr>
              <w:spacing w:before="0" w:after="40" w:line="240" w:lineRule="auto"/>
              <w:ind w:left="342" w:hanging="342"/>
            </w:pPr>
            <w:r w:rsidRPr="00274AE2">
              <w:rPr>
                <w:rFonts w:cs="Arial"/>
                <w:lang w:eastAsia="en-AU"/>
              </w:rPr>
              <w:t>the potential grantee’s relevant experience and performance history</w:t>
            </w:r>
            <w:r w:rsidRPr="00274AE2">
              <w:rPr>
                <w:rFonts w:ascii="Times New Roman" w:hAnsi="Times New Roman"/>
                <w:sz w:val="24"/>
                <w:szCs w:val="24"/>
                <w:lang w:val="en" w:eastAsia="en-AU"/>
              </w:rPr>
              <w:t>.</w:t>
            </w:r>
          </w:p>
        </w:tc>
      </w:tr>
    </w:tbl>
    <w:p w14:paraId="3DD4CABC" w14:textId="77777777" w:rsidR="00230A2B" w:rsidRDefault="00230A2B" w:rsidP="00230A2B"/>
    <w:p w14:paraId="27725661" w14:textId="77777777" w:rsidR="00843AF3" w:rsidRDefault="00843AF3" w:rsidP="00843AF3"/>
    <w:p w14:paraId="68689709" w14:textId="77777777" w:rsidR="00FF7478" w:rsidRDefault="00FF7478">
      <w:pPr>
        <w:sectPr w:rsidR="00FF7478" w:rsidSect="0002331D">
          <w:headerReference w:type="even" r:id="rId88"/>
          <w:headerReference w:type="default" r:id="rId89"/>
          <w:headerReference w:type="first" r:id="rId90"/>
          <w:pgSz w:w="11907" w:h="16840" w:code="9"/>
          <w:pgMar w:top="1418" w:right="1418" w:bottom="1276" w:left="1701" w:header="709" w:footer="709" w:gutter="0"/>
          <w:cols w:space="720"/>
          <w:docGrid w:linePitch="360"/>
        </w:sectPr>
      </w:pPr>
    </w:p>
    <w:p w14:paraId="0F771F45" w14:textId="77777777" w:rsidR="00230A2B" w:rsidRDefault="00230A2B" w:rsidP="00A4685F">
      <w:pPr>
        <w:pStyle w:val="Heading2"/>
      </w:pPr>
      <w:bookmarkStart w:id="141" w:name="_Toc170734169"/>
      <w:r>
        <w:t xml:space="preserve">Appendix </w:t>
      </w:r>
      <w:r w:rsidR="00182EAC">
        <w:t>A</w:t>
      </w:r>
      <w:r>
        <w:t xml:space="preserve">. </w:t>
      </w:r>
      <w:r w:rsidR="007246F3">
        <w:t>Indigenous Advancement Strategy (</w:t>
      </w:r>
      <w:r w:rsidR="003B6C9C">
        <w:t>IAS</w:t>
      </w:r>
      <w:r w:rsidR="007246F3">
        <w:t>)</w:t>
      </w:r>
      <w:r w:rsidR="003B6C9C">
        <w:t xml:space="preserve"> Program Information</w:t>
      </w:r>
      <w:bookmarkEnd w:id="141"/>
    </w:p>
    <w:p w14:paraId="67F75C3A" w14:textId="77777777" w:rsidR="003B6C9C" w:rsidRPr="007246F3" w:rsidRDefault="003B6C9C" w:rsidP="007246F3">
      <w:pPr>
        <w:rPr>
          <w:rFonts w:cs="Arial"/>
          <w:b/>
          <w:color w:val="244061"/>
          <w:sz w:val="28"/>
          <w:szCs w:val="28"/>
        </w:rPr>
      </w:pPr>
      <w:bookmarkStart w:id="142" w:name="_Toc112150677"/>
      <w:bookmarkStart w:id="143" w:name="_Toc139135081"/>
      <w:r w:rsidRPr="007246F3">
        <w:rPr>
          <w:rFonts w:cs="Arial"/>
          <w:b/>
          <w:color w:val="244061"/>
          <w:sz w:val="28"/>
          <w:szCs w:val="28"/>
        </w:rPr>
        <w:t xml:space="preserve">About the </w:t>
      </w:r>
      <w:bookmarkEnd w:id="142"/>
      <w:bookmarkEnd w:id="143"/>
      <w:r w:rsidR="007246F3">
        <w:rPr>
          <w:rFonts w:cs="Arial"/>
          <w:b/>
          <w:color w:val="244061"/>
          <w:sz w:val="28"/>
          <w:szCs w:val="28"/>
        </w:rPr>
        <w:t>IAS</w:t>
      </w:r>
      <w:r w:rsidRPr="007246F3">
        <w:rPr>
          <w:rFonts w:cs="Arial"/>
          <w:b/>
          <w:color w:val="244061"/>
          <w:sz w:val="28"/>
          <w:szCs w:val="28"/>
        </w:rPr>
        <w:t xml:space="preserve"> </w:t>
      </w:r>
    </w:p>
    <w:p w14:paraId="179A05D3" w14:textId="77777777" w:rsidR="003B6C9C" w:rsidRPr="004F7342" w:rsidRDefault="003B6C9C" w:rsidP="003B6C9C">
      <w:pPr>
        <w:spacing w:before="0" w:after="80" w:line="276" w:lineRule="auto"/>
        <w:rPr>
          <w:rFonts w:cs="Arial"/>
        </w:rPr>
      </w:pPr>
      <w:r>
        <w:rPr>
          <w:rFonts w:cs="Arial"/>
        </w:rPr>
        <w:t xml:space="preserve">The </w:t>
      </w:r>
      <w:r w:rsidR="007246F3">
        <w:rPr>
          <w:rFonts w:cs="Arial"/>
        </w:rPr>
        <w:t>IAS</w:t>
      </w:r>
      <w:r>
        <w:rPr>
          <w:rFonts w:cs="Arial"/>
        </w:rPr>
        <w:t xml:space="preserve"> </w:t>
      </w:r>
      <w:r w:rsidRPr="004F7342">
        <w:rPr>
          <w:rFonts w:cs="Arial"/>
        </w:rPr>
        <w:t xml:space="preserve">is </w:t>
      </w:r>
      <w:r>
        <w:rPr>
          <w:rFonts w:cs="Arial"/>
        </w:rPr>
        <w:t>one</w:t>
      </w:r>
      <w:r w:rsidRPr="004F7342">
        <w:rPr>
          <w:rFonts w:cs="Arial"/>
        </w:rPr>
        <w:t xml:space="preserve"> way the Australian Government funds and delivers programs for</w:t>
      </w:r>
      <w:r>
        <w:rPr>
          <w:rFonts w:cs="Arial"/>
        </w:rPr>
        <w:t xml:space="preserve"> </w:t>
      </w:r>
      <w:r w:rsidR="00840A8D">
        <w:rPr>
          <w:rFonts w:cs="Arial"/>
        </w:rPr>
        <w:t>Indigenous</w:t>
      </w:r>
      <w:r>
        <w:rPr>
          <w:rFonts w:cs="Arial"/>
        </w:rPr>
        <w:t xml:space="preserve"> Australians, to address the targets under the National Agreement on Closing the Gap</w:t>
      </w:r>
      <w:r w:rsidRPr="004F7342">
        <w:rPr>
          <w:rFonts w:cs="Arial"/>
        </w:rPr>
        <w:t xml:space="preserve">. There are a number of grant opportunities under the IAS, including </w:t>
      </w:r>
      <w:r>
        <w:rPr>
          <w:rFonts w:cs="Arial"/>
        </w:rPr>
        <w:t>the g</w:t>
      </w:r>
      <w:r w:rsidRPr="004F7342">
        <w:rPr>
          <w:rFonts w:cs="Arial"/>
        </w:rPr>
        <w:t>rants</w:t>
      </w:r>
      <w:r>
        <w:rPr>
          <w:rFonts w:cs="Arial"/>
        </w:rPr>
        <w:t xml:space="preserve"> process</w:t>
      </w:r>
      <w:r w:rsidRPr="004F7342">
        <w:rPr>
          <w:rFonts w:cs="Arial"/>
        </w:rPr>
        <w:t xml:space="preserve"> outlined in these </w:t>
      </w:r>
      <w:r>
        <w:rPr>
          <w:rFonts w:cs="Arial"/>
        </w:rPr>
        <w:t>g</w:t>
      </w:r>
      <w:r w:rsidRPr="004F7342">
        <w:rPr>
          <w:rFonts w:cs="Arial"/>
        </w:rPr>
        <w:t>uidelines.</w:t>
      </w:r>
      <w:r>
        <w:rPr>
          <w:rFonts w:cs="Arial"/>
        </w:rPr>
        <w:t xml:space="preserve"> </w:t>
      </w:r>
    </w:p>
    <w:p w14:paraId="0ADE2096" w14:textId="77777777" w:rsidR="003B6C9C" w:rsidRDefault="003B6C9C" w:rsidP="003B6C9C">
      <w:pPr>
        <w:spacing w:line="276" w:lineRule="auto"/>
        <w:rPr>
          <w:rFonts w:cs="Arial"/>
          <w:i/>
        </w:rPr>
      </w:pPr>
      <w:r w:rsidRPr="004F7342">
        <w:rPr>
          <w:rFonts w:cs="Arial"/>
        </w:rPr>
        <w:t xml:space="preserve">The IAS contributes to the </w:t>
      </w:r>
      <w:r w:rsidR="00FE6C44">
        <w:rPr>
          <w:rFonts w:cs="Arial"/>
        </w:rPr>
        <w:t>NIAA</w:t>
      </w:r>
      <w:r>
        <w:rPr>
          <w:rFonts w:cs="Arial"/>
        </w:rPr>
        <w:t>’s Outcome 1</w:t>
      </w:r>
      <w:r w:rsidRPr="004F7342">
        <w:rPr>
          <w:rFonts w:cs="Arial"/>
        </w:rPr>
        <w:t xml:space="preserve">: </w:t>
      </w:r>
      <w:r w:rsidRPr="004F7342">
        <w:rPr>
          <w:rFonts w:cs="Arial"/>
          <w:i/>
        </w:rPr>
        <w:t>Indigenous</w:t>
      </w:r>
      <w:r>
        <w:rPr>
          <w:rFonts w:cs="Arial"/>
          <w:i/>
        </w:rPr>
        <w:t>—</w:t>
      </w:r>
      <w:r w:rsidRPr="004F7342">
        <w:rPr>
          <w:rFonts w:cs="Arial"/>
          <w:i/>
        </w:rPr>
        <w:t>Improve results for Indigenous Australians, including in relation to school attendance, employment and community safety, through delivering services and programs, and through measures that recognise the special place that Indigenous people</w:t>
      </w:r>
      <w:r>
        <w:rPr>
          <w:rFonts w:cs="Arial"/>
          <w:i/>
        </w:rPr>
        <w:t>s</w:t>
      </w:r>
      <w:r w:rsidRPr="004F7342">
        <w:rPr>
          <w:rFonts w:cs="Arial"/>
          <w:i/>
        </w:rPr>
        <w:t xml:space="preserve"> hold in this </w:t>
      </w:r>
      <w:r>
        <w:rPr>
          <w:rFonts w:cs="Arial"/>
          <w:i/>
        </w:rPr>
        <w:t>n</w:t>
      </w:r>
      <w:r w:rsidRPr="004F7342">
        <w:rPr>
          <w:rFonts w:cs="Arial"/>
          <w:i/>
        </w:rPr>
        <w:t>ation.</w:t>
      </w:r>
    </w:p>
    <w:p w14:paraId="0694BF10" w14:textId="77777777" w:rsidR="003B6C9C" w:rsidRDefault="003B6C9C" w:rsidP="003B6C9C">
      <w:r>
        <w:t>Under the IAS, grant opportunities are available under the following six programs:</w:t>
      </w:r>
    </w:p>
    <w:p w14:paraId="13726E81" w14:textId="77777777" w:rsidR="003B6C9C" w:rsidRPr="009E18E6" w:rsidRDefault="003B6C9C" w:rsidP="003B6C9C">
      <w:pPr>
        <w:pStyle w:val="ListBullet"/>
        <w:numPr>
          <w:ilvl w:val="0"/>
          <w:numId w:val="7"/>
        </w:numPr>
      </w:pPr>
      <w:r>
        <w:t>1.1 Jobs</w:t>
      </w:r>
      <w:r w:rsidRPr="009E18E6">
        <w:t>, Land and Economy</w:t>
      </w:r>
    </w:p>
    <w:p w14:paraId="28060C5A" w14:textId="77777777" w:rsidR="003B6C9C" w:rsidRPr="009E18E6" w:rsidRDefault="003B6C9C" w:rsidP="003B6C9C">
      <w:pPr>
        <w:pStyle w:val="ListBullet"/>
        <w:numPr>
          <w:ilvl w:val="0"/>
          <w:numId w:val="7"/>
        </w:numPr>
      </w:pPr>
      <w:r w:rsidRPr="009E18E6">
        <w:t>1.2 Children and Schooling</w:t>
      </w:r>
    </w:p>
    <w:p w14:paraId="0B14A919" w14:textId="77777777" w:rsidR="003B6C9C" w:rsidRPr="009E18E6" w:rsidRDefault="003B6C9C" w:rsidP="003B6C9C">
      <w:pPr>
        <w:pStyle w:val="ListBullet"/>
        <w:numPr>
          <w:ilvl w:val="0"/>
          <w:numId w:val="7"/>
        </w:numPr>
      </w:pPr>
      <w:r w:rsidRPr="009E18E6">
        <w:t>1.3 Safety and Wellbeing</w:t>
      </w:r>
    </w:p>
    <w:p w14:paraId="32A7D3BD" w14:textId="77777777" w:rsidR="003B6C9C" w:rsidRPr="009E18E6" w:rsidRDefault="003B6C9C" w:rsidP="003B6C9C">
      <w:pPr>
        <w:pStyle w:val="ListBullet"/>
        <w:numPr>
          <w:ilvl w:val="0"/>
          <w:numId w:val="7"/>
        </w:numPr>
      </w:pPr>
      <w:r w:rsidRPr="009E18E6">
        <w:t>1.4 Culture and Capability</w:t>
      </w:r>
    </w:p>
    <w:p w14:paraId="6B72C137" w14:textId="77777777" w:rsidR="003B6C9C" w:rsidRPr="009E18E6" w:rsidRDefault="003B6C9C" w:rsidP="003B6C9C">
      <w:pPr>
        <w:pStyle w:val="ListBullet"/>
        <w:numPr>
          <w:ilvl w:val="0"/>
          <w:numId w:val="7"/>
        </w:numPr>
      </w:pPr>
      <w:r w:rsidRPr="009E18E6">
        <w:t>1.5 Remote Australia Strategies</w:t>
      </w:r>
    </w:p>
    <w:p w14:paraId="2C6B46BB" w14:textId="77777777" w:rsidR="003B6C9C" w:rsidRPr="003416FA" w:rsidRDefault="003B6C9C" w:rsidP="003B6C9C">
      <w:pPr>
        <w:pStyle w:val="ListBullet"/>
        <w:numPr>
          <w:ilvl w:val="0"/>
          <w:numId w:val="7"/>
        </w:numPr>
        <w:spacing w:after="120"/>
        <w:ind w:left="357" w:hanging="357"/>
        <w:rPr>
          <w:iCs w:val="0"/>
        </w:rPr>
      </w:pPr>
      <w:r w:rsidRPr="009E18E6">
        <w:t xml:space="preserve">1.6 Research </w:t>
      </w:r>
      <w:r>
        <w:t>and Evaluation</w:t>
      </w:r>
    </w:p>
    <w:p w14:paraId="5270AB5E" w14:textId="77777777" w:rsidR="003B6C9C" w:rsidRPr="004B1419" w:rsidRDefault="003B6C9C" w:rsidP="00A4685F">
      <w:pPr>
        <w:pStyle w:val="Heading2"/>
      </w:pPr>
      <w:bookmarkStart w:id="144" w:name="_Toc170734170"/>
      <w:r w:rsidRPr="004B1419">
        <w:t>Program 1.1 Jobs, Land and Economy</w:t>
      </w:r>
      <w:bookmarkEnd w:id="144"/>
    </w:p>
    <w:p w14:paraId="476B07F2" w14:textId="77777777" w:rsidR="003B6C9C" w:rsidRPr="004B1419" w:rsidRDefault="003B6C9C" w:rsidP="00A4685F">
      <w:pPr>
        <w:pStyle w:val="Heading3"/>
      </w:pPr>
      <w:bookmarkStart w:id="145" w:name="_Toc170734171"/>
      <w:r w:rsidRPr="004B1419">
        <w:t>Program objectives</w:t>
      </w:r>
      <w:bookmarkEnd w:id="145"/>
    </w:p>
    <w:p w14:paraId="701C9DBC" w14:textId="77777777" w:rsidR="003B6C9C" w:rsidRPr="004B1419" w:rsidRDefault="003B6C9C" w:rsidP="003B6C9C">
      <w:pPr>
        <w:contextualSpacing/>
        <w:rPr>
          <w:rFonts w:cs="Arial"/>
        </w:rPr>
      </w:pPr>
      <w:r w:rsidRPr="004B1419">
        <w:rPr>
          <w:rFonts w:cs="Arial"/>
        </w:rPr>
        <w:t>The objectives of the program are to:</w:t>
      </w:r>
    </w:p>
    <w:p w14:paraId="14DC38CD" w14:textId="77777777" w:rsidR="003B6C9C" w:rsidRPr="004B1419" w:rsidRDefault="003B6C9C" w:rsidP="00F0019A">
      <w:pPr>
        <w:pStyle w:val="ListBullet"/>
        <w:numPr>
          <w:ilvl w:val="0"/>
          <w:numId w:val="28"/>
        </w:numPr>
        <w:spacing w:line="276" w:lineRule="auto"/>
        <w:rPr>
          <w:rFonts w:cs="Arial"/>
        </w:rPr>
      </w:pPr>
      <w:r w:rsidRPr="004B1419">
        <w:rPr>
          <w:rFonts w:cs="Arial"/>
        </w:rPr>
        <w:t xml:space="preserve">Support </w:t>
      </w:r>
      <w:r w:rsidR="00840A8D">
        <w:rPr>
          <w:rFonts w:cs="Arial"/>
        </w:rPr>
        <w:t>Indigenous</w:t>
      </w:r>
      <w:r w:rsidRPr="002B60EB">
        <w:rPr>
          <w:rFonts w:cs="Arial"/>
        </w:rPr>
        <w:t xml:space="preserve"> </w:t>
      </w:r>
      <w:r w:rsidRPr="004B1419">
        <w:rPr>
          <w:rFonts w:cs="Arial"/>
        </w:rPr>
        <w:t>peoples to find and remain in sustainable work.</w:t>
      </w:r>
    </w:p>
    <w:p w14:paraId="5F7BBB8E" w14:textId="77777777" w:rsidR="003B6C9C" w:rsidRPr="004B1419" w:rsidRDefault="003B6C9C" w:rsidP="00F0019A">
      <w:pPr>
        <w:pStyle w:val="ListBullet"/>
        <w:numPr>
          <w:ilvl w:val="0"/>
          <w:numId w:val="28"/>
        </w:numPr>
        <w:spacing w:line="276" w:lineRule="auto"/>
        <w:rPr>
          <w:rFonts w:cs="Arial"/>
        </w:rPr>
      </w:pPr>
      <w:r w:rsidRPr="004B1419">
        <w:rPr>
          <w:rFonts w:cs="Arial"/>
        </w:rPr>
        <w:t xml:space="preserve">Support remote job seekers’ work readiness, through community activities and work experience. </w:t>
      </w:r>
    </w:p>
    <w:p w14:paraId="28D7216F" w14:textId="77777777" w:rsidR="003B6C9C" w:rsidRPr="004B1419" w:rsidRDefault="003B6C9C" w:rsidP="00F0019A">
      <w:pPr>
        <w:pStyle w:val="ListBullet"/>
        <w:numPr>
          <w:ilvl w:val="0"/>
          <w:numId w:val="28"/>
        </w:numPr>
        <w:spacing w:line="276" w:lineRule="auto"/>
        <w:rPr>
          <w:rFonts w:cs="Arial"/>
        </w:rPr>
      </w:pPr>
      <w:r w:rsidRPr="004B1419">
        <w:rPr>
          <w:rFonts w:cs="Arial"/>
        </w:rPr>
        <w:t xml:space="preserve">Foster </w:t>
      </w:r>
      <w:r w:rsidR="00840A8D">
        <w:rPr>
          <w:rFonts w:cs="Arial"/>
        </w:rPr>
        <w:t>Indigenous</w:t>
      </w:r>
      <w:r>
        <w:rPr>
          <w:rFonts w:cs="Arial"/>
        </w:rPr>
        <w:t xml:space="preserve"> </w:t>
      </w:r>
      <w:r w:rsidRPr="004B1419">
        <w:rPr>
          <w:rFonts w:cs="Arial"/>
        </w:rPr>
        <w:t>business.</w:t>
      </w:r>
    </w:p>
    <w:p w14:paraId="602A79E9" w14:textId="77777777" w:rsidR="003B6C9C" w:rsidRPr="004B1419" w:rsidRDefault="003B6C9C" w:rsidP="00F0019A">
      <w:pPr>
        <w:pStyle w:val="ListBullet"/>
        <w:numPr>
          <w:ilvl w:val="0"/>
          <w:numId w:val="28"/>
        </w:numPr>
        <w:spacing w:line="276" w:lineRule="auto"/>
        <w:rPr>
          <w:rFonts w:cs="Arial"/>
        </w:rPr>
      </w:pPr>
      <w:r w:rsidRPr="004B1419">
        <w:rPr>
          <w:rFonts w:cs="Arial"/>
        </w:rPr>
        <w:t xml:space="preserve">Assist </w:t>
      </w:r>
      <w:r w:rsidR="00840A8D">
        <w:t>Indigenous</w:t>
      </w:r>
      <w:r>
        <w:t xml:space="preserve"> </w:t>
      </w:r>
      <w:r w:rsidRPr="004B1419">
        <w:rPr>
          <w:rFonts w:cs="Arial"/>
        </w:rPr>
        <w:t>peoples to generate economic and social benefit from natural and cultural assets, including through the effective and sustainable management of their land.</w:t>
      </w:r>
    </w:p>
    <w:p w14:paraId="5893D0A3" w14:textId="77777777" w:rsidR="003B6C9C" w:rsidRPr="004B1419" w:rsidRDefault="003B6C9C" w:rsidP="00F0019A">
      <w:pPr>
        <w:pStyle w:val="ListBullet"/>
        <w:numPr>
          <w:ilvl w:val="0"/>
          <w:numId w:val="28"/>
        </w:numPr>
        <w:spacing w:line="276" w:lineRule="auto"/>
        <w:rPr>
          <w:rFonts w:cs="Arial"/>
        </w:rPr>
      </w:pPr>
      <w:r w:rsidRPr="004B1419">
        <w:rPr>
          <w:rFonts w:cs="Arial"/>
        </w:rPr>
        <w:t xml:space="preserve">Assist </w:t>
      </w:r>
      <w:r w:rsidR="00840A8D">
        <w:t>Indigenous</w:t>
      </w:r>
      <w:r>
        <w:t xml:space="preserve"> </w:t>
      </w:r>
      <w:r w:rsidRPr="004B1419">
        <w:rPr>
          <w:rFonts w:cs="Arial"/>
        </w:rPr>
        <w:t>peoples to progress land and sea claims, and township leases under Commonwealth native title and land rights legislation.</w:t>
      </w:r>
    </w:p>
    <w:p w14:paraId="39B7D3C2" w14:textId="77777777" w:rsidR="003B6C9C" w:rsidRPr="004B1419" w:rsidRDefault="003B6C9C" w:rsidP="00A4685F">
      <w:pPr>
        <w:pStyle w:val="Heading3"/>
      </w:pPr>
      <w:bookmarkStart w:id="146" w:name="_Toc170734172"/>
      <w:r w:rsidRPr="004B1419">
        <w:t>Description</w:t>
      </w:r>
      <w:bookmarkEnd w:id="146"/>
    </w:p>
    <w:p w14:paraId="5C438B72" w14:textId="77777777" w:rsidR="003B6C9C" w:rsidRPr="004B1419" w:rsidRDefault="003B6C9C" w:rsidP="003B6C9C">
      <w:pPr>
        <w:contextualSpacing/>
        <w:rPr>
          <w:rFonts w:cs="Arial"/>
        </w:rPr>
      </w:pPr>
      <w:r w:rsidRPr="004B1419">
        <w:rPr>
          <w:rFonts w:cs="Arial"/>
        </w:rPr>
        <w:t xml:space="preserve">The Jobs, Land and Economy Program supports </w:t>
      </w:r>
      <w:r w:rsidR="00840A8D">
        <w:t>Indigenous</w:t>
      </w:r>
      <w:r>
        <w:t xml:space="preserve"> </w:t>
      </w:r>
      <w:r w:rsidRPr="004B1419">
        <w:rPr>
          <w:rFonts w:cs="Arial"/>
        </w:rPr>
        <w:t xml:space="preserve">Australians to overcome barriers to employment and economic participation. It does this by connecting </w:t>
      </w:r>
      <w:r w:rsidR="00840A8D">
        <w:t>Indigenous</w:t>
      </w:r>
      <w:r>
        <w:t xml:space="preserve"> </w:t>
      </w:r>
      <w:r w:rsidRPr="004B1419">
        <w:rPr>
          <w:rFonts w:cs="Arial"/>
        </w:rPr>
        <w:t xml:space="preserve">peoples with sustainable jobs; and ensuring remote job seekers participate in activities that provide both work-readiness experience and that contribute to the broader community. Another key support element is fostering </w:t>
      </w:r>
      <w:r w:rsidR="00840A8D">
        <w:rPr>
          <w:rFonts w:cs="Arial"/>
        </w:rPr>
        <w:t>Indigenous</w:t>
      </w:r>
      <w:r>
        <w:rPr>
          <w:rFonts w:cs="Arial"/>
        </w:rPr>
        <w:t xml:space="preserve"> </w:t>
      </w:r>
      <w:r w:rsidRPr="004B1419">
        <w:rPr>
          <w:rFonts w:cs="Arial"/>
        </w:rPr>
        <w:t xml:space="preserve">business and assisting </w:t>
      </w:r>
      <w:r w:rsidR="00840A8D">
        <w:t>Indigenous</w:t>
      </w:r>
      <w:r>
        <w:t xml:space="preserve"> </w:t>
      </w:r>
      <w:r w:rsidRPr="004B1419">
        <w:rPr>
          <w:rFonts w:cs="Arial"/>
        </w:rPr>
        <w:t>peoples</w:t>
      </w:r>
      <w:r w:rsidRPr="004B1419" w:rsidDel="00557CE6">
        <w:rPr>
          <w:rFonts w:cs="Arial"/>
        </w:rPr>
        <w:t xml:space="preserve"> </w:t>
      </w:r>
      <w:r w:rsidRPr="004B1419">
        <w:rPr>
          <w:rFonts w:cs="Arial"/>
        </w:rPr>
        <w:t xml:space="preserve">to generate economic and social benefits from natural and cultural assets, through the effective management of </w:t>
      </w:r>
      <w:r w:rsidR="00840A8D">
        <w:rPr>
          <w:rFonts w:cs="Arial"/>
        </w:rPr>
        <w:t>Indigenous</w:t>
      </w:r>
      <w:r w:rsidRPr="004B1419">
        <w:rPr>
          <w:rFonts w:cs="Arial"/>
        </w:rPr>
        <w:t xml:space="preserve">-owned land and seas and by supporting </w:t>
      </w:r>
      <w:r w:rsidR="00840A8D">
        <w:t>Indigenous</w:t>
      </w:r>
      <w:r>
        <w:t xml:space="preserve"> </w:t>
      </w:r>
      <w:r w:rsidRPr="004B1419">
        <w:rPr>
          <w:rFonts w:cs="Arial"/>
        </w:rPr>
        <w:t>peoples</w:t>
      </w:r>
      <w:r w:rsidRPr="004B1419" w:rsidDel="00557CE6">
        <w:rPr>
          <w:rFonts w:cs="Arial"/>
        </w:rPr>
        <w:t xml:space="preserve"> </w:t>
      </w:r>
      <w:r w:rsidRPr="004B1419">
        <w:rPr>
          <w:rFonts w:cs="Arial"/>
        </w:rPr>
        <w:t xml:space="preserve">to have their native title rights recognised. </w:t>
      </w:r>
    </w:p>
    <w:p w14:paraId="6E3395F3" w14:textId="77777777" w:rsidR="003B6C9C" w:rsidRPr="004B1419" w:rsidRDefault="003B6C9C" w:rsidP="003B6C9C">
      <w:pPr>
        <w:pStyle w:val="SingleLine"/>
        <w:rPr>
          <w:rFonts w:ascii="Arial" w:eastAsia="Times New Roman" w:hAnsi="Arial" w:cs="Arial"/>
          <w:sz w:val="20"/>
          <w:szCs w:val="20"/>
        </w:rPr>
      </w:pPr>
      <w:r w:rsidRPr="004B1419">
        <w:rPr>
          <w:rFonts w:ascii="Arial" w:eastAsia="Times New Roman" w:hAnsi="Arial" w:cs="Arial"/>
          <w:sz w:val="20"/>
          <w:szCs w:val="20"/>
        </w:rPr>
        <w:t xml:space="preserve">The </w:t>
      </w:r>
      <w:r>
        <w:rPr>
          <w:rFonts w:ascii="Arial" w:eastAsia="Times New Roman" w:hAnsi="Arial" w:cs="Arial"/>
          <w:sz w:val="20"/>
          <w:szCs w:val="20"/>
        </w:rPr>
        <w:t>p</w:t>
      </w:r>
      <w:r w:rsidRPr="004B1419">
        <w:rPr>
          <w:rFonts w:ascii="Arial" w:eastAsia="Times New Roman" w:hAnsi="Arial" w:cs="Arial"/>
          <w:sz w:val="20"/>
          <w:szCs w:val="20"/>
        </w:rPr>
        <w:t xml:space="preserve">rogram complements a range of state, territory and </w:t>
      </w:r>
      <w:r>
        <w:rPr>
          <w:rFonts w:ascii="Arial" w:eastAsia="Times New Roman" w:hAnsi="Arial" w:cs="Arial"/>
          <w:sz w:val="20"/>
          <w:szCs w:val="20"/>
        </w:rPr>
        <w:t>Australian Government</w:t>
      </w:r>
      <w:r w:rsidRPr="004B1419">
        <w:rPr>
          <w:rFonts w:ascii="Arial" w:eastAsia="Times New Roman" w:hAnsi="Arial" w:cs="Arial"/>
          <w:sz w:val="20"/>
          <w:szCs w:val="20"/>
        </w:rPr>
        <w:t xml:space="preserve"> programs, which also aim to improve </w:t>
      </w:r>
      <w:r w:rsidR="00840A8D">
        <w:rPr>
          <w:rFonts w:ascii="Arial" w:eastAsia="Times New Roman" w:hAnsi="Arial" w:cs="Arial"/>
          <w:sz w:val="20"/>
          <w:szCs w:val="20"/>
        </w:rPr>
        <w:t>Indigenous</w:t>
      </w:r>
      <w:r w:rsidRPr="00C6794F">
        <w:rPr>
          <w:rFonts w:ascii="Arial" w:eastAsia="Times New Roman" w:hAnsi="Arial" w:cs="Arial"/>
          <w:sz w:val="20"/>
          <w:szCs w:val="20"/>
        </w:rPr>
        <w:t xml:space="preserve"> </w:t>
      </w:r>
      <w:r w:rsidRPr="004B1419">
        <w:rPr>
          <w:rFonts w:ascii="Arial" w:eastAsia="Times New Roman" w:hAnsi="Arial" w:cs="Arial"/>
          <w:sz w:val="20"/>
          <w:szCs w:val="20"/>
        </w:rPr>
        <w:t xml:space="preserve">Australians’ employment outcomes and to support the development of </w:t>
      </w:r>
      <w:r>
        <w:rPr>
          <w:rFonts w:cs="Arial"/>
        </w:rPr>
        <w:t>First Nations</w:t>
      </w:r>
      <w:r w:rsidR="00B035C6">
        <w:rPr>
          <w:rFonts w:cs="Arial"/>
        </w:rPr>
        <w:t xml:space="preserve"> </w:t>
      </w:r>
      <w:r w:rsidRPr="004B1419">
        <w:rPr>
          <w:rFonts w:ascii="Arial" w:eastAsia="Times New Roman" w:hAnsi="Arial" w:cs="Arial"/>
          <w:sz w:val="20"/>
          <w:szCs w:val="20"/>
        </w:rPr>
        <w:t xml:space="preserve">businesses, entrepreneurial skills and community economic participation. It does this by addressing gaps between these activities and targeting additional investment where it can maximise employment opportunities and economic outcomes for </w:t>
      </w:r>
      <w:r w:rsidR="00840A8D">
        <w:rPr>
          <w:rFonts w:ascii="Arial" w:eastAsia="Times New Roman" w:hAnsi="Arial" w:cs="Arial"/>
          <w:sz w:val="20"/>
          <w:szCs w:val="20"/>
        </w:rPr>
        <w:t>Indigenous</w:t>
      </w:r>
      <w:r w:rsidRPr="00C6794F">
        <w:rPr>
          <w:rFonts w:ascii="Arial" w:eastAsia="Times New Roman" w:hAnsi="Arial" w:cs="Arial"/>
          <w:sz w:val="20"/>
          <w:szCs w:val="20"/>
        </w:rPr>
        <w:t xml:space="preserve"> </w:t>
      </w:r>
      <w:r w:rsidRPr="004B1419">
        <w:rPr>
          <w:rFonts w:ascii="Arial" w:eastAsia="Times New Roman" w:hAnsi="Arial" w:cs="Arial"/>
          <w:sz w:val="20"/>
          <w:szCs w:val="20"/>
        </w:rPr>
        <w:t xml:space="preserve">peoples. The </w:t>
      </w:r>
      <w:r>
        <w:rPr>
          <w:rFonts w:ascii="Arial" w:eastAsia="Times New Roman" w:hAnsi="Arial" w:cs="Arial"/>
          <w:sz w:val="20"/>
          <w:szCs w:val="20"/>
        </w:rPr>
        <w:t>p</w:t>
      </w:r>
      <w:r w:rsidRPr="004B1419">
        <w:rPr>
          <w:rFonts w:ascii="Arial" w:eastAsia="Times New Roman" w:hAnsi="Arial" w:cs="Arial"/>
          <w:sz w:val="20"/>
          <w:szCs w:val="20"/>
        </w:rPr>
        <w:t>rogram may also provide funding for projects that address immediate need in community through small scale place based activities that align with IAS objectives.</w:t>
      </w:r>
    </w:p>
    <w:p w14:paraId="4C0C7EE4" w14:textId="77777777" w:rsidR="003B6C9C" w:rsidRPr="004B1419" w:rsidRDefault="003B6C9C" w:rsidP="00A4685F">
      <w:pPr>
        <w:pStyle w:val="Heading3"/>
      </w:pPr>
      <w:bookmarkStart w:id="147" w:name="_Toc170734173"/>
      <w:r w:rsidRPr="004B1419">
        <w:t>Program outcomes</w:t>
      </w:r>
      <w:bookmarkEnd w:id="147"/>
    </w:p>
    <w:p w14:paraId="166CD529" w14:textId="77777777" w:rsidR="003B6C9C" w:rsidRPr="004B1419" w:rsidRDefault="003B6C9C" w:rsidP="003B6C9C">
      <w:pPr>
        <w:rPr>
          <w:rFonts w:cs="Arial"/>
          <w:b/>
        </w:rPr>
      </w:pPr>
      <w:r w:rsidRPr="004B1419">
        <w:rPr>
          <w:rFonts w:cs="Arial"/>
        </w:rPr>
        <w:t>The desired outcomes of the Jobs, Land and Economy Program include:</w:t>
      </w:r>
    </w:p>
    <w:p w14:paraId="683A41AF" w14:textId="77777777" w:rsidR="003B6C9C" w:rsidRPr="004B1419" w:rsidRDefault="003B6C9C" w:rsidP="00F0019A">
      <w:pPr>
        <w:pStyle w:val="ListBullet"/>
        <w:numPr>
          <w:ilvl w:val="0"/>
          <w:numId w:val="29"/>
        </w:numPr>
        <w:spacing w:line="276" w:lineRule="auto"/>
        <w:rPr>
          <w:rFonts w:cs="Arial"/>
        </w:rPr>
      </w:pPr>
      <w:r w:rsidRPr="004B1419">
        <w:rPr>
          <w:rFonts w:cs="Arial"/>
        </w:rPr>
        <w:t xml:space="preserve">Increasing in employment and participation rates for </w:t>
      </w:r>
      <w:r w:rsidR="00840A8D">
        <w:t>Indigenous</w:t>
      </w:r>
      <w:r>
        <w:t xml:space="preserve"> </w:t>
      </w:r>
      <w:r w:rsidRPr="004B1419">
        <w:rPr>
          <w:rFonts w:cs="Arial"/>
        </w:rPr>
        <w:t>peoples.</w:t>
      </w:r>
    </w:p>
    <w:p w14:paraId="1DF6D4D5" w14:textId="77777777" w:rsidR="003B6C9C" w:rsidRPr="004B1419" w:rsidRDefault="003B6C9C" w:rsidP="00F0019A">
      <w:pPr>
        <w:pStyle w:val="ListBullet"/>
        <w:numPr>
          <w:ilvl w:val="0"/>
          <w:numId w:val="29"/>
        </w:numPr>
        <w:spacing w:line="276" w:lineRule="auto"/>
        <w:rPr>
          <w:rFonts w:cs="Arial"/>
        </w:rPr>
      </w:pPr>
      <w:r w:rsidRPr="004B1419">
        <w:rPr>
          <w:rFonts w:cs="Arial"/>
        </w:rPr>
        <w:t xml:space="preserve">Increasing the number of </w:t>
      </w:r>
      <w:r w:rsidR="00840A8D">
        <w:rPr>
          <w:rFonts w:cs="Arial"/>
        </w:rPr>
        <w:t>Indigenous</w:t>
      </w:r>
      <w:r w:rsidRPr="00C6794F">
        <w:rPr>
          <w:rFonts w:cs="Arial"/>
        </w:rPr>
        <w:t xml:space="preserve"> </w:t>
      </w:r>
      <w:r w:rsidRPr="004B1419">
        <w:rPr>
          <w:rFonts w:cs="Arial"/>
        </w:rPr>
        <w:t>participating in activities and work experience that build work-readiness and contribute to community.</w:t>
      </w:r>
    </w:p>
    <w:p w14:paraId="214FA554" w14:textId="77777777" w:rsidR="003B6C9C" w:rsidRPr="004B1419" w:rsidRDefault="003B6C9C" w:rsidP="00F0019A">
      <w:pPr>
        <w:pStyle w:val="ListBullet"/>
        <w:numPr>
          <w:ilvl w:val="0"/>
          <w:numId w:val="29"/>
        </w:numPr>
        <w:spacing w:line="276" w:lineRule="auto"/>
        <w:rPr>
          <w:rFonts w:cs="Arial"/>
        </w:rPr>
      </w:pPr>
      <w:r w:rsidRPr="004B1419">
        <w:rPr>
          <w:rFonts w:cs="Arial"/>
        </w:rPr>
        <w:t>Increasing the proportion of school/tertiary studen</w:t>
      </w:r>
      <w:r>
        <w:rPr>
          <w:rFonts w:cs="Arial"/>
        </w:rPr>
        <w:t xml:space="preserve">ts and graduates connecting to </w:t>
      </w:r>
      <w:r w:rsidRPr="004B1419">
        <w:rPr>
          <w:rFonts w:cs="Arial"/>
        </w:rPr>
        <w:t>employment through pathway activities including, but not limited to, school based traineeships and cadetships.</w:t>
      </w:r>
    </w:p>
    <w:p w14:paraId="078658F7" w14:textId="77777777" w:rsidR="003B6C9C" w:rsidRPr="004B1419" w:rsidRDefault="003B6C9C" w:rsidP="00F0019A">
      <w:pPr>
        <w:pStyle w:val="ListBullet"/>
        <w:numPr>
          <w:ilvl w:val="0"/>
          <w:numId w:val="29"/>
        </w:numPr>
        <w:spacing w:line="276" w:lineRule="auto"/>
        <w:rPr>
          <w:rFonts w:cs="Arial"/>
        </w:rPr>
      </w:pPr>
      <w:r w:rsidRPr="004B1419">
        <w:rPr>
          <w:rFonts w:cs="Arial"/>
        </w:rPr>
        <w:t xml:space="preserve">Increasing the number of </w:t>
      </w:r>
      <w:r w:rsidR="00840A8D">
        <w:rPr>
          <w:rFonts w:cs="Arial"/>
        </w:rPr>
        <w:t>Indigenous</w:t>
      </w:r>
      <w:r w:rsidRPr="00C6794F">
        <w:rPr>
          <w:rFonts w:cs="Arial"/>
        </w:rPr>
        <w:t xml:space="preserve"> </w:t>
      </w:r>
      <w:r w:rsidRPr="004B1419">
        <w:rPr>
          <w:rFonts w:cs="Arial"/>
        </w:rPr>
        <w:t>participants who reach 26 weeks and/or longer outcomes in employment.</w:t>
      </w:r>
    </w:p>
    <w:p w14:paraId="480FC037" w14:textId="77777777" w:rsidR="003B6C9C" w:rsidRPr="004B1419" w:rsidRDefault="003B6C9C" w:rsidP="00F0019A">
      <w:pPr>
        <w:pStyle w:val="ListBullet"/>
        <w:numPr>
          <w:ilvl w:val="0"/>
          <w:numId w:val="29"/>
        </w:numPr>
        <w:spacing w:line="276" w:lineRule="auto"/>
        <w:rPr>
          <w:rFonts w:cs="Arial"/>
        </w:rPr>
      </w:pPr>
      <w:r w:rsidRPr="004B1419">
        <w:rPr>
          <w:rFonts w:cs="Arial"/>
        </w:rPr>
        <w:t xml:space="preserve">Increasing the number and viability of </w:t>
      </w:r>
      <w:r w:rsidR="00840A8D">
        <w:rPr>
          <w:rFonts w:cs="Arial"/>
        </w:rPr>
        <w:t>Indigenous</w:t>
      </w:r>
      <w:r>
        <w:rPr>
          <w:rFonts w:cs="Arial"/>
        </w:rPr>
        <w:t xml:space="preserve"> </w:t>
      </w:r>
      <w:r w:rsidRPr="004B1419">
        <w:rPr>
          <w:rFonts w:cs="Arial"/>
        </w:rPr>
        <w:t>enterprises.</w:t>
      </w:r>
    </w:p>
    <w:p w14:paraId="1F4DD892" w14:textId="77777777" w:rsidR="003B6C9C" w:rsidRPr="004B1419" w:rsidRDefault="003B6C9C" w:rsidP="00F0019A">
      <w:pPr>
        <w:pStyle w:val="ListBullet"/>
        <w:numPr>
          <w:ilvl w:val="0"/>
          <w:numId w:val="29"/>
        </w:numPr>
        <w:spacing w:line="276" w:lineRule="auto"/>
        <w:rPr>
          <w:rFonts w:cs="Arial"/>
        </w:rPr>
      </w:pPr>
      <w:r w:rsidRPr="004B1419">
        <w:rPr>
          <w:rFonts w:cs="Arial"/>
        </w:rPr>
        <w:t xml:space="preserve">Supporting Australian workplaces to increase their cultural competency and employment of </w:t>
      </w:r>
      <w:r w:rsidR="00840A8D">
        <w:rPr>
          <w:rFonts w:cs="Arial"/>
        </w:rPr>
        <w:t>Indigenous</w:t>
      </w:r>
      <w:r w:rsidRPr="00C6794F">
        <w:rPr>
          <w:rFonts w:cs="Arial"/>
        </w:rPr>
        <w:t xml:space="preserve"> </w:t>
      </w:r>
      <w:r w:rsidRPr="004B1419">
        <w:rPr>
          <w:rFonts w:cs="Arial"/>
        </w:rPr>
        <w:t>peoples.</w:t>
      </w:r>
    </w:p>
    <w:p w14:paraId="087A23AC" w14:textId="77777777" w:rsidR="003B6C9C" w:rsidRPr="004B1419" w:rsidRDefault="003B6C9C" w:rsidP="00F0019A">
      <w:pPr>
        <w:pStyle w:val="ListBullet"/>
        <w:numPr>
          <w:ilvl w:val="0"/>
          <w:numId w:val="29"/>
        </w:numPr>
        <w:spacing w:line="276" w:lineRule="auto"/>
        <w:rPr>
          <w:rFonts w:cs="Arial"/>
        </w:rPr>
      </w:pPr>
      <w:r w:rsidRPr="004B1419">
        <w:rPr>
          <w:rFonts w:cs="Arial"/>
        </w:rPr>
        <w:t xml:space="preserve">Engaging local communities in employment solutions. </w:t>
      </w:r>
    </w:p>
    <w:p w14:paraId="50B72DAA" w14:textId="77777777" w:rsidR="003B6C9C" w:rsidRPr="004B1419" w:rsidRDefault="003B6C9C" w:rsidP="00F0019A">
      <w:pPr>
        <w:pStyle w:val="ListBullet"/>
        <w:numPr>
          <w:ilvl w:val="0"/>
          <w:numId w:val="29"/>
        </w:numPr>
        <w:spacing w:line="276" w:lineRule="auto"/>
        <w:rPr>
          <w:rFonts w:cs="Arial"/>
        </w:rPr>
      </w:pPr>
      <w:r w:rsidRPr="004B1419">
        <w:rPr>
          <w:rFonts w:cs="Arial"/>
        </w:rPr>
        <w:t xml:space="preserve">Support for </w:t>
      </w:r>
      <w:r w:rsidR="00840A8D">
        <w:rPr>
          <w:rFonts w:cs="Arial"/>
        </w:rPr>
        <w:t>Indigenous</w:t>
      </w:r>
      <w:r w:rsidRPr="00C6794F">
        <w:rPr>
          <w:rFonts w:cs="Arial"/>
        </w:rPr>
        <w:t xml:space="preserve"> </w:t>
      </w:r>
      <w:r w:rsidRPr="004B1419">
        <w:rPr>
          <w:rFonts w:cs="Arial"/>
        </w:rPr>
        <w:t>peoples</w:t>
      </w:r>
      <w:r w:rsidRPr="004B1419" w:rsidDel="00557CE6">
        <w:rPr>
          <w:rFonts w:cs="Arial"/>
        </w:rPr>
        <w:t xml:space="preserve"> </w:t>
      </w:r>
      <w:r w:rsidRPr="004B1419">
        <w:rPr>
          <w:rFonts w:cs="Arial"/>
        </w:rPr>
        <w:t xml:space="preserve">in prison to transition into employment on their release from prison.  </w:t>
      </w:r>
    </w:p>
    <w:p w14:paraId="1E5FA4BB" w14:textId="77777777" w:rsidR="003B6C9C" w:rsidRPr="004B1419" w:rsidRDefault="003B6C9C" w:rsidP="00F0019A">
      <w:pPr>
        <w:pStyle w:val="ListBullet"/>
        <w:numPr>
          <w:ilvl w:val="0"/>
          <w:numId w:val="29"/>
        </w:numPr>
        <w:spacing w:line="276" w:lineRule="auto"/>
        <w:rPr>
          <w:rFonts w:cs="Arial"/>
        </w:rPr>
      </w:pPr>
      <w:r w:rsidRPr="004B1419">
        <w:rPr>
          <w:rFonts w:cs="Arial"/>
        </w:rPr>
        <w:t xml:space="preserve">Assisting </w:t>
      </w:r>
      <w:r w:rsidR="00840A8D">
        <w:rPr>
          <w:rFonts w:cs="Arial"/>
        </w:rPr>
        <w:t>Indigenous</w:t>
      </w:r>
      <w:r w:rsidRPr="00C6794F">
        <w:rPr>
          <w:rFonts w:cs="Arial"/>
        </w:rPr>
        <w:t xml:space="preserve"> </w:t>
      </w:r>
      <w:r w:rsidRPr="004B1419">
        <w:rPr>
          <w:rFonts w:cs="Arial"/>
        </w:rPr>
        <w:t>peoples</w:t>
      </w:r>
      <w:r w:rsidRPr="004B1419" w:rsidDel="00557CE6">
        <w:rPr>
          <w:rFonts w:cs="Arial"/>
        </w:rPr>
        <w:t xml:space="preserve"> </w:t>
      </w:r>
      <w:r w:rsidRPr="004B1419">
        <w:rPr>
          <w:rFonts w:cs="Arial"/>
        </w:rPr>
        <w:t>engaged in jobs to engage in jobs relating to land and sea management.</w:t>
      </w:r>
    </w:p>
    <w:p w14:paraId="563F68D5" w14:textId="77777777" w:rsidR="003B6C9C" w:rsidRPr="004B1419" w:rsidRDefault="003B6C9C" w:rsidP="00F0019A">
      <w:pPr>
        <w:pStyle w:val="ListBullet"/>
        <w:numPr>
          <w:ilvl w:val="0"/>
          <w:numId w:val="29"/>
        </w:numPr>
        <w:spacing w:line="276" w:lineRule="auto"/>
        <w:rPr>
          <w:rFonts w:cs="Arial"/>
        </w:rPr>
      </w:pPr>
      <w:r w:rsidRPr="004B1419">
        <w:rPr>
          <w:rFonts w:cs="Arial"/>
        </w:rPr>
        <w:t>Progressing land and sea claims and township leases under Commonwealth native title and land rights legislation.</w:t>
      </w:r>
    </w:p>
    <w:p w14:paraId="59A5977B" w14:textId="77777777" w:rsidR="003B6C9C" w:rsidRPr="004B1419" w:rsidRDefault="003B6C9C" w:rsidP="00F0019A">
      <w:pPr>
        <w:pStyle w:val="ListBullet"/>
        <w:numPr>
          <w:ilvl w:val="0"/>
          <w:numId w:val="29"/>
        </w:numPr>
        <w:spacing w:line="276" w:lineRule="auto"/>
        <w:rPr>
          <w:rFonts w:cs="Arial"/>
        </w:rPr>
      </w:pPr>
      <w:r w:rsidRPr="004B1419">
        <w:rPr>
          <w:rFonts w:cs="Arial"/>
        </w:rPr>
        <w:t xml:space="preserve">Supporting </w:t>
      </w:r>
      <w:r w:rsidR="00840A8D">
        <w:rPr>
          <w:rFonts w:cs="Arial"/>
        </w:rPr>
        <w:t>Indigenous</w:t>
      </w:r>
      <w:r w:rsidRPr="00C6794F">
        <w:rPr>
          <w:rFonts w:cs="Arial"/>
        </w:rPr>
        <w:t xml:space="preserve"> </w:t>
      </w:r>
      <w:r w:rsidRPr="004B1419">
        <w:rPr>
          <w:rFonts w:cs="Arial"/>
        </w:rPr>
        <w:t>peoples</w:t>
      </w:r>
      <w:r w:rsidRPr="004B1419" w:rsidDel="00557CE6">
        <w:rPr>
          <w:rFonts w:cs="Arial"/>
        </w:rPr>
        <w:t xml:space="preserve"> </w:t>
      </w:r>
      <w:r w:rsidRPr="004B1419">
        <w:rPr>
          <w:rFonts w:cs="Arial"/>
        </w:rPr>
        <w:t>to use their land and sea assets to create economic and social benefits.</w:t>
      </w:r>
    </w:p>
    <w:p w14:paraId="40B13D4C" w14:textId="77777777" w:rsidR="003B6C9C" w:rsidRPr="004B1419" w:rsidRDefault="003B6C9C" w:rsidP="00A4685F">
      <w:pPr>
        <w:pStyle w:val="Heading3"/>
      </w:pPr>
      <w:bookmarkStart w:id="148" w:name="_Toc170734174"/>
      <w:r w:rsidRPr="004B1419">
        <w:t>Activities that contribute to program outcomes</w:t>
      </w:r>
      <w:bookmarkEnd w:id="148"/>
    </w:p>
    <w:p w14:paraId="6A8970DC" w14:textId="77777777" w:rsidR="003B6C9C" w:rsidRPr="004B1419" w:rsidRDefault="003B6C9C" w:rsidP="003B6C9C">
      <w:pPr>
        <w:rPr>
          <w:rFonts w:cs="Arial"/>
        </w:rPr>
      </w:pPr>
      <w:r w:rsidRPr="004B1419">
        <w:rPr>
          <w:rFonts w:cs="Arial"/>
        </w:rPr>
        <w:t>Activities contributing to these outcomes that can be funded through the Jobs, Land and Economy Program include:</w:t>
      </w:r>
    </w:p>
    <w:p w14:paraId="35BBA979" w14:textId="77777777" w:rsidR="003B6C9C" w:rsidRPr="00FE6E9B" w:rsidRDefault="003B6C9C" w:rsidP="00A4685F">
      <w:pPr>
        <w:pStyle w:val="Heading4"/>
      </w:pPr>
      <w:bookmarkStart w:id="149" w:name="_Toc170734175"/>
      <w:r w:rsidRPr="00FE6E9B">
        <w:t>1. Economic Development</w:t>
      </w:r>
      <w:bookmarkEnd w:id="149"/>
    </w:p>
    <w:p w14:paraId="7B6162F7" w14:textId="77777777" w:rsidR="003B6C9C" w:rsidRPr="004B1419" w:rsidRDefault="003B6C9C" w:rsidP="003B6C9C">
      <w:pPr>
        <w:pStyle w:val="ListBullet"/>
        <w:spacing w:line="276" w:lineRule="auto"/>
        <w:rPr>
          <w:rFonts w:cs="Arial"/>
        </w:rPr>
      </w:pPr>
      <w:r w:rsidRPr="004B1419">
        <w:rPr>
          <w:rFonts w:cs="Arial"/>
        </w:rPr>
        <w:t xml:space="preserve">Support for </w:t>
      </w:r>
      <w:r w:rsidR="00840A8D">
        <w:rPr>
          <w:rFonts w:cs="Arial"/>
        </w:rPr>
        <w:t>Indigenous</w:t>
      </w:r>
      <w:r>
        <w:rPr>
          <w:rFonts w:cs="Arial"/>
        </w:rPr>
        <w:t xml:space="preserve"> </w:t>
      </w:r>
      <w:r w:rsidRPr="004B1419">
        <w:rPr>
          <w:rFonts w:cs="Arial"/>
        </w:rPr>
        <w:t>entrepreneurs to establish or grow sustainable businesses.</w:t>
      </w:r>
    </w:p>
    <w:p w14:paraId="621EA007" w14:textId="77777777" w:rsidR="003B6C9C" w:rsidRPr="004B1419" w:rsidRDefault="003B6C9C" w:rsidP="003B6C9C">
      <w:pPr>
        <w:pStyle w:val="ListBullet"/>
        <w:spacing w:line="276" w:lineRule="auto"/>
        <w:rPr>
          <w:rFonts w:cs="Arial"/>
        </w:rPr>
      </w:pPr>
      <w:r w:rsidRPr="004B1419">
        <w:rPr>
          <w:rFonts w:cs="Arial"/>
        </w:rPr>
        <w:t xml:space="preserve">Support for </w:t>
      </w:r>
      <w:r w:rsidR="00840A8D">
        <w:rPr>
          <w:rFonts w:cs="Arial"/>
        </w:rPr>
        <w:t>Indigenous</w:t>
      </w:r>
      <w:r w:rsidRPr="00C6794F">
        <w:rPr>
          <w:rFonts w:cs="Arial"/>
        </w:rPr>
        <w:t xml:space="preserve"> </w:t>
      </w:r>
      <w:r w:rsidRPr="004B1419">
        <w:rPr>
          <w:rFonts w:cs="Arial"/>
        </w:rPr>
        <w:t xml:space="preserve">communities to build and promote increased social and economic outcomes. </w:t>
      </w:r>
    </w:p>
    <w:p w14:paraId="4BEE27F3" w14:textId="77777777" w:rsidR="003B6C9C" w:rsidRPr="004B1419" w:rsidRDefault="003B6C9C" w:rsidP="003B6C9C">
      <w:pPr>
        <w:pStyle w:val="ListBullet"/>
        <w:spacing w:line="276" w:lineRule="auto"/>
        <w:rPr>
          <w:rFonts w:cs="Arial"/>
        </w:rPr>
      </w:pPr>
      <w:r w:rsidRPr="004B1419">
        <w:rPr>
          <w:rFonts w:cs="Arial"/>
        </w:rPr>
        <w:t xml:space="preserve">Support for </w:t>
      </w:r>
      <w:r w:rsidR="00840A8D">
        <w:rPr>
          <w:rFonts w:cs="Arial"/>
        </w:rPr>
        <w:t>Indigenous</w:t>
      </w:r>
      <w:r w:rsidRPr="00C6794F">
        <w:rPr>
          <w:rFonts w:cs="Arial"/>
        </w:rPr>
        <w:t xml:space="preserve"> </w:t>
      </w:r>
      <w:r w:rsidRPr="004B1419">
        <w:rPr>
          <w:rFonts w:cs="Arial"/>
        </w:rPr>
        <w:t xml:space="preserve">land owners to leverage economic benefits from their land assets, including support for Traditional Owners to make well-informed decisions about how they can use their land, economic development opportunities, and understanding land use processes. </w:t>
      </w:r>
    </w:p>
    <w:p w14:paraId="0A7F7557" w14:textId="77777777" w:rsidR="003B6C9C" w:rsidRPr="004B1419" w:rsidRDefault="003B6C9C" w:rsidP="003B6C9C">
      <w:pPr>
        <w:pStyle w:val="ListBullet"/>
        <w:spacing w:line="276" w:lineRule="auto"/>
        <w:rPr>
          <w:rFonts w:cs="Arial"/>
        </w:rPr>
      </w:pPr>
      <w:r w:rsidRPr="004B1419">
        <w:rPr>
          <w:rFonts w:cs="Arial"/>
        </w:rPr>
        <w:t xml:space="preserve">Support for long-term tradable tenure, including land reform and land administration for </w:t>
      </w:r>
      <w:r w:rsidR="00840A8D">
        <w:rPr>
          <w:rFonts w:cs="Arial"/>
        </w:rPr>
        <w:t>Indigenous</w:t>
      </w:r>
      <w:r>
        <w:rPr>
          <w:rFonts w:cs="Arial"/>
        </w:rPr>
        <w:t xml:space="preserve"> </w:t>
      </w:r>
      <w:r w:rsidRPr="004B1419">
        <w:rPr>
          <w:rFonts w:cs="Arial"/>
        </w:rPr>
        <w:t>l</w:t>
      </w:r>
      <w:r>
        <w:rPr>
          <w:rFonts w:cs="Arial"/>
        </w:rPr>
        <w:t xml:space="preserve">and </w:t>
      </w:r>
      <w:r w:rsidRPr="004B1419">
        <w:rPr>
          <w:rFonts w:cs="Arial"/>
        </w:rPr>
        <w:t>owners.</w:t>
      </w:r>
    </w:p>
    <w:p w14:paraId="56C538D6" w14:textId="77777777" w:rsidR="003B6C9C" w:rsidRPr="004B1419" w:rsidRDefault="003B6C9C" w:rsidP="00A4685F">
      <w:pPr>
        <w:pStyle w:val="Heading4"/>
      </w:pPr>
      <w:bookmarkStart w:id="150" w:name="_Toc170734176"/>
      <w:r w:rsidRPr="004B1419">
        <w:t>2. Employment</w:t>
      </w:r>
      <w:bookmarkEnd w:id="150"/>
    </w:p>
    <w:p w14:paraId="6722465A" w14:textId="77777777" w:rsidR="003B6C9C" w:rsidRPr="004B1419" w:rsidRDefault="003B6C9C" w:rsidP="003B6C9C">
      <w:pPr>
        <w:pStyle w:val="ListBullet"/>
        <w:spacing w:line="276" w:lineRule="auto"/>
        <w:rPr>
          <w:rFonts w:cs="Arial"/>
        </w:rPr>
      </w:pPr>
      <w:r w:rsidRPr="004B1419">
        <w:rPr>
          <w:rFonts w:cs="Arial"/>
        </w:rPr>
        <w:t xml:space="preserve">Tailored assistance to support </w:t>
      </w:r>
      <w:r w:rsidR="00840A8D">
        <w:rPr>
          <w:rFonts w:cs="Arial"/>
        </w:rPr>
        <w:t>Indigenous</w:t>
      </w:r>
      <w:r w:rsidRPr="00C6794F">
        <w:rPr>
          <w:rFonts w:cs="Arial"/>
        </w:rPr>
        <w:t xml:space="preserve"> </w:t>
      </w:r>
      <w:r w:rsidRPr="004B1419">
        <w:rPr>
          <w:rFonts w:cs="Arial"/>
        </w:rPr>
        <w:t>peoples</w:t>
      </w:r>
      <w:r w:rsidRPr="004B1419" w:rsidDel="00557CE6">
        <w:rPr>
          <w:rFonts w:cs="Arial"/>
        </w:rPr>
        <w:t xml:space="preserve"> </w:t>
      </w:r>
      <w:r w:rsidRPr="004B1419">
        <w:rPr>
          <w:rFonts w:cs="Arial"/>
        </w:rPr>
        <w:t>to overcome disadvantage in the labour market, connect to sustainable jobs and address barriers to recruitment and retention.</w:t>
      </w:r>
    </w:p>
    <w:p w14:paraId="28F1D804" w14:textId="77777777" w:rsidR="003B6C9C" w:rsidRPr="004B1419" w:rsidRDefault="003B6C9C" w:rsidP="003B6C9C">
      <w:pPr>
        <w:pStyle w:val="ListBullet"/>
        <w:spacing w:line="276" w:lineRule="auto"/>
        <w:rPr>
          <w:rFonts w:cs="Arial"/>
        </w:rPr>
      </w:pPr>
      <w:r w:rsidRPr="004B1419">
        <w:rPr>
          <w:rFonts w:cs="Arial"/>
        </w:rPr>
        <w:t xml:space="preserve">Support for </w:t>
      </w:r>
      <w:r w:rsidR="00840A8D">
        <w:rPr>
          <w:rFonts w:cs="Arial"/>
        </w:rPr>
        <w:t>Indigenous</w:t>
      </w:r>
      <w:r w:rsidRPr="00C6794F">
        <w:rPr>
          <w:rFonts w:cs="Arial"/>
        </w:rPr>
        <w:t xml:space="preserve"> </w:t>
      </w:r>
      <w:r w:rsidRPr="004B1419">
        <w:rPr>
          <w:rFonts w:cs="Arial"/>
        </w:rPr>
        <w:t>secondary school and post school students to transition from education into sustainable employment or further education.</w:t>
      </w:r>
    </w:p>
    <w:p w14:paraId="60F8EBD1" w14:textId="77777777" w:rsidR="003B6C9C" w:rsidRPr="004B1419" w:rsidRDefault="003B6C9C" w:rsidP="003B6C9C">
      <w:pPr>
        <w:pStyle w:val="ListBullet"/>
        <w:spacing w:line="276" w:lineRule="auto"/>
        <w:rPr>
          <w:rFonts w:cs="Arial"/>
        </w:rPr>
      </w:pPr>
      <w:r w:rsidRPr="004B1419">
        <w:rPr>
          <w:rFonts w:cs="Arial"/>
        </w:rPr>
        <w:t xml:space="preserve">Support Vocational Training Employment Centres to connect </w:t>
      </w:r>
      <w:r w:rsidR="00840A8D">
        <w:rPr>
          <w:rFonts w:cs="Arial"/>
        </w:rPr>
        <w:t>Indigenous</w:t>
      </w:r>
      <w:r w:rsidRPr="00C6794F">
        <w:rPr>
          <w:rFonts w:cs="Arial"/>
        </w:rPr>
        <w:t xml:space="preserve"> </w:t>
      </w:r>
      <w:r w:rsidRPr="004B1419">
        <w:rPr>
          <w:rFonts w:cs="Arial"/>
        </w:rPr>
        <w:t xml:space="preserve">job seekers with guaranteed jobs and provide the support services necessary to work with and support </w:t>
      </w:r>
      <w:r w:rsidR="00840A8D">
        <w:rPr>
          <w:rFonts w:cs="Arial"/>
        </w:rPr>
        <w:t>Indigenous</w:t>
      </w:r>
      <w:r w:rsidRPr="004B1419" w:rsidDel="00557CE6">
        <w:rPr>
          <w:rFonts w:cs="Arial"/>
        </w:rPr>
        <w:t xml:space="preserve"> </w:t>
      </w:r>
      <w:r w:rsidRPr="004B1419">
        <w:rPr>
          <w:rFonts w:cs="Arial"/>
        </w:rPr>
        <w:t>into sustainable employment.</w:t>
      </w:r>
    </w:p>
    <w:p w14:paraId="487B8D03" w14:textId="77777777" w:rsidR="003B6C9C" w:rsidRPr="004B1419" w:rsidRDefault="003B6C9C" w:rsidP="003B6C9C">
      <w:pPr>
        <w:pStyle w:val="ListBullet"/>
        <w:spacing w:line="276" w:lineRule="auto"/>
        <w:rPr>
          <w:rFonts w:cs="Arial"/>
        </w:rPr>
      </w:pPr>
      <w:r w:rsidRPr="004B1419">
        <w:rPr>
          <w:rFonts w:cs="Arial"/>
        </w:rPr>
        <w:t xml:space="preserve">Increase the number of large Australian companies to build a workforce reflective of the size of the </w:t>
      </w:r>
      <w:r w:rsidR="00840A8D">
        <w:rPr>
          <w:rFonts w:cs="Arial"/>
        </w:rPr>
        <w:t>Indigenous</w:t>
      </w:r>
      <w:r w:rsidRPr="00C6794F">
        <w:rPr>
          <w:rFonts w:cs="Arial"/>
        </w:rPr>
        <w:t xml:space="preserve"> </w:t>
      </w:r>
      <w:r w:rsidRPr="004B1419">
        <w:rPr>
          <w:rFonts w:cs="Arial"/>
        </w:rPr>
        <w:t>population through the Employment Parity Initiative.</w:t>
      </w:r>
    </w:p>
    <w:p w14:paraId="46DD8EFF" w14:textId="77777777" w:rsidR="003B6C9C" w:rsidRPr="004B1419" w:rsidRDefault="003B6C9C" w:rsidP="003B6C9C">
      <w:pPr>
        <w:pStyle w:val="ListBullet"/>
        <w:spacing w:line="276" w:lineRule="auto"/>
        <w:rPr>
          <w:rFonts w:cs="Arial"/>
        </w:rPr>
      </w:pPr>
      <w:r w:rsidRPr="004B1419">
        <w:rPr>
          <w:rFonts w:cs="Arial"/>
        </w:rPr>
        <w:t>Activities that support jobs in land and sea management, including but not limited to, land and sea management, agriculture and tourism:</w:t>
      </w:r>
    </w:p>
    <w:p w14:paraId="3CC39D7C" w14:textId="77777777" w:rsidR="003B6C9C" w:rsidRPr="004B1419" w:rsidRDefault="003B6C9C" w:rsidP="00F0019A">
      <w:pPr>
        <w:pStyle w:val="ListParagraph"/>
        <w:numPr>
          <w:ilvl w:val="0"/>
          <w:numId w:val="26"/>
        </w:numPr>
        <w:spacing w:before="0" w:after="200" w:line="276" w:lineRule="auto"/>
        <w:rPr>
          <w:rFonts w:cs="Arial"/>
        </w:rPr>
      </w:pPr>
      <w:r w:rsidRPr="004B1419">
        <w:rPr>
          <w:rFonts w:cs="Arial"/>
        </w:rPr>
        <w:t xml:space="preserve">Supporting employment opportunities and career pathways for individuals in the </w:t>
      </w:r>
      <w:r w:rsidR="00840A8D">
        <w:rPr>
          <w:rFonts w:cs="Arial"/>
        </w:rPr>
        <w:t>Indigenous</w:t>
      </w:r>
      <w:r>
        <w:rPr>
          <w:rFonts w:cs="Arial"/>
        </w:rPr>
        <w:t xml:space="preserve"> </w:t>
      </w:r>
      <w:r w:rsidRPr="004B1419">
        <w:rPr>
          <w:rFonts w:cs="Arial"/>
        </w:rPr>
        <w:t>Land and Sea Management (ILSM) sector.</w:t>
      </w:r>
    </w:p>
    <w:p w14:paraId="377D7783" w14:textId="77777777" w:rsidR="003B6C9C" w:rsidRPr="004B1419" w:rsidRDefault="003B6C9C" w:rsidP="00F0019A">
      <w:pPr>
        <w:pStyle w:val="ListParagraph"/>
        <w:numPr>
          <w:ilvl w:val="0"/>
          <w:numId w:val="26"/>
        </w:numPr>
        <w:autoSpaceDE w:val="0"/>
        <w:autoSpaceDN w:val="0"/>
        <w:adjustRightInd w:val="0"/>
        <w:spacing w:before="0" w:after="200" w:line="276" w:lineRule="auto"/>
        <w:rPr>
          <w:rFonts w:cs="Arial"/>
          <w:color w:val="000000" w:themeColor="text1"/>
        </w:rPr>
      </w:pPr>
      <w:r w:rsidRPr="004B1419">
        <w:rPr>
          <w:rFonts w:cs="Arial"/>
          <w:color w:val="000000" w:themeColor="text1"/>
        </w:rPr>
        <w:t>Supporting skills and capacity within the ILSM sector, including through traineeships, mentoring and job-ready programs.</w:t>
      </w:r>
    </w:p>
    <w:p w14:paraId="635EB1C8" w14:textId="77777777" w:rsidR="003B6C9C" w:rsidRPr="004B1419" w:rsidRDefault="003B6C9C" w:rsidP="00F0019A">
      <w:pPr>
        <w:pStyle w:val="ListParagraph"/>
        <w:numPr>
          <w:ilvl w:val="0"/>
          <w:numId w:val="26"/>
        </w:numPr>
        <w:autoSpaceDE w:val="0"/>
        <w:autoSpaceDN w:val="0"/>
        <w:adjustRightInd w:val="0"/>
        <w:spacing w:before="0" w:after="200" w:line="276" w:lineRule="auto"/>
        <w:contextualSpacing w:val="0"/>
        <w:rPr>
          <w:rFonts w:cs="Arial"/>
          <w:b/>
          <w:color w:val="244061"/>
        </w:rPr>
      </w:pPr>
      <w:r w:rsidRPr="004B1419">
        <w:rPr>
          <w:rFonts w:cs="Arial"/>
          <w:color w:val="000000" w:themeColor="text1"/>
        </w:rPr>
        <w:t xml:space="preserve">Supporting employment opportunities for economic development and fee for service arrangements for </w:t>
      </w:r>
      <w:r w:rsidR="00840A8D">
        <w:rPr>
          <w:rFonts w:cs="Arial"/>
        </w:rPr>
        <w:t>Indigenous</w:t>
      </w:r>
      <w:r>
        <w:rPr>
          <w:rFonts w:cs="Arial"/>
        </w:rPr>
        <w:t xml:space="preserve"> </w:t>
      </w:r>
      <w:r w:rsidRPr="004B1419">
        <w:rPr>
          <w:rFonts w:cs="Arial"/>
          <w:color w:val="000000" w:themeColor="text1"/>
        </w:rPr>
        <w:t>communities through the sustainable use of land and sea.</w:t>
      </w:r>
    </w:p>
    <w:p w14:paraId="42D733A7" w14:textId="77777777" w:rsidR="003B6C9C" w:rsidRPr="004636F2" w:rsidRDefault="003B6C9C" w:rsidP="00A4685F">
      <w:pPr>
        <w:pStyle w:val="Heading4"/>
      </w:pPr>
      <w:bookmarkStart w:id="151" w:name="_Toc170734177"/>
      <w:r w:rsidRPr="004636F2">
        <w:t>3. Community Development Program</w:t>
      </w:r>
      <w:bookmarkEnd w:id="151"/>
      <w:r w:rsidRPr="004636F2">
        <w:t xml:space="preserve"> </w:t>
      </w:r>
    </w:p>
    <w:p w14:paraId="54E55A05" w14:textId="77777777" w:rsidR="003B6C9C" w:rsidRPr="002A5989" w:rsidRDefault="003B6C9C" w:rsidP="003B6C9C">
      <w:pPr>
        <w:spacing w:before="120"/>
        <w:rPr>
          <w:rFonts w:cs="Arial"/>
        </w:rPr>
      </w:pPr>
      <w:r w:rsidRPr="002A5989">
        <w:rPr>
          <w:rFonts w:cs="Arial"/>
        </w:rPr>
        <w:t xml:space="preserve">The </w:t>
      </w:r>
      <w:r w:rsidRPr="002A5989">
        <w:t>Community Development Program</w:t>
      </w:r>
      <w:r w:rsidRPr="002A5989">
        <w:rPr>
          <w:b/>
          <w:i/>
        </w:rPr>
        <w:t xml:space="preserve"> </w:t>
      </w:r>
      <w:r w:rsidRPr="002A5989">
        <w:t>(</w:t>
      </w:r>
      <w:r w:rsidRPr="002A5989">
        <w:rPr>
          <w:rFonts w:cs="Arial"/>
        </w:rPr>
        <w:t>CDP</w:t>
      </w:r>
      <w:r>
        <w:rPr>
          <w:rFonts w:cs="Arial"/>
        </w:rPr>
        <w:t>)</w:t>
      </w:r>
      <w:r w:rsidRPr="002A5989">
        <w:rPr>
          <w:rFonts w:cs="Arial"/>
        </w:rPr>
        <w:t xml:space="preserve"> is a community driven program that prepares job seekers for work while contributing to the goals of the community. Across remote Australia a network of CDP providers deliver a range of activities to respond to the specific needs of local communities and available employment opportunities. This may include: </w:t>
      </w:r>
    </w:p>
    <w:p w14:paraId="7DBB4F2C" w14:textId="77777777" w:rsidR="003B6C9C" w:rsidRPr="002A5989" w:rsidRDefault="003B6C9C" w:rsidP="00F0019A">
      <w:pPr>
        <w:pStyle w:val="ListBullet"/>
        <w:numPr>
          <w:ilvl w:val="0"/>
          <w:numId w:val="30"/>
        </w:numPr>
        <w:spacing w:line="276" w:lineRule="auto"/>
        <w:rPr>
          <w:rFonts w:cs="Arial"/>
        </w:rPr>
      </w:pPr>
      <w:r w:rsidRPr="002A5989">
        <w:rPr>
          <w:rFonts w:cs="Arial"/>
        </w:rPr>
        <w:t>Services to assist job seekers to increase their work-readiness, language, literacy and numeracy skills, and contribute to the community.</w:t>
      </w:r>
    </w:p>
    <w:p w14:paraId="15D957A1" w14:textId="77777777" w:rsidR="003B6C9C" w:rsidRPr="002A5989" w:rsidRDefault="003B6C9C" w:rsidP="00F0019A">
      <w:pPr>
        <w:pStyle w:val="ListBullet"/>
        <w:numPr>
          <w:ilvl w:val="0"/>
          <w:numId w:val="30"/>
        </w:numPr>
        <w:spacing w:line="276" w:lineRule="auto"/>
        <w:rPr>
          <w:rFonts w:cs="Arial"/>
        </w:rPr>
      </w:pPr>
      <w:r w:rsidRPr="002A5989">
        <w:rPr>
          <w:rFonts w:cs="Arial"/>
        </w:rPr>
        <w:t>Services to support and complement cultural business.</w:t>
      </w:r>
    </w:p>
    <w:p w14:paraId="4E036CB7" w14:textId="77777777" w:rsidR="003B6C9C" w:rsidRPr="002A5989" w:rsidRDefault="003B6C9C" w:rsidP="00F0019A">
      <w:pPr>
        <w:pStyle w:val="ListBullet"/>
        <w:numPr>
          <w:ilvl w:val="0"/>
          <w:numId w:val="30"/>
        </w:numPr>
        <w:spacing w:line="276" w:lineRule="auto"/>
        <w:rPr>
          <w:rFonts w:cs="Arial"/>
        </w:rPr>
      </w:pPr>
      <w:r w:rsidRPr="002A5989">
        <w:rPr>
          <w:rFonts w:cs="Arial"/>
        </w:rPr>
        <w:t>Services that provide work</w:t>
      </w:r>
      <w:r>
        <w:rPr>
          <w:rFonts w:cs="Arial"/>
        </w:rPr>
        <w:t>—</w:t>
      </w:r>
      <w:r w:rsidRPr="002A5989">
        <w:rPr>
          <w:rFonts w:cs="Arial"/>
        </w:rPr>
        <w:t>like activities that reflect local employment opportunities.</w:t>
      </w:r>
    </w:p>
    <w:p w14:paraId="746E8F47" w14:textId="77777777" w:rsidR="003B6C9C" w:rsidRPr="002A5989" w:rsidRDefault="003B6C9C" w:rsidP="00F0019A">
      <w:pPr>
        <w:pStyle w:val="ListBullet"/>
        <w:numPr>
          <w:ilvl w:val="0"/>
          <w:numId w:val="30"/>
        </w:numPr>
        <w:spacing w:line="276" w:lineRule="auto"/>
        <w:rPr>
          <w:rFonts w:cs="Arial"/>
        </w:rPr>
      </w:pPr>
      <w:r w:rsidRPr="002A5989">
        <w:rPr>
          <w:rFonts w:cs="Arial"/>
        </w:rPr>
        <w:t>Services to assist job seekers to overcome vocational and non-vocational barriers.</w:t>
      </w:r>
    </w:p>
    <w:p w14:paraId="507B9F16" w14:textId="77777777" w:rsidR="003B6C9C" w:rsidRPr="002A5989" w:rsidRDefault="003B6C9C" w:rsidP="00F0019A">
      <w:pPr>
        <w:pStyle w:val="ListBullet"/>
        <w:numPr>
          <w:ilvl w:val="0"/>
          <w:numId w:val="30"/>
        </w:numPr>
        <w:spacing w:line="276" w:lineRule="auto"/>
        <w:rPr>
          <w:rFonts w:cs="Arial"/>
        </w:rPr>
      </w:pPr>
      <w:r w:rsidRPr="002A5989">
        <w:rPr>
          <w:rFonts w:cs="Arial"/>
        </w:rPr>
        <w:t>Accredited and non-accredited training.</w:t>
      </w:r>
    </w:p>
    <w:p w14:paraId="3192F86B" w14:textId="77777777" w:rsidR="003B6C9C" w:rsidRPr="002A5989" w:rsidRDefault="003B6C9C" w:rsidP="00F0019A">
      <w:pPr>
        <w:pStyle w:val="ListBullet"/>
        <w:numPr>
          <w:ilvl w:val="0"/>
          <w:numId w:val="30"/>
        </w:numPr>
        <w:spacing w:line="276" w:lineRule="auto"/>
        <w:rPr>
          <w:rFonts w:cs="Arial"/>
        </w:rPr>
      </w:pPr>
      <w:r w:rsidRPr="002A5989">
        <w:rPr>
          <w:rFonts w:cs="Arial"/>
        </w:rPr>
        <w:t>Services that cater for different work readiness levels and interests.</w:t>
      </w:r>
    </w:p>
    <w:p w14:paraId="6E50EA26" w14:textId="77777777" w:rsidR="003B6C9C" w:rsidRPr="002A5989" w:rsidRDefault="003B6C9C" w:rsidP="00F0019A">
      <w:pPr>
        <w:pStyle w:val="ListBullet"/>
        <w:numPr>
          <w:ilvl w:val="0"/>
          <w:numId w:val="30"/>
        </w:numPr>
        <w:spacing w:line="276" w:lineRule="auto"/>
        <w:rPr>
          <w:rFonts w:cs="Arial"/>
        </w:rPr>
      </w:pPr>
      <w:r w:rsidRPr="002A5989">
        <w:rPr>
          <w:rFonts w:cs="Arial"/>
        </w:rPr>
        <w:t>Support personal development or community awareness.</w:t>
      </w:r>
    </w:p>
    <w:p w14:paraId="3133A65F" w14:textId="77777777" w:rsidR="003B6C9C" w:rsidRPr="002A5989" w:rsidRDefault="003B6C9C" w:rsidP="00F0019A">
      <w:pPr>
        <w:pStyle w:val="ListBullet"/>
        <w:numPr>
          <w:ilvl w:val="0"/>
          <w:numId w:val="30"/>
        </w:numPr>
        <w:spacing w:line="276" w:lineRule="auto"/>
        <w:rPr>
          <w:rFonts w:cs="Arial"/>
        </w:rPr>
      </w:pPr>
      <w:r w:rsidRPr="002A5989">
        <w:rPr>
          <w:rFonts w:cs="Arial"/>
        </w:rPr>
        <w:t>Activities that include and cater for diversity within a caseload.</w:t>
      </w:r>
    </w:p>
    <w:p w14:paraId="25825A03" w14:textId="77777777" w:rsidR="003B6C9C" w:rsidRPr="002A5989" w:rsidRDefault="003B6C9C" w:rsidP="00F0019A">
      <w:pPr>
        <w:pStyle w:val="ListBullet"/>
        <w:numPr>
          <w:ilvl w:val="0"/>
          <w:numId w:val="30"/>
        </w:numPr>
        <w:spacing w:line="276" w:lineRule="auto"/>
        <w:rPr>
          <w:rFonts w:cs="Arial"/>
        </w:rPr>
      </w:pPr>
      <w:r w:rsidRPr="002A5989">
        <w:rPr>
          <w:rFonts w:cs="Arial"/>
        </w:rPr>
        <w:t>Increase access to job opportunities and support job seekers to retain a job.</w:t>
      </w:r>
    </w:p>
    <w:p w14:paraId="14C3F438" w14:textId="77777777" w:rsidR="003B6C9C" w:rsidRPr="002A5989" w:rsidRDefault="003B6C9C" w:rsidP="00F0019A">
      <w:pPr>
        <w:pStyle w:val="ListBullet"/>
        <w:numPr>
          <w:ilvl w:val="0"/>
          <w:numId w:val="30"/>
        </w:numPr>
        <w:spacing w:line="276" w:lineRule="auto"/>
        <w:rPr>
          <w:rFonts w:cs="Arial"/>
        </w:rPr>
      </w:pPr>
      <w:r w:rsidRPr="002A5989">
        <w:rPr>
          <w:rFonts w:cs="Arial"/>
        </w:rPr>
        <w:t xml:space="preserve">Support job seekers to meet their income support mutual obligations. </w:t>
      </w:r>
    </w:p>
    <w:p w14:paraId="3C7CB4A0" w14:textId="77777777" w:rsidR="003B6C9C" w:rsidRPr="002A5989" w:rsidRDefault="003B6C9C" w:rsidP="003B6C9C">
      <w:pPr>
        <w:spacing w:before="120"/>
        <w:rPr>
          <w:rFonts w:cs="Arial"/>
        </w:rPr>
      </w:pPr>
      <w:r w:rsidRPr="002A5989">
        <w:rPr>
          <w:rFonts w:cs="Arial"/>
        </w:rPr>
        <w:t xml:space="preserve">The </w:t>
      </w:r>
      <w:r w:rsidR="00FE6C44">
        <w:rPr>
          <w:rFonts w:cs="Arial"/>
        </w:rPr>
        <w:t>NIAA</w:t>
      </w:r>
      <w:r w:rsidRPr="002A5989">
        <w:rPr>
          <w:rFonts w:cs="Arial"/>
        </w:rPr>
        <w:t xml:space="preserve"> does not generally accept community-led grant applications under the CDP but may on occasion invite applications.</w:t>
      </w:r>
    </w:p>
    <w:p w14:paraId="172A4561" w14:textId="77777777" w:rsidR="003B6C9C" w:rsidRPr="004636F2" w:rsidRDefault="003B6C9C" w:rsidP="00A4685F">
      <w:pPr>
        <w:pStyle w:val="Heading4"/>
      </w:pPr>
      <w:bookmarkStart w:id="152" w:name="_Toc170734178"/>
      <w:r w:rsidRPr="004636F2">
        <w:t>4. Recognition of Native Title and maximising economic and social benefit from the use of native title rights</w:t>
      </w:r>
      <w:bookmarkEnd w:id="152"/>
      <w:r w:rsidRPr="004636F2">
        <w:t xml:space="preserve"> </w:t>
      </w:r>
    </w:p>
    <w:p w14:paraId="4BB45941" w14:textId="77777777" w:rsidR="003B6C9C" w:rsidRPr="002A5989" w:rsidRDefault="003B6C9C" w:rsidP="003B6C9C">
      <w:pPr>
        <w:pStyle w:val="ListBullet"/>
        <w:spacing w:line="276" w:lineRule="auto"/>
        <w:rPr>
          <w:rFonts w:cs="Arial"/>
        </w:rPr>
      </w:pPr>
      <w:r w:rsidRPr="002A5989">
        <w:rPr>
          <w:rFonts w:cs="Arial"/>
        </w:rPr>
        <w:t xml:space="preserve">Support the performance of statutory functions of native title representative bodies and service providers under the </w:t>
      </w:r>
      <w:hyperlink r:id="rId91" w:history="1">
        <w:r w:rsidRPr="002A5989">
          <w:rPr>
            <w:rStyle w:val="Hyperlink"/>
            <w:rFonts w:cs="Arial"/>
            <w:i/>
          </w:rPr>
          <w:t>Native Title Act 1993.</w:t>
        </w:r>
      </w:hyperlink>
      <w:r w:rsidRPr="002A5989">
        <w:rPr>
          <w:rFonts w:cs="Arial"/>
        </w:rPr>
        <w:t xml:space="preserve"> Only native title representative bodies and organisations invited to apply for funding are able to apply.</w:t>
      </w:r>
    </w:p>
    <w:p w14:paraId="60D0E33C" w14:textId="77777777" w:rsidR="003B6C9C" w:rsidRPr="002A5989" w:rsidRDefault="003B6C9C" w:rsidP="003B6C9C">
      <w:pPr>
        <w:pStyle w:val="ListBullet"/>
        <w:spacing w:line="276" w:lineRule="auto"/>
        <w:rPr>
          <w:rFonts w:cs="Arial"/>
        </w:rPr>
      </w:pPr>
      <w:r w:rsidRPr="002A5989">
        <w:rPr>
          <w:rFonts w:cs="Arial"/>
        </w:rPr>
        <w:t>Build the capacity of registered native title bodies corporate, more commonly known as Prescribed Bodies Corporate or ‘PBCs’, to maximise the economic and social potential of their native title.</w:t>
      </w:r>
    </w:p>
    <w:p w14:paraId="48AA5FB8" w14:textId="77777777" w:rsidR="003B6C9C" w:rsidRPr="002A5989" w:rsidRDefault="003B6C9C" w:rsidP="003B6C9C">
      <w:pPr>
        <w:pStyle w:val="ListBullet"/>
        <w:spacing w:line="276" w:lineRule="auto"/>
        <w:rPr>
          <w:rFonts w:cs="Arial"/>
        </w:rPr>
      </w:pPr>
      <w:r w:rsidRPr="002A5989">
        <w:rPr>
          <w:rFonts w:cs="Arial"/>
        </w:rPr>
        <w:t>Improve the governance and provide access to training to equip PBCs to build their long-term organisational capacity.</w:t>
      </w:r>
    </w:p>
    <w:p w14:paraId="4B26F766" w14:textId="77777777" w:rsidR="003B6C9C" w:rsidRPr="002A5989" w:rsidRDefault="003B6C9C" w:rsidP="003B6C9C">
      <w:pPr>
        <w:autoSpaceDE w:val="0"/>
        <w:autoSpaceDN w:val="0"/>
        <w:adjustRightInd w:val="0"/>
        <w:spacing w:after="240"/>
        <w:rPr>
          <w:rFonts w:cs="Arial"/>
          <w:color w:val="000000" w:themeColor="text1"/>
        </w:rPr>
      </w:pPr>
      <w:r w:rsidRPr="002A5989">
        <w:rPr>
          <w:rFonts w:cs="Arial"/>
          <w:color w:val="000000" w:themeColor="text1"/>
        </w:rPr>
        <w:t xml:space="preserve">Further information on funding to support capacity building for PBCs is also available on </w:t>
      </w:r>
      <w:hyperlink r:id="rId92">
        <w:r w:rsidRPr="002A5989">
          <w:rPr>
            <w:rStyle w:val="Hyperlink"/>
            <w:rFonts w:cs="Arial"/>
          </w:rPr>
          <w:t>GrantConnect</w:t>
        </w:r>
      </w:hyperlink>
      <w:r w:rsidRPr="002A5989">
        <w:rPr>
          <w:rFonts w:cs="Arial"/>
          <w:color w:val="000000" w:themeColor="text1"/>
        </w:rPr>
        <w:t xml:space="preserve"> </w:t>
      </w:r>
    </w:p>
    <w:p w14:paraId="30EDF0ED" w14:textId="77777777" w:rsidR="003B6C9C" w:rsidRPr="002A5989" w:rsidRDefault="003B6C9C" w:rsidP="003B6C9C">
      <w:pPr>
        <w:rPr>
          <w:b/>
          <w:sz w:val="24"/>
          <w:szCs w:val="24"/>
        </w:rPr>
      </w:pPr>
      <w:r w:rsidRPr="002A5989">
        <w:rPr>
          <w:b/>
          <w:sz w:val="24"/>
          <w:szCs w:val="24"/>
        </w:rPr>
        <w:t>Out-of-scope</w:t>
      </w:r>
      <w:r w:rsidR="002A5BDD">
        <w:rPr>
          <w:b/>
          <w:sz w:val="24"/>
          <w:szCs w:val="24"/>
        </w:rPr>
        <w:t xml:space="preserve"> </w:t>
      </w:r>
    </w:p>
    <w:p w14:paraId="33408B04" w14:textId="77777777" w:rsidR="003B6C9C" w:rsidRPr="002A5989" w:rsidRDefault="003B6C9C" w:rsidP="003B6C9C">
      <w:pPr>
        <w:rPr>
          <w:rFonts w:cs="Arial"/>
        </w:rPr>
      </w:pPr>
      <w:r w:rsidRPr="002A5989">
        <w:rPr>
          <w:rFonts w:cs="Arial"/>
        </w:rPr>
        <w:t xml:space="preserve">The types of activities that will not be funded through the Jobs Land and Economy Program include: </w:t>
      </w:r>
    </w:p>
    <w:p w14:paraId="4E21E6E7" w14:textId="77777777" w:rsidR="003B6C9C" w:rsidRPr="002A5989" w:rsidRDefault="003B6C9C" w:rsidP="00F0019A">
      <w:pPr>
        <w:pStyle w:val="ListBullet"/>
        <w:numPr>
          <w:ilvl w:val="0"/>
          <w:numId w:val="31"/>
        </w:numPr>
        <w:spacing w:line="276" w:lineRule="auto"/>
        <w:rPr>
          <w:rFonts w:cs="Arial"/>
        </w:rPr>
      </w:pPr>
      <w:r w:rsidRPr="002A5989">
        <w:rPr>
          <w:rFonts w:cs="Arial"/>
        </w:rPr>
        <w:t>Activities and training that are not directly linked to employment or do not have a demonstrated aim to overcome barriers to employment.</w:t>
      </w:r>
    </w:p>
    <w:p w14:paraId="05A40C94" w14:textId="77777777" w:rsidR="003B6C9C" w:rsidRPr="002A5989" w:rsidRDefault="003B6C9C" w:rsidP="00F0019A">
      <w:pPr>
        <w:pStyle w:val="ListBullet"/>
        <w:numPr>
          <w:ilvl w:val="0"/>
          <w:numId w:val="31"/>
        </w:numPr>
        <w:spacing w:line="276" w:lineRule="auto"/>
        <w:rPr>
          <w:rFonts w:cs="Arial"/>
        </w:rPr>
      </w:pPr>
      <w:r w:rsidRPr="002A5989">
        <w:rPr>
          <w:rFonts w:cs="Arial"/>
        </w:rPr>
        <w:t xml:space="preserve">Training that is not connected to employment and/or employment positions that are not sustainable, or that is not needed to undertake a CDP activity. </w:t>
      </w:r>
    </w:p>
    <w:p w14:paraId="01834962" w14:textId="77777777" w:rsidR="003B6C9C" w:rsidRPr="002A5989" w:rsidRDefault="003B6C9C" w:rsidP="00F0019A">
      <w:pPr>
        <w:pStyle w:val="ListBullet"/>
        <w:numPr>
          <w:ilvl w:val="0"/>
          <w:numId w:val="31"/>
        </w:numPr>
        <w:spacing w:line="276" w:lineRule="auto"/>
        <w:rPr>
          <w:rFonts w:cs="Arial"/>
        </w:rPr>
      </w:pPr>
      <w:r w:rsidRPr="002A5989">
        <w:rPr>
          <w:rFonts w:cs="Arial"/>
        </w:rPr>
        <w:t>Activities and services that are the responsibility of states and territory governments or other Commonwealth programs, including:</w:t>
      </w:r>
    </w:p>
    <w:p w14:paraId="24A2F03F" w14:textId="77777777" w:rsidR="003B6C9C" w:rsidRPr="002A5989" w:rsidRDefault="003B6C9C" w:rsidP="00F0019A">
      <w:pPr>
        <w:pStyle w:val="ListParagraph"/>
        <w:numPr>
          <w:ilvl w:val="1"/>
          <w:numId w:val="27"/>
        </w:numPr>
        <w:spacing w:before="0" w:after="200" w:line="276" w:lineRule="auto"/>
        <w:rPr>
          <w:rFonts w:cs="Arial"/>
        </w:rPr>
      </w:pPr>
      <w:r w:rsidRPr="002A5989">
        <w:rPr>
          <w:rFonts w:cs="Arial"/>
        </w:rPr>
        <w:t>Adult vocational education and training (VET) activities (although assistance that complements the completion of such activities may be considered).</w:t>
      </w:r>
    </w:p>
    <w:p w14:paraId="19E76AD8" w14:textId="77777777" w:rsidR="003B6C9C" w:rsidRPr="002A5989" w:rsidRDefault="003B6C9C" w:rsidP="00F0019A">
      <w:pPr>
        <w:pStyle w:val="ListParagraph"/>
        <w:numPr>
          <w:ilvl w:val="1"/>
          <w:numId w:val="27"/>
        </w:numPr>
        <w:spacing w:before="0" w:line="276" w:lineRule="auto"/>
        <w:contextualSpacing w:val="0"/>
        <w:rPr>
          <w:rFonts w:cs="Arial"/>
        </w:rPr>
      </w:pPr>
      <w:r w:rsidRPr="002A5989">
        <w:rPr>
          <w:rFonts w:cs="Arial"/>
        </w:rPr>
        <w:t>Cultural heritage, land rights and land management activities subject to state or territory legislation.</w:t>
      </w:r>
    </w:p>
    <w:p w14:paraId="5DFAAA29" w14:textId="77777777" w:rsidR="003B6C9C" w:rsidRPr="002A5989" w:rsidRDefault="003B6C9C" w:rsidP="00F0019A">
      <w:pPr>
        <w:pStyle w:val="ListBullet"/>
        <w:numPr>
          <w:ilvl w:val="0"/>
          <w:numId w:val="32"/>
        </w:numPr>
        <w:spacing w:line="276" w:lineRule="auto"/>
        <w:rPr>
          <w:rFonts w:cs="Arial"/>
        </w:rPr>
      </w:pPr>
      <w:r w:rsidRPr="002A5989">
        <w:rPr>
          <w:rFonts w:cs="Arial"/>
        </w:rPr>
        <w:t xml:space="preserve">Funding full wages for employment project positions. </w:t>
      </w:r>
    </w:p>
    <w:p w14:paraId="745EC63D" w14:textId="77777777" w:rsidR="003B6C9C" w:rsidRPr="002A5989" w:rsidRDefault="003B6C9C" w:rsidP="00F0019A">
      <w:pPr>
        <w:pStyle w:val="ListBullet"/>
        <w:numPr>
          <w:ilvl w:val="0"/>
          <w:numId w:val="32"/>
        </w:numPr>
        <w:spacing w:line="276" w:lineRule="auto"/>
        <w:rPr>
          <w:rFonts w:cs="Arial"/>
        </w:rPr>
      </w:pPr>
      <w:r w:rsidRPr="002A5989">
        <w:rPr>
          <w:rFonts w:cs="Arial"/>
        </w:rPr>
        <w:t>Areas that are within the responsibility of state and territory governments such as land administration, for example survey and planning, which is not typically funded.</w:t>
      </w:r>
    </w:p>
    <w:p w14:paraId="72E8047F" w14:textId="77777777" w:rsidR="003B6C9C" w:rsidRPr="002A5989" w:rsidRDefault="003B6C9C" w:rsidP="00F0019A">
      <w:pPr>
        <w:pStyle w:val="ListBullet"/>
        <w:numPr>
          <w:ilvl w:val="0"/>
          <w:numId w:val="32"/>
        </w:numPr>
        <w:spacing w:line="276" w:lineRule="auto"/>
        <w:rPr>
          <w:rFonts w:cs="Arial"/>
        </w:rPr>
      </w:pPr>
      <w:r w:rsidRPr="002A5989">
        <w:rPr>
          <w:rFonts w:cs="Arial"/>
        </w:rPr>
        <w:t>Jobs already being funded through mainstream employment programs or other service providers</w:t>
      </w:r>
      <w:r w:rsidR="00116E58">
        <w:rPr>
          <w:rFonts w:cs="Arial"/>
        </w:rPr>
        <w:t xml:space="preserve"> (unless agreed under transition arrangements for the NJP trial)</w:t>
      </w:r>
      <w:r w:rsidRPr="002A5989">
        <w:rPr>
          <w:rFonts w:cs="Arial"/>
        </w:rPr>
        <w:t>.</w:t>
      </w:r>
    </w:p>
    <w:p w14:paraId="5C1EFD8E" w14:textId="5CCDAE9E" w:rsidR="003B6C9C" w:rsidRPr="004636F2" w:rsidRDefault="003B6C9C" w:rsidP="009006BE">
      <w:pPr>
        <w:pStyle w:val="ListBullet"/>
        <w:numPr>
          <w:ilvl w:val="0"/>
          <w:numId w:val="32"/>
        </w:numPr>
        <w:spacing w:before="0" w:line="240" w:lineRule="auto"/>
        <w:rPr>
          <w:rFonts w:cs="Arial"/>
          <w:b/>
          <w:color w:val="244061" w:themeColor="accent1" w:themeShade="80"/>
          <w:sz w:val="28"/>
          <w:szCs w:val="28"/>
        </w:rPr>
      </w:pPr>
      <w:r w:rsidRPr="004636F2">
        <w:rPr>
          <w:rFonts w:cs="Arial"/>
        </w:rPr>
        <w:t>Businesses that are</w:t>
      </w:r>
      <w:r w:rsidR="004636F2" w:rsidRPr="004636F2">
        <w:rPr>
          <w:rFonts w:cs="Arial"/>
        </w:rPr>
        <w:t xml:space="preserve"> unviable and/or unsustainable.</w:t>
      </w:r>
    </w:p>
    <w:p w14:paraId="2BF21EA8" w14:textId="77777777" w:rsidR="003B6C9C" w:rsidRPr="002A5989" w:rsidRDefault="003B6C9C" w:rsidP="003B6C9C">
      <w:pPr>
        <w:spacing w:before="0" w:after="0" w:line="240" w:lineRule="auto"/>
        <w:rPr>
          <w:rFonts w:cs="Arial"/>
          <w:b/>
          <w:color w:val="244061" w:themeColor="accent1" w:themeShade="80"/>
          <w:sz w:val="28"/>
          <w:szCs w:val="28"/>
        </w:rPr>
      </w:pPr>
      <w:r w:rsidRPr="002A5989">
        <w:rPr>
          <w:rFonts w:cs="Arial"/>
          <w:b/>
          <w:color w:val="244061" w:themeColor="accent1" w:themeShade="80"/>
          <w:sz w:val="28"/>
          <w:szCs w:val="28"/>
        </w:rPr>
        <w:br w:type="page"/>
      </w:r>
    </w:p>
    <w:p w14:paraId="028EE65B" w14:textId="77777777" w:rsidR="000A08FD" w:rsidRPr="004F7342" w:rsidRDefault="000A08FD" w:rsidP="00A4685F">
      <w:pPr>
        <w:pStyle w:val="Heading2"/>
      </w:pPr>
      <w:bookmarkStart w:id="153" w:name="_Toc526246650"/>
      <w:bookmarkStart w:id="154" w:name="_Toc112150678"/>
      <w:bookmarkStart w:id="155" w:name="_Toc170734179"/>
      <w:r>
        <w:t>Appendix B</w:t>
      </w:r>
      <w:r w:rsidRPr="004F7342">
        <w:t xml:space="preserve">: </w:t>
      </w:r>
      <w:bookmarkStart w:id="156" w:name="_Toc519612849"/>
      <w:r w:rsidRPr="004F7342">
        <w:t>Incorporation requirements</w:t>
      </w:r>
      <w:bookmarkEnd w:id="153"/>
      <w:bookmarkEnd w:id="154"/>
      <w:bookmarkEnd w:id="155"/>
      <w:bookmarkEnd w:id="156"/>
    </w:p>
    <w:p w14:paraId="3F27E3EF" w14:textId="77777777" w:rsidR="000A08FD" w:rsidRPr="004F7342" w:rsidRDefault="000A08FD" w:rsidP="000A08FD">
      <w:pPr>
        <w:rPr>
          <w:rFonts w:cs="Arial"/>
        </w:rPr>
      </w:pPr>
      <w:r w:rsidRPr="004F7342">
        <w:rPr>
          <w:rFonts w:cs="Arial"/>
        </w:rPr>
        <w:t>Subject to certain exceptions, under the Strengthening Organisational Governance Policy all organisa</w:t>
      </w:r>
      <w:r>
        <w:rPr>
          <w:rFonts w:cs="Arial"/>
        </w:rPr>
        <w:t>tions receiving grant funding totalling</w:t>
      </w:r>
      <w:r w:rsidRPr="004F7342">
        <w:rPr>
          <w:rFonts w:cs="Arial"/>
        </w:rPr>
        <w:t xml:space="preserve"> $500,000 (GST exclusive) or more in any single financial year from the </w:t>
      </w:r>
      <w:r>
        <w:rPr>
          <w:rFonts w:cs="Arial"/>
        </w:rPr>
        <w:t xml:space="preserve">NIAA </w:t>
      </w:r>
      <w:r w:rsidRPr="004F7342">
        <w:rPr>
          <w:rFonts w:cs="Arial"/>
        </w:rPr>
        <w:t>are required to:</w:t>
      </w:r>
    </w:p>
    <w:p w14:paraId="78602E7A" w14:textId="77777777" w:rsidR="000A08FD" w:rsidRPr="004F7342" w:rsidRDefault="000A08FD" w:rsidP="00F0019A">
      <w:pPr>
        <w:pStyle w:val="ListBullet"/>
        <w:numPr>
          <w:ilvl w:val="0"/>
          <w:numId w:val="33"/>
        </w:numPr>
        <w:spacing w:line="276" w:lineRule="auto"/>
        <w:rPr>
          <w:rFonts w:cs="Arial"/>
        </w:rPr>
      </w:pPr>
      <w:r w:rsidRPr="004F7342">
        <w:rPr>
          <w:rFonts w:cs="Arial"/>
        </w:rPr>
        <w:t>Incorporate u</w:t>
      </w:r>
      <w:r>
        <w:rPr>
          <w:rFonts w:cs="Arial"/>
        </w:rPr>
        <w:t>nder Commonwealth legislation—</w:t>
      </w:r>
      <w:r w:rsidRPr="00AF6118">
        <w:rPr>
          <w:rFonts w:cs="Arial"/>
        </w:rPr>
        <w:t xml:space="preserve"> </w:t>
      </w:r>
      <w:r>
        <w:rPr>
          <w:rFonts w:cs="Arial"/>
        </w:rPr>
        <w:t xml:space="preserve">First Nation </w:t>
      </w:r>
      <w:r w:rsidRPr="004F7342">
        <w:rPr>
          <w:rFonts w:cs="Arial"/>
        </w:rPr>
        <w:t xml:space="preserve">organisations will be required to incorporate under the </w:t>
      </w:r>
      <w:hyperlink r:id="rId93" w:history="1">
        <w:r w:rsidRPr="0051579B">
          <w:rPr>
            <w:rStyle w:val="Hyperlink"/>
            <w:rFonts w:cs="Arial"/>
            <w:i/>
          </w:rPr>
          <w:t>Corporations (Aboriginal and Torres Strait Islander) Act 2006</w:t>
        </w:r>
      </w:hyperlink>
      <w:r w:rsidRPr="004F7342">
        <w:rPr>
          <w:rFonts w:cs="Arial"/>
          <w:i/>
        </w:rPr>
        <w:t xml:space="preserve"> </w:t>
      </w:r>
      <w:r w:rsidRPr="004F7342">
        <w:rPr>
          <w:rFonts w:cs="Arial"/>
        </w:rPr>
        <w:t xml:space="preserve">and other organisations will be required to incorporate under the </w:t>
      </w:r>
      <w:hyperlink r:id="rId94" w:history="1">
        <w:r w:rsidRPr="00C23A95">
          <w:rPr>
            <w:rStyle w:val="Hyperlink"/>
            <w:rFonts w:cs="Arial"/>
            <w:i/>
          </w:rPr>
          <w:t>Corporations Act 2001</w:t>
        </w:r>
        <w:r w:rsidRPr="00C23A95">
          <w:rPr>
            <w:rStyle w:val="Hyperlink"/>
            <w:rFonts w:cs="Arial"/>
          </w:rPr>
          <w:t>.</w:t>
        </w:r>
      </w:hyperlink>
    </w:p>
    <w:p w14:paraId="1CE3E952" w14:textId="77777777" w:rsidR="000A08FD" w:rsidRPr="004F7342" w:rsidRDefault="000A08FD" w:rsidP="00F0019A">
      <w:pPr>
        <w:pStyle w:val="ListBullet"/>
        <w:numPr>
          <w:ilvl w:val="0"/>
          <w:numId w:val="33"/>
        </w:numPr>
        <w:spacing w:line="276" w:lineRule="auto"/>
        <w:rPr>
          <w:rFonts w:cs="Arial"/>
        </w:rPr>
      </w:pPr>
      <w:r w:rsidRPr="004F7342">
        <w:rPr>
          <w:rFonts w:cs="Arial"/>
        </w:rPr>
        <w:t>Maintain these arrangements while they continue to receive any IAS funding.</w:t>
      </w:r>
    </w:p>
    <w:p w14:paraId="6E7AB0F3" w14:textId="77777777" w:rsidR="000A08FD" w:rsidRPr="004F7342" w:rsidRDefault="000A08FD" w:rsidP="000A08FD">
      <w:pPr>
        <w:rPr>
          <w:rFonts w:cs="Arial"/>
        </w:rPr>
      </w:pPr>
      <w:r w:rsidRPr="004F7342">
        <w:rPr>
          <w:rFonts w:cs="Arial"/>
        </w:rPr>
        <w:t xml:space="preserve">The incorporation requirements apply to grant funding under grant agreements or variations executed on or after 1 July 2014. Grants for capital works and funding sourced through procurement activities are not included in the calculation of applicable funding.  </w:t>
      </w:r>
    </w:p>
    <w:p w14:paraId="73E34306" w14:textId="77777777" w:rsidR="000A08FD" w:rsidRPr="004F7342" w:rsidRDefault="000A08FD" w:rsidP="000A08FD">
      <w:pPr>
        <w:rPr>
          <w:rFonts w:cs="Arial"/>
        </w:rPr>
      </w:pPr>
      <w:r w:rsidRPr="004F7342">
        <w:rPr>
          <w:rFonts w:cs="Arial"/>
        </w:rPr>
        <w:t>Statutory bodies, government bodies, and organisations operating under a specific piece of legislation are excluded from the requirements and do not have to apply for an exemption.</w:t>
      </w:r>
    </w:p>
    <w:p w14:paraId="708F3AFB" w14:textId="77777777" w:rsidR="000A08FD" w:rsidRPr="004F7342" w:rsidRDefault="000A08FD" w:rsidP="000A08FD">
      <w:pPr>
        <w:rPr>
          <w:rFonts w:cs="Arial"/>
        </w:rPr>
      </w:pPr>
      <w:r>
        <w:rPr>
          <w:rFonts w:cs="Arial"/>
        </w:rPr>
        <w:t xml:space="preserve">First Nation </w:t>
      </w:r>
      <w:r w:rsidRPr="004F7342">
        <w:rPr>
          <w:rFonts w:cs="Arial"/>
        </w:rPr>
        <w:t xml:space="preserve">organisations already incorporated under the </w:t>
      </w:r>
      <w:hyperlink r:id="rId95" w:history="1">
        <w:r w:rsidRPr="00C23A95">
          <w:rPr>
            <w:rStyle w:val="Hyperlink"/>
            <w:rFonts w:cs="Arial"/>
            <w:i/>
          </w:rPr>
          <w:t>Corporations Act 2001</w:t>
        </w:r>
      </w:hyperlink>
      <w:r w:rsidRPr="004F7342">
        <w:rPr>
          <w:rFonts w:cs="Arial"/>
        </w:rPr>
        <w:t xml:space="preserve"> do not have to change their incorporation status. However, all other </w:t>
      </w:r>
      <w:r>
        <w:rPr>
          <w:rFonts w:cs="Arial"/>
        </w:rPr>
        <w:t xml:space="preserve">First Nation </w:t>
      </w:r>
      <w:r w:rsidRPr="004F7342">
        <w:rPr>
          <w:rFonts w:cs="Arial"/>
        </w:rPr>
        <w:t xml:space="preserve">organisations </w:t>
      </w:r>
      <w:r>
        <w:rPr>
          <w:rFonts w:cs="Arial"/>
        </w:rPr>
        <w:t xml:space="preserve">in scope of this policy </w:t>
      </w:r>
      <w:r w:rsidRPr="004F7342">
        <w:rPr>
          <w:rFonts w:cs="Arial"/>
        </w:rPr>
        <w:t xml:space="preserve">must incorporate under the </w:t>
      </w:r>
      <w:hyperlink r:id="rId96" w:history="1">
        <w:r w:rsidRPr="0051579B">
          <w:rPr>
            <w:rStyle w:val="Hyperlink"/>
            <w:rFonts w:cs="Arial"/>
            <w:i/>
          </w:rPr>
          <w:t>Corporations (Aboriginal and Torres Strait Islander) Act 2006</w:t>
        </w:r>
        <w:r w:rsidRPr="0051579B">
          <w:rPr>
            <w:rStyle w:val="Hyperlink"/>
            <w:rFonts w:cs="Arial"/>
          </w:rPr>
          <w:t xml:space="preserve"> so</w:t>
        </w:r>
      </w:hyperlink>
      <w:r w:rsidRPr="004F7342">
        <w:rPr>
          <w:rFonts w:cs="Arial"/>
        </w:rPr>
        <w:t xml:space="preserve"> they can access the assi</w:t>
      </w:r>
      <w:r>
        <w:rPr>
          <w:rFonts w:cs="Arial"/>
        </w:rPr>
        <w:t xml:space="preserve">stance and support available </w:t>
      </w:r>
      <w:r w:rsidRPr="004F7342">
        <w:rPr>
          <w:rFonts w:cs="Arial"/>
        </w:rPr>
        <w:t>under the Act.</w:t>
      </w:r>
    </w:p>
    <w:p w14:paraId="41D6AE7D" w14:textId="77777777" w:rsidR="000A08FD" w:rsidRPr="004F7342" w:rsidRDefault="000A08FD" w:rsidP="000A08FD">
      <w:pPr>
        <w:rPr>
          <w:rFonts w:cs="Arial"/>
        </w:rPr>
      </w:pPr>
      <w:r w:rsidRPr="004F7342">
        <w:rPr>
          <w:rFonts w:cs="Arial"/>
        </w:rPr>
        <w:t>Organisations will need to comply with this requirement as part of their grant agreement. Non-compliance will constitute a breach and may result in the termination of the grant agreement.</w:t>
      </w:r>
    </w:p>
    <w:p w14:paraId="63F0BC43" w14:textId="77777777" w:rsidR="000A08FD" w:rsidRPr="004F7342" w:rsidRDefault="000A08FD" w:rsidP="000A08FD">
      <w:pPr>
        <w:rPr>
          <w:rFonts w:cs="Arial"/>
        </w:rPr>
      </w:pPr>
      <w:r w:rsidRPr="004F7342">
        <w:rPr>
          <w:rFonts w:cs="Arial"/>
        </w:rPr>
        <w:t xml:space="preserve">Organisations will have a six-month transition period to comply with the incorporation requirement from the execution of the Grant Agreement or variation of an existing grant agreement. At the </w:t>
      </w:r>
      <w:r w:rsidR="00FE6C44">
        <w:rPr>
          <w:rFonts w:cs="Arial"/>
        </w:rPr>
        <w:t>NIAA</w:t>
      </w:r>
      <w:r w:rsidRPr="004F7342">
        <w:rPr>
          <w:rFonts w:cs="Arial"/>
        </w:rPr>
        <w:t xml:space="preserve">’s discretion extended transition periods may be granted to organisations if the organisation has applied for an extension in writing and can provide evidence that they have made reasonable attempts during the six month period to transition, but are unable to meet this requirement in that time.  </w:t>
      </w:r>
    </w:p>
    <w:p w14:paraId="257341CA" w14:textId="77777777" w:rsidR="000A08FD" w:rsidRPr="004F7342" w:rsidRDefault="000A08FD" w:rsidP="000A08FD">
      <w:pPr>
        <w:rPr>
          <w:rFonts w:cs="Arial"/>
        </w:rPr>
      </w:pPr>
      <w:r w:rsidRPr="004F7342">
        <w:rPr>
          <w:rFonts w:cs="Arial"/>
        </w:rPr>
        <w:t xml:space="preserve">Organisations may apply for an exemption from the requirement to incorporate under the Strengthening Organisational Governance Policy. Applications for exemption must be submitted using the process outlined by the </w:t>
      </w:r>
      <w:r w:rsidR="00FE6C44">
        <w:rPr>
          <w:rFonts w:cs="Arial"/>
        </w:rPr>
        <w:t>NIAA</w:t>
      </w:r>
      <w:r w:rsidRPr="004F7342">
        <w:rPr>
          <w:rFonts w:cs="Arial"/>
        </w:rPr>
        <w:t xml:space="preserve">. Details about the exemptions policy and the Application for Exemption form can be found on the </w:t>
      </w:r>
      <w:hyperlink r:id="rId97">
        <w:r w:rsidR="00FE6C44">
          <w:rPr>
            <w:rFonts w:cs="Arial"/>
          </w:rPr>
          <w:t>NIAA</w:t>
        </w:r>
        <w:r w:rsidRPr="3E969A75">
          <w:rPr>
            <w:rFonts w:cs="Arial"/>
          </w:rPr>
          <w:t>’s website</w:t>
        </w:r>
      </w:hyperlink>
      <w:r w:rsidRPr="3E969A75">
        <w:rPr>
          <w:rFonts w:cs="Arial"/>
        </w:rPr>
        <w:t>.</w:t>
      </w:r>
    </w:p>
    <w:p w14:paraId="51AFA7FE" w14:textId="77777777" w:rsidR="000A08FD" w:rsidRPr="004F7342" w:rsidRDefault="000A08FD" w:rsidP="000A08FD">
      <w:pPr>
        <w:rPr>
          <w:rFonts w:cs="Arial"/>
        </w:rPr>
      </w:pPr>
      <w:r w:rsidRPr="004F7342">
        <w:rPr>
          <w:rFonts w:cs="Arial"/>
        </w:rPr>
        <w:t>Exemptions will be considered where an organisation can demonstrate at least one of the following:</w:t>
      </w:r>
    </w:p>
    <w:p w14:paraId="5ACC8B4C" w14:textId="77777777" w:rsidR="000A08FD" w:rsidRPr="004F7342" w:rsidRDefault="000A08FD" w:rsidP="000A08FD">
      <w:pPr>
        <w:ind w:left="709" w:hanging="709"/>
        <w:rPr>
          <w:rFonts w:cs="Arial"/>
        </w:rPr>
      </w:pPr>
      <w:r w:rsidRPr="004F7342">
        <w:rPr>
          <w:rFonts w:cs="Arial"/>
        </w:rPr>
        <w:t>1.</w:t>
      </w:r>
      <w:r w:rsidRPr="004F7342">
        <w:rPr>
          <w:rFonts w:cs="Arial"/>
        </w:rPr>
        <w:tab/>
        <w:t xml:space="preserve">That grant funding received from the Indigenous Affairs Group within the </w:t>
      </w:r>
      <w:r w:rsidR="00FE6C44">
        <w:rPr>
          <w:rFonts w:cs="Arial"/>
        </w:rPr>
        <w:t>NIAA</w:t>
      </w:r>
      <w:r>
        <w:rPr>
          <w:rFonts w:cs="Arial"/>
        </w:rPr>
        <w:t xml:space="preserve"> </w:t>
      </w:r>
      <w:r w:rsidRPr="004F7342">
        <w:rPr>
          <w:rFonts w:cs="Arial"/>
        </w:rPr>
        <w:t>is a small portion of its total revenue, and as such changing incorporation status may unfairly impose additional requirements on its operations and business model.</w:t>
      </w:r>
    </w:p>
    <w:p w14:paraId="7408BC25" w14:textId="77777777" w:rsidR="000A08FD" w:rsidRPr="004F7342" w:rsidRDefault="000A08FD" w:rsidP="000A08FD">
      <w:pPr>
        <w:ind w:left="709" w:hanging="709"/>
        <w:rPr>
          <w:rFonts w:cs="Arial"/>
        </w:rPr>
      </w:pPr>
      <w:r w:rsidRPr="004F7342">
        <w:rPr>
          <w:rFonts w:cs="Arial"/>
        </w:rPr>
        <w:t>2.</w:t>
      </w:r>
      <w:r w:rsidRPr="004F7342">
        <w:rPr>
          <w:rFonts w:cs="Arial"/>
        </w:rPr>
        <w:tab/>
        <w:t>It is required to incorporate under specific non-Commonwealth legislation as part of its licensing arrangements or funding received through other sources.</w:t>
      </w:r>
    </w:p>
    <w:p w14:paraId="0E26D9F8" w14:textId="77777777" w:rsidR="000A08FD" w:rsidRPr="004F7342" w:rsidRDefault="000A08FD" w:rsidP="000A08FD">
      <w:pPr>
        <w:rPr>
          <w:rFonts w:cs="Arial"/>
        </w:rPr>
      </w:pPr>
      <w:r w:rsidRPr="004F7342">
        <w:rPr>
          <w:rFonts w:cs="Arial"/>
        </w:rPr>
        <w:t>Applications for exemption will be considered on a case-by-case basis, and will take into consideration information demonstrating that the organisation is well-governed, high-performing and low risk.</w:t>
      </w:r>
    </w:p>
    <w:p w14:paraId="0384C2C2" w14:textId="77777777" w:rsidR="000A08FD" w:rsidRPr="004F7342" w:rsidRDefault="000A08FD" w:rsidP="000A08FD">
      <w:pPr>
        <w:rPr>
          <w:rFonts w:cs="Arial"/>
        </w:rPr>
      </w:pPr>
      <w:r w:rsidRPr="004F7342">
        <w:rPr>
          <w:rFonts w:cs="Arial"/>
        </w:rPr>
        <w:t xml:space="preserve">Applications for exemption from the requirements should be lodged through the Agreement Manager in the </w:t>
      </w:r>
      <w:r>
        <w:rPr>
          <w:rFonts w:cs="Arial"/>
        </w:rPr>
        <w:t>NIAA</w:t>
      </w:r>
      <w:r w:rsidRPr="004F7342">
        <w:rPr>
          <w:rFonts w:cs="Arial"/>
        </w:rPr>
        <w:t xml:space="preserve"> Regional Office. Applications should be lodged within the transition period, as soon as practicable once an offer of funding has been made. Organisations will be expected to comply with the requirements within the transition period should an exemption not be granted. </w:t>
      </w:r>
    </w:p>
    <w:p w14:paraId="173040C8" w14:textId="77777777" w:rsidR="000A08FD" w:rsidRPr="004F7342" w:rsidRDefault="000A08FD" w:rsidP="000A08FD">
      <w:pPr>
        <w:rPr>
          <w:rFonts w:cs="Arial"/>
        </w:rPr>
      </w:pPr>
      <w:r w:rsidRPr="004F7342">
        <w:rPr>
          <w:rFonts w:cs="Arial"/>
        </w:rPr>
        <w:t xml:space="preserve">Support for </w:t>
      </w:r>
      <w:r>
        <w:rPr>
          <w:rFonts w:cs="Arial"/>
        </w:rPr>
        <w:t xml:space="preserve">First Nation </w:t>
      </w:r>
      <w:r w:rsidRPr="004F7342">
        <w:rPr>
          <w:rFonts w:cs="Arial"/>
        </w:rPr>
        <w:t xml:space="preserve">organisations transferring to the </w:t>
      </w:r>
      <w:hyperlink r:id="rId98" w:history="1">
        <w:r w:rsidRPr="0051579B">
          <w:rPr>
            <w:rStyle w:val="Hyperlink"/>
            <w:rFonts w:cs="Arial"/>
            <w:i/>
          </w:rPr>
          <w:t>Corporations (Aboriginal and Torres Strait Islander) Act 2006</w:t>
        </w:r>
      </w:hyperlink>
      <w:r w:rsidRPr="004F7342">
        <w:rPr>
          <w:rFonts w:cs="Arial"/>
        </w:rPr>
        <w:t xml:space="preserve"> is available through the Office of the Registrar of Indigenous Corporations (ORIC). This includes assistance in developing a rulebook, guidance on the process to transfer incorporation, and access to pro bono legal assistance through the LawHelp service. </w:t>
      </w:r>
    </w:p>
    <w:p w14:paraId="3131E3E4" w14:textId="77777777" w:rsidR="000A08FD" w:rsidRPr="004F7342" w:rsidRDefault="000A08FD" w:rsidP="000A08FD">
      <w:pPr>
        <w:rPr>
          <w:rFonts w:cs="Arial"/>
        </w:rPr>
      </w:pPr>
      <w:r w:rsidRPr="004F7342">
        <w:rPr>
          <w:rFonts w:cs="Arial"/>
        </w:rPr>
        <w:t xml:space="preserve">Organisations required to transfer their incorporation from state and territory legislation to either the </w:t>
      </w:r>
      <w:hyperlink r:id="rId99" w:history="1">
        <w:r w:rsidRPr="0051579B">
          <w:rPr>
            <w:rStyle w:val="Hyperlink"/>
            <w:rFonts w:cs="Arial"/>
            <w:i/>
          </w:rPr>
          <w:t>Corporations (Aboriginal and Torres Strait Islander) Act 2006</w:t>
        </w:r>
      </w:hyperlink>
      <w:r w:rsidRPr="004F7342">
        <w:rPr>
          <w:rFonts w:cs="Arial"/>
        </w:rPr>
        <w:t xml:space="preserve"> or the </w:t>
      </w:r>
      <w:hyperlink r:id="rId100" w:history="1">
        <w:r w:rsidRPr="00C23A95">
          <w:rPr>
            <w:rStyle w:val="Hyperlink"/>
            <w:rFonts w:cs="Arial"/>
            <w:i/>
          </w:rPr>
          <w:t>Corporations Act 2001</w:t>
        </w:r>
      </w:hyperlink>
      <w:r w:rsidRPr="004F7342">
        <w:rPr>
          <w:rFonts w:cs="Arial"/>
        </w:rPr>
        <w:t xml:space="preserve"> may incur some additional, one-off costs for independent legal advice and accountancy services to support the transfer of incorporation. </w:t>
      </w:r>
      <w:r w:rsidRPr="004F7342">
        <w:rPr>
          <w:rFonts w:cs="Arial"/>
          <w:b/>
        </w:rPr>
        <w:t xml:space="preserve">To assist those organisations required to transfer their incorporation status, the </w:t>
      </w:r>
      <w:r w:rsidR="00FE6C44">
        <w:rPr>
          <w:rFonts w:cs="Arial"/>
          <w:b/>
        </w:rPr>
        <w:t>NIAA</w:t>
      </w:r>
      <w:r>
        <w:rPr>
          <w:rFonts w:cs="Arial"/>
          <w:b/>
        </w:rPr>
        <w:t xml:space="preserve"> </w:t>
      </w:r>
      <w:r w:rsidRPr="004F7342">
        <w:rPr>
          <w:rFonts w:cs="Arial"/>
          <w:b/>
        </w:rPr>
        <w:t>will provide a one-off $10,000 (GST exclusive) payment upon receipt of evidence that the transfer has occurred.</w:t>
      </w:r>
    </w:p>
    <w:p w14:paraId="19DCF1F6" w14:textId="0F98DCE8" w:rsidR="000A08FD" w:rsidRPr="004F7342" w:rsidRDefault="000A08FD" w:rsidP="000A08FD">
      <w:pPr>
        <w:rPr>
          <w:rFonts w:cs="Arial"/>
        </w:rPr>
      </w:pPr>
      <w:r w:rsidRPr="3E969A75">
        <w:rPr>
          <w:rFonts w:cs="Arial"/>
        </w:rPr>
        <w:t xml:space="preserve">Please refer to the </w:t>
      </w:r>
      <w:hyperlink r:id="rId101">
        <w:r w:rsidR="00FE6C44">
          <w:rPr>
            <w:rStyle w:val="Hyperlink"/>
            <w:rFonts w:cs="Arial"/>
          </w:rPr>
          <w:t>NIAA</w:t>
        </w:r>
        <w:r w:rsidRPr="3E969A75">
          <w:rPr>
            <w:rStyle w:val="Hyperlink"/>
            <w:rFonts w:cs="Arial"/>
          </w:rPr>
          <w:t>’s website</w:t>
        </w:r>
      </w:hyperlink>
      <w:r w:rsidRPr="3E969A75">
        <w:rPr>
          <w:rFonts w:cs="Arial"/>
        </w:rPr>
        <w:t xml:space="preserve"> at </w:t>
      </w:r>
      <w:hyperlink r:id="rId102" w:history="1">
        <w:r w:rsidR="00BC4479">
          <w:rPr>
            <w:rStyle w:val="Hyperlink"/>
          </w:rPr>
          <w:t>Grants and Funding | NIAA</w:t>
        </w:r>
      </w:hyperlink>
      <w:r w:rsidRPr="3E969A75">
        <w:rPr>
          <w:rFonts w:cs="Arial"/>
        </w:rPr>
        <w:t xml:space="preserve"> for further information.</w:t>
      </w:r>
    </w:p>
    <w:p w14:paraId="4C3B39DE" w14:textId="77777777" w:rsidR="009B0D44" w:rsidRDefault="009B0D44">
      <w:pPr>
        <w:spacing w:before="0" w:after="0" w:line="240" w:lineRule="auto"/>
        <w:rPr>
          <w:rFonts w:cs="Arial"/>
        </w:rPr>
      </w:pPr>
      <w:r>
        <w:rPr>
          <w:rFonts w:cs="Arial"/>
        </w:rPr>
        <w:br w:type="page"/>
      </w:r>
    </w:p>
    <w:p w14:paraId="1727C8C7" w14:textId="77777777" w:rsidR="00C73B6C" w:rsidRPr="004F7342" w:rsidRDefault="00C73B6C" w:rsidP="00A4685F">
      <w:pPr>
        <w:pStyle w:val="Heading2"/>
      </w:pPr>
      <w:bookmarkStart w:id="157" w:name="_Toc170734180"/>
      <w:r>
        <w:t>Appendix C</w:t>
      </w:r>
      <w:r w:rsidRPr="004F7342">
        <w:t xml:space="preserve">: </w:t>
      </w:r>
      <w:r>
        <w:t>Application checklist</w:t>
      </w:r>
      <w:bookmarkEnd w:id="157"/>
    </w:p>
    <w:p w14:paraId="6C4E2693" w14:textId="5DD45AA4" w:rsidR="00A61808" w:rsidRDefault="007B033A" w:rsidP="007B033A">
      <w:pPr>
        <w:rPr>
          <w:rFonts w:cs="Arial"/>
        </w:rPr>
      </w:pPr>
      <w:r>
        <w:rPr>
          <w:rFonts w:cs="Arial"/>
        </w:rPr>
        <w:t>Use the following checklist before you submit an application</w:t>
      </w:r>
      <w:r w:rsidRPr="007B033A">
        <w:rPr>
          <w:rFonts w:cs="Arial"/>
        </w:rPr>
        <w:t xml:space="preserve"> to ensure the application is complete and contains the information needed for the assessment process.</w:t>
      </w:r>
    </w:p>
    <w:p w14:paraId="36A621BE" w14:textId="6D32F8F9" w:rsidR="00944218" w:rsidRPr="00944218" w:rsidRDefault="00944218" w:rsidP="00A4685F">
      <w:pPr>
        <w:pStyle w:val="Heading2"/>
      </w:pPr>
      <w:bookmarkStart w:id="158" w:name="_Toc170734181"/>
      <w:r w:rsidRPr="00944218">
        <w:t>Before applying</w:t>
      </w:r>
      <w:bookmarkEnd w:id="158"/>
    </w:p>
    <w:tbl>
      <w:tblPr>
        <w:tblStyle w:val="TableGrid"/>
        <w:tblW w:w="0" w:type="auto"/>
        <w:tblLook w:val="0420" w:firstRow="1" w:lastRow="0" w:firstColumn="0" w:lastColumn="0" w:noHBand="0" w:noVBand="1"/>
        <w:tblCaption w:val="Before applying"/>
        <w:tblDescription w:val="This table outlines 5 steps to undertake before applying."/>
      </w:tblPr>
      <w:tblGrid>
        <w:gridCol w:w="737"/>
        <w:gridCol w:w="6731"/>
        <w:gridCol w:w="1310"/>
      </w:tblGrid>
      <w:tr w:rsidR="00BC5AB7" w:rsidRPr="00A557FB" w14:paraId="2BBB064D" w14:textId="77777777" w:rsidTr="00BC5AB7">
        <w:trPr>
          <w:tblHeader/>
        </w:trPr>
        <w:tc>
          <w:tcPr>
            <w:tcW w:w="737" w:type="dxa"/>
            <w:shd w:val="clear" w:color="auto" w:fill="B8CCE4" w:themeFill="accent1" w:themeFillTint="66"/>
          </w:tcPr>
          <w:p w14:paraId="2632A512" w14:textId="77777777" w:rsidR="00944218" w:rsidRPr="00A557FB" w:rsidRDefault="00944218" w:rsidP="009006BE">
            <w:pPr>
              <w:rPr>
                <w:rFonts w:cs="Arial"/>
                <w:b/>
                <w:bCs/>
                <w:iCs/>
                <w:sz w:val="24"/>
                <w:szCs w:val="24"/>
              </w:rPr>
            </w:pPr>
            <w:r>
              <w:rPr>
                <w:rFonts w:cs="Arial"/>
                <w:b/>
                <w:bCs/>
                <w:iCs/>
                <w:sz w:val="24"/>
                <w:szCs w:val="24"/>
              </w:rPr>
              <w:t>St</w:t>
            </w:r>
            <w:r w:rsidRPr="00A557FB">
              <w:rPr>
                <w:rFonts w:cs="Arial"/>
                <w:b/>
                <w:bCs/>
                <w:iCs/>
                <w:sz w:val="24"/>
                <w:szCs w:val="24"/>
              </w:rPr>
              <w:t>e</w:t>
            </w:r>
            <w:r>
              <w:rPr>
                <w:rFonts w:cs="Arial"/>
                <w:b/>
                <w:bCs/>
                <w:iCs/>
                <w:sz w:val="24"/>
                <w:szCs w:val="24"/>
              </w:rPr>
              <w:t>p</w:t>
            </w:r>
          </w:p>
        </w:tc>
        <w:tc>
          <w:tcPr>
            <w:tcW w:w="6731" w:type="dxa"/>
            <w:shd w:val="clear" w:color="auto" w:fill="B8CCE4" w:themeFill="accent1" w:themeFillTint="66"/>
          </w:tcPr>
          <w:p w14:paraId="7FF36ACB" w14:textId="77777777" w:rsidR="00944218" w:rsidRPr="00A557FB" w:rsidRDefault="00944218" w:rsidP="009006BE">
            <w:pPr>
              <w:rPr>
                <w:rFonts w:cs="Arial"/>
                <w:b/>
                <w:bCs/>
                <w:iCs/>
                <w:sz w:val="24"/>
                <w:szCs w:val="24"/>
              </w:rPr>
            </w:pPr>
            <w:r>
              <w:rPr>
                <w:rFonts w:cs="Arial"/>
                <w:b/>
                <w:bCs/>
                <w:iCs/>
                <w:sz w:val="24"/>
                <w:szCs w:val="24"/>
              </w:rPr>
              <w:t>Instruction</w:t>
            </w:r>
          </w:p>
        </w:tc>
        <w:tc>
          <w:tcPr>
            <w:tcW w:w="1310" w:type="dxa"/>
            <w:shd w:val="clear" w:color="auto" w:fill="B8CCE4" w:themeFill="accent1" w:themeFillTint="66"/>
          </w:tcPr>
          <w:p w14:paraId="3854E3FC" w14:textId="77777777" w:rsidR="00944218" w:rsidRPr="00A557FB" w:rsidRDefault="00944218" w:rsidP="009006BE">
            <w:pPr>
              <w:rPr>
                <w:rFonts w:cs="Arial"/>
                <w:b/>
                <w:bCs/>
                <w:iCs/>
                <w:sz w:val="24"/>
                <w:szCs w:val="24"/>
              </w:rPr>
            </w:pPr>
            <w:r>
              <w:rPr>
                <w:rFonts w:cs="Arial"/>
                <w:b/>
                <w:bCs/>
                <w:iCs/>
                <w:sz w:val="24"/>
                <w:szCs w:val="24"/>
              </w:rPr>
              <w:t>Complete</w:t>
            </w:r>
          </w:p>
        </w:tc>
      </w:tr>
      <w:tr w:rsidR="00944218" w14:paraId="6D783064" w14:textId="77777777" w:rsidTr="00CA3F81">
        <w:tc>
          <w:tcPr>
            <w:tcW w:w="737" w:type="dxa"/>
          </w:tcPr>
          <w:p w14:paraId="403CB4B9" w14:textId="026C83FF" w:rsidR="00944218" w:rsidRPr="00331593" w:rsidRDefault="00331593" w:rsidP="00D0671A">
            <w:pPr>
              <w:ind w:left="360" w:hanging="186"/>
              <w:jc w:val="both"/>
              <w:rPr>
                <w:rFonts w:cs="Arial"/>
              </w:rPr>
            </w:pPr>
            <w:r>
              <w:rPr>
                <w:rFonts w:cs="Arial"/>
              </w:rPr>
              <w:t>1</w:t>
            </w:r>
          </w:p>
        </w:tc>
        <w:tc>
          <w:tcPr>
            <w:tcW w:w="6731" w:type="dxa"/>
          </w:tcPr>
          <w:p w14:paraId="73EDFFE2" w14:textId="77777777" w:rsidR="00944218" w:rsidRDefault="00944218" w:rsidP="00944218">
            <w:pPr>
              <w:rPr>
                <w:rFonts w:cs="Arial"/>
              </w:rPr>
            </w:pPr>
            <w:r>
              <w:rPr>
                <w:rFonts w:cs="Arial"/>
                <w:color w:val="000000"/>
              </w:rPr>
              <w:t xml:space="preserve">You have discussed your </w:t>
            </w:r>
            <w:r w:rsidRPr="007B033A">
              <w:rPr>
                <w:rFonts w:cs="Arial"/>
                <w:color w:val="000000"/>
              </w:rPr>
              <w:t xml:space="preserve">proposal with </w:t>
            </w:r>
            <w:r>
              <w:rPr>
                <w:rFonts w:cs="Arial"/>
                <w:color w:val="000000"/>
              </w:rPr>
              <w:t xml:space="preserve">relevant </w:t>
            </w:r>
            <w:r w:rsidRPr="007B033A">
              <w:rPr>
                <w:rFonts w:cs="Arial"/>
              </w:rPr>
              <w:t xml:space="preserve">Indigenous </w:t>
            </w:r>
            <w:r w:rsidRPr="007B033A">
              <w:rPr>
                <w:rFonts w:cs="Arial"/>
                <w:color w:val="000000"/>
              </w:rPr>
              <w:t xml:space="preserve">groups </w:t>
            </w:r>
            <w:r>
              <w:rPr>
                <w:rFonts w:cs="Arial"/>
                <w:color w:val="000000"/>
              </w:rPr>
              <w:t xml:space="preserve">and </w:t>
            </w:r>
            <w:r w:rsidRPr="007B033A">
              <w:rPr>
                <w:rFonts w:cs="Arial"/>
                <w:color w:val="000000"/>
              </w:rPr>
              <w:t>other</w:t>
            </w:r>
            <w:r>
              <w:rPr>
                <w:rFonts w:cs="Arial"/>
                <w:color w:val="000000"/>
              </w:rPr>
              <w:t>s who may have</w:t>
            </w:r>
            <w:r w:rsidRPr="007B033A">
              <w:rPr>
                <w:rFonts w:cs="Arial"/>
                <w:color w:val="000000"/>
              </w:rPr>
              <w:t xml:space="preserve"> an interest in the project.</w:t>
            </w:r>
          </w:p>
        </w:tc>
        <w:sdt>
          <w:sdtPr>
            <w:id w:val="508407673"/>
            <w14:checkbox>
              <w14:checked w14:val="0"/>
              <w14:checkedState w14:val="2612" w14:font="MS Gothic"/>
              <w14:uncheckedState w14:val="2610" w14:font="MS Gothic"/>
            </w14:checkbox>
          </w:sdtPr>
          <w:sdtEndPr/>
          <w:sdtContent>
            <w:tc>
              <w:tcPr>
                <w:tcW w:w="1310" w:type="dxa"/>
              </w:tcPr>
              <w:p w14:paraId="0C7E89C6" w14:textId="362C1C58" w:rsidR="00944218" w:rsidRDefault="00944218" w:rsidP="00944218">
                <w:pPr>
                  <w:jc w:val="center"/>
                  <w:rPr>
                    <w:rFonts w:cs="Arial"/>
                  </w:rPr>
                </w:pPr>
                <w:r>
                  <w:rPr>
                    <w:rFonts w:ascii="MS Gothic" w:eastAsia="MS Gothic" w:hAnsi="MS Gothic" w:hint="eastAsia"/>
                  </w:rPr>
                  <w:t>☐</w:t>
                </w:r>
              </w:p>
            </w:tc>
          </w:sdtContent>
        </w:sdt>
      </w:tr>
      <w:tr w:rsidR="00944218" w14:paraId="58234E6C" w14:textId="77777777" w:rsidTr="00CA3F81">
        <w:tc>
          <w:tcPr>
            <w:tcW w:w="737" w:type="dxa"/>
          </w:tcPr>
          <w:p w14:paraId="36E566C3" w14:textId="6165CEDD" w:rsidR="00944218" w:rsidRPr="00331593" w:rsidRDefault="00331593" w:rsidP="00D0671A">
            <w:pPr>
              <w:ind w:left="360" w:hanging="186"/>
              <w:jc w:val="both"/>
              <w:rPr>
                <w:rFonts w:cs="Arial"/>
              </w:rPr>
            </w:pPr>
            <w:r>
              <w:rPr>
                <w:rFonts w:cs="Arial"/>
              </w:rPr>
              <w:t>2</w:t>
            </w:r>
          </w:p>
        </w:tc>
        <w:tc>
          <w:tcPr>
            <w:tcW w:w="6731" w:type="dxa"/>
          </w:tcPr>
          <w:p w14:paraId="19A41930" w14:textId="77777777" w:rsidR="00944218" w:rsidRPr="00BF29D1" w:rsidRDefault="00944218" w:rsidP="00944218">
            <w:pPr>
              <w:rPr>
                <w:rFonts w:cs="Arial"/>
                <w:color w:val="000000" w:themeColor="text1"/>
              </w:rPr>
            </w:pPr>
            <w:r w:rsidRPr="00BF29D1">
              <w:rPr>
                <w:rFonts w:cs="Arial"/>
                <w:color w:val="000000" w:themeColor="text1"/>
              </w:rPr>
              <w:t>You have read the Grant Opportunity Guidelines and met all the requirements as described, including eligibility and assessment criteria.</w:t>
            </w:r>
          </w:p>
        </w:tc>
        <w:tc>
          <w:tcPr>
            <w:tcW w:w="1310" w:type="dxa"/>
          </w:tcPr>
          <w:p w14:paraId="476711D1" w14:textId="55482087" w:rsidR="00944218" w:rsidRDefault="000A7AA5" w:rsidP="00944218">
            <w:pPr>
              <w:jc w:val="center"/>
              <w:rPr>
                <w:rFonts w:cs="Arial"/>
              </w:rPr>
            </w:pPr>
            <w:sdt>
              <w:sdtPr>
                <w:id w:val="595989166"/>
                <w14:checkbox>
                  <w14:checked w14:val="0"/>
                  <w14:checkedState w14:val="2612" w14:font="MS Gothic"/>
                  <w14:uncheckedState w14:val="2610" w14:font="MS Gothic"/>
                </w14:checkbox>
              </w:sdtPr>
              <w:sdtEndPr/>
              <w:sdtContent>
                <w:r w:rsidR="00944218" w:rsidRPr="00706223">
                  <w:rPr>
                    <w:rFonts w:ascii="MS Gothic" w:eastAsia="MS Gothic" w:hAnsi="MS Gothic" w:hint="eastAsia"/>
                  </w:rPr>
                  <w:t>☐</w:t>
                </w:r>
              </w:sdtContent>
            </w:sdt>
          </w:p>
        </w:tc>
      </w:tr>
      <w:tr w:rsidR="00944218" w14:paraId="15B289CC" w14:textId="77777777" w:rsidTr="00CA3F81">
        <w:tc>
          <w:tcPr>
            <w:tcW w:w="737" w:type="dxa"/>
          </w:tcPr>
          <w:p w14:paraId="5D847AB8" w14:textId="16F8113E" w:rsidR="00944218" w:rsidRPr="00331593" w:rsidRDefault="00A4685F" w:rsidP="00D0671A">
            <w:pPr>
              <w:ind w:left="360" w:hanging="186"/>
              <w:jc w:val="both"/>
              <w:rPr>
                <w:rFonts w:cs="Arial"/>
              </w:rPr>
            </w:pPr>
            <w:r>
              <w:rPr>
                <w:rFonts w:cs="Arial"/>
              </w:rPr>
              <w:t>3</w:t>
            </w:r>
          </w:p>
        </w:tc>
        <w:tc>
          <w:tcPr>
            <w:tcW w:w="6731" w:type="dxa"/>
          </w:tcPr>
          <w:p w14:paraId="3E64DDDA" w14:textId="77777777" w:rsidR="00944218" w:rsidRPr="00BF29D1" w:rsidRDefault="00944218" w:rsidP="00944218">
            <w:pPr>
              <w:rPr>
                <w:rFonts w:cs="Arial"/>
                <w:color w:val="000000" w:themeColor="text1"/>
              </w:rPr>
            </w:pPr>
            <w:r w:rsidRPr="00BF29D1">
              <w:rPr>
                <w:rFonts w:cs="Arial"/>
                <w:color w:val="000000" w:themeColor="text1"/>
              </w:rPr>
              <w:t xml:space="preserve">You can provide evidence of your incorporation status if required. </w:t>
            </w:r>
          </w:p>
        </w:tc>
        <w:tc>
          <w:tcPr>
            <w:tcW w:w="1310" w:type="dxa"/>
          </w:tcPr>
          <w:p w14:paraId="3E9FDB72" w14:textId="4B14BC99" w:rsidR="00944218" w:rsidRDefault="000A7AA5" w:rsidP="00944218">
            <w:pPr>
              <w:jc w:val="center"/>
              <w:rPr>
                <w:rFonts w:cs="Arial"/>
              </w:rPr>
            </w:pPr>
            <w:sdt>
              <w:sdtPr>
                <w:id w:val="-136413287"/>
                <w14:checkbox>
                  <w14:checked w14:val="0"/>
                  <w14:checkedState w14:val="2612" w14:font="MS Gothic"/>
                  <w14:uncheckedState w14:val="2610" w14:font="MS Gothic"/>
                </w14:checkbox>
              </w:sdtPr>
              <w:sdtEndPr/>
              <w:sdtContent>
                <w:r w:rsidR="00944218" w:rsidRPr="00706223">
                  <w:rPr>
                    <w:rFonts w:ascii="MS Gothic" w:eastAsia="MS Gothic" w:hAnsi="MS Gothic" w:hint="eastAsia"/>
                  </w:rPr>
                  <w:t>☐</w:t>
                </w:r>
              </w:sdtContent>
            </w:sdt>
          </w:p>
        </w:tc>
      </w:tr>
      <w:tr w:rsidR="00944218" w14:paraId="554E1C88" w14:textId="77777777" w:rsidTr="00CA3F81">
        <w:tc>
          <w:tcPr>
            <w:tcW w:w="737" w:type="dxa"/>
          </w:tcPr>
          <w:p w14:paraId="7D5D015E" w14:textId="6496947A" w:rsidR="00944218" w:rsidRPr="00331593" w:rsidRDefault="00A4685F" w:rsidP="00D0671A">
            <w:pPr>
              <w:ind w:left="360" w:hanging="186"/>
              <w:jc w:val="both"/>
              <w:rPr>
                <w:rFonts w:cs="Arial"/>
              </w:rPr>
            </w:pPr>
            <w:r>
              <w:rPr>
                <w:rFonts w:cs="Arial"/>
              </w:rPr>
              <w:t>4</w:t>
            </w:r>
          </w:p>
        </w:tc>
        <w:tc>
          <w:tcPr>
            <w:tcW w:w="6731" w:type="dxa"/>
          </w:tcPr>
          <w:p w14:paraId="740A5E11" w14:textId="77777777" w:rsidR="00944218" w:rsidRPr="00BF29D1" w:rsidRDefault="00944218" w:rsidP="00944218">
            <w:pPr>
              <w:rPr>
                <w:rFonts w:cs="Arial"/>
                <w:color w:val="000000" w:themeColor="text1"/>
              </w:rPr>
            </w:pPr>
            <w:r w:rsidRPr="00BF29D1">
              <w:rPr>
                <w:rFonts w:cs="Arial"/>
                <w:color w:val="000000" w:themeColor="text1"/>
              </w:rPr>
              <w:t xml:space="preserve">You have read the sample grant agreement and are willing to accept the terms it describes, if your application is successful. </w:t>
            </w:r>
          </w:p>
          <w:p w14:paraId="4CC7BA2C" w14:textId="77777777" w:rsidR="00944218" w:rsidRPr="00BF29D1" w:rsidRDefault="00944218" w:rsidP="00944218">
            <w:pPr>
              <w:rPr>
                <w:rFonts w:cs="Arial"/>
                <w:color w:val="000000" w:themeColor="text1"/>
              </w:rPr>
            </w:pPr>
            <w:r w:rsidRPr="00BF29D1">
              <w:rPr>
                <w:rFonts w:cs="Arial"/>
                <w:color w:val="000000" w:themeColor="text1"/>
              </w:rPr>
              <w:t>If you are not able to accept the terms of the agreement, you should contact your local NIAA Regional Office before applying.</w:t>
            </w:r>
          </w:p>
        </w:tc>
        <w:tc>
          <w:tcPr>
            <w:tcW w:w="1310" w:type="dxa"/>
          </w:tcPr>
          <w:p w14:paraId="253DF78A" w14:textId="75942673" w:rsidR="00944218" w:rsidRDefault="000A7AA5" w:rsidP="00944218">
            <w:pPr>
              <w:jc w:val="center"/>
              <w:rPr>
                <w:rFonts w:cs="Arial"/>
              </w:rPr>
            </w:pPr>
            <w:sdt>
              <w:sdtPr>
                <w:id w:val="2015483284"/>
                <w14:checkbox>
                  <w14:checked w14:val="0"/>
                  <w14:checkedState w14:val="2612" w14:font="MS Gothic"/>
                  <w14:uncheckedState w14:val="2610" w14:font="MS Gothic"/>
                </w14:checkbox>
              </w:sdtPr>
              <w:sdtEndPr/>
              <w:sdtContent>
                <w:r w:rsidR="00944218" w:rsidRPr="00706223">
                  <w:rPr>
                    <w:rFonts w:ascii="MS Gothic" w:eastAsia="MS Gothic" w:hAnsi="MS Gothic" w:hint="eastAsia"/>
                  </w:rPr>
                  <w:t>☐</w:t>
                </w:r>
              </w:sdtContent>
            </w:sdt>
          </w:p>
        </w:tc>
      </w:tr>
      <w:tr w:rsidR="00944218" w14:paraId="2D7B96C4" w14:textId="77777777" w:rsidTr="00CA3F81">
        <w:tc>
          <w:tcPr>
            <w:tcW w:w="737" w:type="dxa"/>
          </w:tcPr>
          <w:p w14:paraId="30A97E79" w14:textId="64AED5AE" w:rsidR="00944218" w:rsidRPr="00331593" w:rsidRDefault="00A4685F" w:rsidP="00D0671A">
            <w:pPr>
              <w:ind w:left="360" w:hanging="186"/>
              <w:jc w:val="both"/>
              <w:rPr>
                <w:rFonts w:cs="Arial"/>
              </w:rPr>
            </w:pPr>
            <w:r>
              <w:rPr>
                <w:rFonts w:cs="Arial"/>
              </w:rPr>
              <w:t>5</w:t>
            </w:r>
          </w:p>
        </w:tc>
        <w:tc>
          <w:tcPr>
            <w:tcW w:w="6731" w:type="dxa"/>
          </w:tcPr>
          <w:p w14:paraId="7165C577" w14:textId="77777777" w:rsidR="00944218" w:rsidRPr="00BF29D1" w:rsidRDefault="00944218" w:rsidP="00944218">
            <w:pPr>
              <w:rPr>
                <w:rFonts w:cs="Arial"/>
                <w:color w:val="000000" w:themeColor="text1"/>
              </w:rPr>
            </w:pPr>
            <w:r w:rsidRPr="00BF29D1">
              <w:rPr>
                <w:rFonts w:cs="Arial"/>
                <w:color w:val="000000" w:themeColor="text1"/>
              </w:rPr>
              <w:t>If you have a current NIAA grant agreement, you have found the ‘Provider Reference Number’ on your existing NIAA grant agreement.</w:t>
            </w:r>
          </w:p>
        </w:tc>
        <w:sdt>
          <w:sdtPr>
            <w:id w:val="-1624770114"/>
            <w14:checkbox>
              <w14:checked w14:val="0"/>
              <w14:checkedState w14:val="2612" w14:font="MS Gothic"/>
              <w14:uncheckedState w14:val="2610" w14:font="MS Gothic"/>
            </w14:checkbox>
          </w:sdtPr>
          <w:sdtEndPr/>
          <w:sdtContent>
            <w:tc>
              <w:tcPr>
                <w:tcW w:w="1310" w:type="dxa"/>
              </w:tcPr>
              <w:p w14:paraId="68555A71" w14:textId="28F99037" w:rsidR="00944218" w:rsidRDefault="00944218" w:rsidP="00944218">
                <w:pPr>
                  <w:jc w:val="center"/>
                  <w:rPr>
                    <w:rFonts w:cs="Arial"/>
                  </w:rPr>
                </w:pPr>
                <w:r>
                  <w:rPr>
                    <w:rFonts w:ascii="MS Gothic" w:eastAsia="MS Gothic" w:hAnsi="MS Gothic" w:hint="eastAsia"/>
                  </w:rPr>
                  <w:t>☐</w:t>
                </w:r>
              </w:p>
            </w:tc>
          </w:sdtContent>
        </w:sdt>
      </w:tr>
    </w:tbl>
    <w:p w14:paraId="390CECD9" w14:textId="77777777" w:rsidR="00A557FB" w:rsidRDefault="00A557FB" w:rsidP="00A4685F">
      <w:pPr>
        <w:pStyle w:val="Heading2"/>
      </w:pPr>
      <w:bookmarkStart w:id="159" w:name="_Toc170734182"/>
      <w:r w:rsidRPr="00A557FB">
        <w:t>Filling in the application form</w:t>
      </w:r>
      <w:bookmarkEnd w:id="159"/>
    </w:p>
    <w:tbl>
      <w:tblPr>
        <w:tblStyle w:val="TableGrid"/>
        <w:tblW w:w="0" w:type="auto"/>
        <w:tblLook w:val="04A0" w:firstRow="1" w:lastRow="0" w:firstColumn="1" w:lastColumn="0" w:noHBand="0" w:noVBand="1"/>
        <w:tblCaption w:val="Filling in the application form"/>
        <w:tblDescription w:val="This table outlines the four steps required to fill in the application form."/>
      </w:tblPr>
      <w:tblGrid>
        <w:gridCol w:w="936"/>
        <w:gridCol w:w="6532"/>
        <w:gridCol w:w="1310"/>
      </w:tblGrid>
      <w:tr w:rsidR="00A557FB" w:rsidRPr="00A557FB" w14:paraId="17F03D38" w14:textId="77777777" w:rsidTr="00DF3BFE">
        <w:trPr>
          <w:tblHeader/>
        </w:trPr>
        <w:tc>
          <w:tcPr>
            <w:tcW w:w="936" w:type="dxa"/>
            <w:shd w:val="clear" w:color="auto" w:fill="B8CCE4" w:themeFill="accent1" w:themeFillTint="66"/>
          </w:tcPr>
          <w:p w14:paraId="4364DC40" w14:textId="106D5834" w:rsidR="00A557FB" w:rsidRPr="00A557FB" w:rsidRDefault="00A557FB" w:rsidP="00F66DE9">
            <w:pPr>
              <w:rPr>
                <w:rFonts w:cs="Arial"/>
                <w:b/>
                <w:bCs/>
                <w:iCs/>
                <w:sz w:val="24"/>
                <w:szCs w:val="24"/>
              </w:rPr>
            </w:pPr>
            <w:r>
              <w:rPr>
                <w:rFonts w:cs="Arial"/>
                <w:b/>
                <w:bCs/>
                <w:iCs/>
                <w:sz w:val="24"/>
                <w:szCs w:val="24"/>
              </w:rPr>
              <w:t>St</w:t>
            </w:r>
            <w:r w:rsidRPr="00A557FB">
              <w:rPr>
                <w:rFonts w:cs="Arial"/>
                <w:b/>
                <w:bCs/>
                <w:iCs/>
                <w:sz w:val="24"/>
                <w:szCs w:val="24"/>
              </w:rPr>
              <w:t>e</w:t>
            </w:r>
            <w:r>
              <w:rPr>
                <w:rFonts w:cs="Arial"/>
                <w:b/>
                <w:bCs/>
                <w:iCs/>
                <w:sz w:val="24"/>
                <w:szCs w:val="24"/>
              </w:rPr>
              <w:t>p</w:t>
            </w:r>
          </w:p>
        </w:tc>
        <w:tc>
          <w:tcPr>
            <w:tcW w:w="6532" w:type="dxa"/>
            <w:shd w:val="clear" w:color="auto" w:fill="B8CCE4" w:themeFill="accent1" w:themeFillTint="66"/>
          </w:tcPr>
          <w:p w14:paraId="0F626D34" w14:textId="6C6ADABD" w:rsidR="00A557FB" w:rsidRPr="00A557FB" w:rsidRDefault="00A557FB" w:rsidP="00F66DE9">
            <w:pPr>
              <w:rPr>
                <w:rFonts w:cs="Arial"/>
                <w:b/>
                <w:bCs/>
                <w:iCs/>
                <w:sz w:val="24"/>
                <w:szCs w:val="24"/>
              </w:rPr>
            </w:pPr>
            <w:r>
              <w:rPr>
                <w:rFonts w:cs="Arial"/>
                <w:b/>
                <w:bCs/>
                <w:iCs/>
                <w:sz w:val="24"/>
                <w:szCs w:val="24"/>
              </w:rPr>
              <w:t>Instruction</w:t>
            </w:r>
          </w:p>
        </w:tc>
        <w:tc>
          <w:tcPr>
            <w:tcW w:w="1310" w:type="dxa"/>
            <w:shd w:val="clear" w:color="auto" w:fill="B8CCE4" w:themeFill="accent1" w:themeFillTint="66"/>
          </w:tcPr>
          <w:p w14:paraId="79539E63" w14:textId="03F7CF47" w:rsidR="00A557FB" w:rsidRPr="00A557FB" w:rsidRDefault="00944218" w:rsidP="00F66DE9">
            <w:pPr>
              <w:rPr>
                <w:rFonts w:cs="Arial"/>
                <w:b/>
                <w:bCs/>
                <w:iCs/>
                <w:sz w:val="24"/>
                <w:szCs w:val="24"/>
              </w:rPr>
            </w:pPr>
            <w:r>
              <w:rPr>
                <w:rFonts w:cs="Arial"/>
                <w:b/>
                <w:bCs/>
                <w:iCs/>
                <w:sz w:val="24"/>
                <w:szCs w:val="24"/>
              </w:rPr>
              <w:t>Complete</w:t>
            </w:r>
          </w:p>
        </w:tc>
      </w:tr>
      <w:tr w:rsidR="00F66DE9" w14:paraId="56A2D22C" w14:textId="77777777" w:rsidTr="00944218">
        <w:tc>
          <w:tcPr>
            <w:tcW w:w="936" w:type="dxa"/>
          </w:tcPr>
          <w:p w14:paraId="76694D8E" w14:textId="179BB02B" w:rsidR="00F66DE9" w:rsidRPr="00331593" w:rsidRDefault="00A4685F" w:rsidP="00D0671A">
            <w:pPr>
              <w:ind w:left="174"/>
              <w:rPr>
                <w:rFonts w:cs="Arial"/>
              </w:rPr>
            </w:pPr>
            <w:r>
              <w:rPr>
                <w:rFonts w:cs="Arial"/>
              </w:rPr>
              <w:t>1</w:t>
            </w:r>
          </w:p>
        </w:tc>
        <w:tc>
          <w:tcPr>
            <w:tcW w:w="6532" w:type="dxa"/>
          </w:tcPr>
          <w:p w14:paraId="40D133FA" w14:textId="77777777" w:rsidR="00F66DE9" w:rsidRPr="00BF29D1" w:rsidRDefault="00F66DE9" w:rsidP="00F66DE9">
            <w:pPr>
              <w:rPr>
                <w:rFonts w:cs="Arial"/>
                <w:color w:val="000000"/>
              </w:rPr>
            </w:pPr>
            <w:r w:rsidRPr="00BF29D1">
              <w:rPr>
                <w:rFonts w:cs="Arial"/>
                <w:color w:val="000000" w:themeColor="text1"/>
              </w:rPr>
              <w:t>You have completed the application form in English.</w:t>
            </w:r>
          </w:p>
        </w:tc>
        <w:sdt>
          <w:sdtPr>
            <w:id w:val="2137142511"/>
            <w14:checkbox>
              <w14:checked w14:val="0"/>
              <w14:checkedState w14:val="2612" w14:font="MS Gothic"/>
              <w14:uncheckedState w14:val="2610" w14:font="MS Gothic"/>
            </w14:checkbox>
          </w:sdtPr>
          <w:sdtEndPr/>
          <w:sdtContent>
            <w:tc>
              <w:tcPr>
                <w:tcW w:w="1310" w:type="dxa"/>
              </w:tcPr>
              <w:p w14:paraId="34C3CD2C" w14:textId="3E45657D" w:rsidR="00F66DE9" w:rsidRDefault="00D0671A" w:rsidP="00944218">
                <w:pPr>
                  <w:jc w:val="center"/>
                  <w:rPr>
                    <w:rFonts w:cs="Arial"/>
                  </w:rPr>
                </w:pPr>
                <w:r>
                  <w:rPr>
                    <w:rFonts w:ascii="MS Gothic" w:eastAsia="MS Gothic" w:hAnsi="MS Gothic" w:hint="eastAsia"/>
                  </w:rPr>
                  <w:t>☐</w:t>
                </w:r>
              </w:p>
            </w:tc>
          </w:sdtContent>
        </w:sdt>
      </w:tr>
      <w:tr w:rsidR="00944218" w14:paraId="6EFC218F" w14:textId="77777777" w:rsidTr="00944218">
        <w:tc>
          <w:tcPr>
            <w:tcW w:w="936" w:type="dxa"/>
          </w:tcPr>
          <w:p w14:paraId="3F65BCDF" w14:textId="15C071CE" w:rsidR="00944218" w:rsidRPr="00331593" w:rsidRDefault="00A4685F" w:rsidP="00D0671A">
            <w:pPr>
              <w:ind w:left="174"/>
              <w:rPr>
                <w:rFonts w:cs="Arial"/>
              </w:rPr>
            </w:pPr>
            <w:r>
              <w:rPr>
                <w:rFonts w:cs="Arial"/>
              </w:rPr>
              <w:t>2</w:t>
            </w:r>
          </w:p>
        </w:tc>
        <w:tc>
          <w:tcPr>
            <w:tcW w:w="6532" w:type="dxa"/>
          </w:tcPr>
          <w:p w14:paraId="3D0B9D84" w14:textId="77777777" w:rsidR="00944218" w:rsidRPr="00BF29D1" w:rsidRDefault="00944218" w:rsidP="00944218">
            <w:pPr>
              <w:rPr>
                <w:rFonts w:cs="Arial"/>
                <w:color w:val="000000" w:themeColor="text1"/>
              </w:rPr>
            </w:pPr>
            <w:r w:rsidRPr="00BF29D1">
              <w:rPr>
                <w:rFonts w:cs="Arial"/>
                <w:color w:val="000000" w:themeColor="text1"/>
              </w:rPr>
              <w:t>You have completed every section of the application form.</w:t>
            </w:r>
          </w:p>
        </w:tc>
        <w:sdt>
          <w:sdtPr>
            <w:id w:val="-2029777238"/>
            <w14:checkbox>
              <w14:checked w14:val="0"/>
              <w14:checkedState w14:val="2612" w14:font="MS Gothic"/>
              <w14:uncheckedState w14:val="2610" w14:font="MS Gothic"/>
            </w14:checkbox>
          </w:sdtPr>
          <w:sdtEndPr/>
          <w:sdtContent>
            <w:tc>
              <w:tcPr>
                <w:tcW w:w="1310" w:type="dxa"/>
              </w:tcPr>
              <w:p w14:paraId="01A69704" w14:textId="384B4F44" w:rsidR="00944218" w:rsidRDefault="00944218" w:rsidP="00944218">
                <w:pPr>
                  <w:jc w:val="center"/>
                  <w:rPr>
                    <w:rFonts w:cs="Arial"/>
                  </w:rPr>
                </w:pPr>
                <w:r w:rsidRPr="00706223">
                  <w:rPr>
                    <w:rFonts w:ascii="MS Gothic" w:eastAsia="MS Gothic" w:hAnsi="MS Gothic" w:hint="eastAsia"/>
                  </w:rPr>
                  <w:t>☐</w:t>
                </w:r>
              </w:p>
            </w:tc>
          </w:sdtContent>
        </w:sdt>
      </w:tr>
      <w:tr w:rsidR="00944218" w14:paraId="063C44D8" w14:textId="77777777" w:rsidTr="00944218">
        <w:tc>
          <w:tcPr>
            <w:tcW w:w="936" w:type="dxa"/>
          </w:tcPr>
          <w:p w14:paraId="59A05220" w14:textId="6EB70791" w:rsidR="00944218" w:rsidRPr="00331593" w:rsidRDefault="00A4685F" w:rsidP="00D0671A">
            <w:pPr>
              <w:ind w:left="174"/>
              <w:rPr>
                <w:rFonts w:cs="Arial"/>
              </w:rPr>
            </w:pPr>
            <w:r>
              <w:rPr>
                <w:rFonts w:cs="Arial"/>
              </w:rPr>
              <w:t>3</w:t>
            </w:r>
          </w:p>
        </w:tc>
        <w:tc>
          <w:tcPr>
            <w:tcW w:w="6532" w:type="dxa"/>
          </w:tcPr>
          <w:p w14:paraId="767B7FA5" w14:textId="77777777" w:rsidR="00944218" w:rsidRPr="00BF29D1" w:rsidRDefault="00944218" w:rsidP="00944218">
            <w:pPr>
              <w:rPr>
                <w:rFonts w:cs="Arial"/>
                <w:color w:val="000000" w:themeColor="text1"/>
              </w:rPr>
            </w:pPr>
            <w:r w:rsidRPr="00BF29D1">
              <w:rPr>
                <w:rFonts w:cs="Arial"/>
                <w:color w:val="000000" w:themeColor="text1"/>
              </w:rPr>
              <w:t>You have provided the name and contact details of two referees who can support the claims made against the assessment criteria.</w:t>
            </w:r>
          </w:p>
        </w:tc>
        <w:sdt>
          <w:sdtPr>
            <w:id w:val="-534494800"/>
            <w14:checkbox>
              <w14:checked w14:val="0"/>
              <w14:checkedState w14:val="2612" w14:font="MS Gothic"/>
              <w14:uncheckedState w14:val="2610" w14:font="MS Gothic"/>
            </w14:checkbox>
          </w:sdtPr>
          <w:sdtEndPr/>
          <w:sdtContent>
            <w:tc>
              <w:tcPr>
                <w:tcW w:w="1310" w:type="dxa"/>
              </w:tcPr>
              <w:p w14:paraId="7ADCDDF7" w14:textId="2827F8E6" w:rsidR="00944218" w:rsidRDefault="00944218" w:rsidP="00944218">
                <w:pPr>
                  <w:jc w:val="center"/>
                  <w:rPr>
                    <w:rFonts w:cs="Arial"/>
                  </w:rPr>
                </w:pPr>
                <w:r w:rsidRPr="00706223">
                  <w:rPr>
                    <w:rFonts w:ascii="MS Gothic" w:eastAsia="MS Gothic" w:hAnsi="MS Gothic" w:hint="eastAsia"/>
                  </w:rPr>
                  <w:t>☐</w:t>
                </w:r>
              </w:p>
            </w:tc>
          </w:sdtContent>
        </w:sdt>
      </w:tr>
      <w:tr w:rsidR="00944218" w14:paraId="2F54BB2C" w14:textId="77777777" w:rsidTr="00944218">
        <w:tc>
          <w:tcPr>
            <w:tcW w:w="936" w:type="dxa"/>
          </w:tcPr>
          <w:p w14:paraId="5129CC8A" w14:textId="220CFAC8" w:rsidR="00944218" w:rsidRPr="00331593" w:rsidRDefault="00A4685F" w:rsidP="00D0671A">
            <w:pPr>
              <w:ind w:left="174"/>
              <w:rPr>
                <w:rFonts w:cs="Arial"/>
              </w:rPr>
            </w:pPr>
            <w:r>
              <w:rPr>
                <w:rFonts w:cs="Arial"/>
              </w:rPr>
              <w:t>4</w:t>
            </w:r>
          </w:p>
        </w:tc>
        <w:tc>
          <w:tcPr>
            <w:tcW w:w="6532" w:type="dxa"/>
          </w:tcPr>
          <w:p w14:paraId="4B989B34" w14:textId="77777777" w:rsidR="00944218" w:rsidRPr="00BF29D1" w:rsidRDefault="00944218" w:rsidP="00944218">
            <w:pPr>
              <w:rPr>
                <w:rFonts w:cs="Arial"/>
                <w:color w:val="000000" w:themeColor="text1"/>
              </w:rPr>
            </w:pPr>
            <w:r w:rsidRPr="00BF29D1">
              <w:rPr>
                <w:rFonts w:cs="Arial"/>
                <w:color w:val="000000" w:themeColor="text1"/>
              </w:rPr>
              <w:t>You have complete the ‘Declaration’ section by ensuring all fields are completed including the checkboxes. If completing the form online, the applicant or person authorised to act on behalf of the applicant, should type their full name in the signature field.</w:t>
            </w:r>
          </w:p>
        </w:tc>
        <w:sdt>
          <w:sdtPr>
            <w:id w:val="1091051865"/>
            <w14:checkbox>
              <w14:checked w14:val="0"/>
              <w14:checkedState w14:val="2612" w14:font="MS Gothic"/>
              <w14:uncheckedState w14:val="2610" w14:font="MS Gothic"/>
            </w14:checkbox>
          </w:sdtPr>
          <w:sdtEndPr/>
          <w:sdtContent>
            <w:tc>
              <w:tcPr>
                <w:tcW w:w="1310" w:type="dxa"/>
              </w:tcPr>
              <w:p w14:paraId="38870843" w14:textId="50F9B0D7" w:rsidR="00944218" w:rsidRDefault="00944218" w:rsidP="00944218">
                <w:pPr>
                  <w:jc w:val="center"/>
                  <w:rPr>
                    <w:rFonts w:cs="Arial"/>
                  </w:rPr>
                </w:pPr>
                <w:r w:rsidRPr="00706223">
                  <w:rPr>
                    <w:rFonts w:ascii="MS Gothic" w:eastAsia="MS Gothic" w:hAnsi="MS Gothic" w:hint="eastAsia"/>
                  </w:rPr>
                  <w:t>☐</w:t>
                </w:r>
              </w:p>
            </w:tc>
          </w:sdtContent>
        </w:sdt>
      </w:tr>
    </w:tbl>
    <w:p w14:paraId="2150F63E" w14:textId="1AEDDCC9" w:rsidR="00BC5AB7" w:rsidRPr="00A4685F" w:rsidRDefault="00BC5AB7" w:rsidP="00A4685F">
      <w:pPr>
        <w:pStyle w:val="Heading2"/>
      </w:pPr>
      <w:bookmarkStart w:id="160" w:name="_Toc170734183"/>
      <w:r w:rsidRPr="00A4685F">
        <w:t>Attachments to the application form</w:t>
      </w:r>
      <w:bookmarkEnd w:id="160"/>
    </w:p>
    <w:tbl>
      <w:tblPr>
        <w:tblStyle w:val="TableGrid"/>
        <w:tblW w:w="0" w:type="auto"/>
        <w:tblLook w:val="04A0" w:firstRow="1" w:lastRow="0" w:firstColumn="1" w:lastColumn="0" w:noHBand="0" w:noVBand="1"/>
        <w:tblCaption w:val="Attachments to the application form"/>
        <w:tblDescription w:val="This table outlines the four steps for any required attachments to the application form"/>
      </w:tblPr>
      <w:tblGrid>
        <w:gridCol w:w="936"/>
        <w:gridCol w:w="6532"/>
        <w:gridCol w:w="1310"/>
      </w:tblGrid>
      <w:tr w:rsidR="004225C1" w:rsidRPr="00A557FB" w14:paraId="21F4BA11" w14:textId="77777777" w:rsidTr="00DF3BFE">
        <w:trPr>
          <w:tblHeader/>
        </w:trPr>
        <w:tc>
          <w:tcPr>
            <w:tcW w:w="936" w:type="dxa"/>
            <w:shd w:val="clear" w:color="auto" w:fill="B8CCE4" w:themeFill="accent1" w:themeFillTint="66"/>
          </w:tcPr>
          <w:p w14:paraId="19AFC53F" w14:textId="77777777" w:rsidR="004225C1" w:rsidRPr="00A557FB" w:rsidRDefault="004225C1" w:rsidP="009006BE">
            <w:pPr>
              <w:rPr>
                <w:rFonts w:cs="Arial"/>
                <w:b/>
                <w:bCs/>
                <w:iCs/>
                <w:sz w:val="24"/>
                <w:szCs w:val="24"/>
              </w:rPr>
            </w:pPr>
            <w:r>
              <w:rPr>
                <w:rFonts w:cs="Arial"/>
                <w:b/>
                <w:bCs/>
                <w:iCs/>
                <w:sz w:val="24"/>
                <w:szCs w:val="24"/>
              </w:rPr>
              <w:t>St</w:t>
            </w:r>
            <w:r w:rsidRPr="00A557FB">
              <w:rPr>
                <w:rFonts w:cs="Arial"/>
                <w:b/>
                <w:bCs/>
                <w:iCs/>
                <w:sz w:val="24"/>
                <w:szCs w:val="24"/>
              </w:rPr>
              <w:t>e</w:t>
            </w:r>
            <w:r>
              <w:rPr>
                <w:rFonts w:cs="Arial"/>
                <w:b/>
                <w:bCs/>
                <w:iCs/>
                <w:sz w:val="24"/>
                <w:szCs w:val="24"/>
              </w:rPr>
              <w:t>p</w:t>
            </w:r>
          </w:p>
        </w:tc>
        <w:tc>
          <w:tcPr>
            <w:tcW w:w="6532" w:type="dxa"/>
            <w:shd w:val="clear" w:color="auto" w:fill="B8CCE4" w:themeFill="accent1" w:themeFillTint="66"/>
          </w:tcPr>
          <w:p w14:paraId="072ECF4B" w14:textId="77777777" w:rsidR="004225C1" w:rsidRPr="00A557FB" w:rsidRDefault="004225C1" w:rsidP="009006BE">
            <w:pPr>
              <w:rPr>
                <w:rFonts w:cs="Arial"/>
                <w:b/>
                <w:bCs/>
                <w:iCs/>
                <w:sz w:val="24"/>
                <w:szCs w:val="24"/>
              </w:rPr>
            </w:pPr>
            <w:r>
              <w:rPr>
                <w:rFonts w:cs="Arial"/>
                <w:b/>
                <w:bCs/>
                <w:iCs/>
                <w:sz w:val="24"/>
                <w:szCs w:val="24"/>
              </w:rPr>
              <w:t>Instruction</w:t>
            </w:r>
          </w:p>
        </w:tc>
        <w:tc>
          <w:tcPr>
            <w:tcW w:w="1310" w:type="dxa"/>
            <w:shd w:val="clear" w:color="auto" w:fill="B8CCE4" w:themeFill="accent1" w:themeFillTint="66"/>
          </w:tcPr>
          <w:p w14:paraId="29D315B6" w14:textId="77777777" w:rsidR="004225C1" w:rsidRPr="00A557FB" w:rsidRDefault="004225C1" w:rsidP="009006BE">
            <w:pPr>
              <w:rPr>
                <w:rFonts w:cs="Arial"/>
                <w:b/>
                <w:bCs/>
                <w:iCs/>
                <w:sz w:val="24"/>
                <w:szCs w:val="24"/>
              </w:rPr>
            </w:pPr>
            <w:r>
              <w:rPr>
                <w:rFonts w:cs="Arial"/>
                <w:b/>
                <w:bCs/>
                <w:iCs/>
                <w:sz w:val="24"/>
                <w:szCs w:val="24"/>
              </w:rPr>
              <w:t>Complete</w:t>
            </w:r>
          </w:p>
        </w:tc>
      </w:tr>
      <w:tr w:rsidR="00D0671A" w14:paraId="497FF5C0" w14:textId="77777777" w:rsidTr="00944218">
        <w:tc>
          <w:tcPr>
            <w:tcW w:w="936" w:type="dxa"/>
          </w:tcPr>
          <w:p w14:paraId="07980A79" w14:textId="3C0CEF9C" w:rsidR="00D0671A" w:rsidRPr="00331593" w:rsidRDefault="00D0671A" w:rsidP="00D0671A">
            <w:pPr>
              <w:ind w:left="360"/>
              <w:rPr>
                <w:rFonts w:cs="Arial"/>
              </w:rPr>
            </w:pPr>
            <w:r>
              <w:rPr>
                <w:rFonts w:cs="Arial"/>
              </w:rPr>
              <w:t>1</w:t>
            </w:r>
          </w:p>
        </w:tc>
        <w:tc>
          <w:tcPr>
            <w:tcW w:w="6532" w:type="dxa"/>
          </w:tcPr>
          <w:p w14:paraId="6ED6897D" w14:textId="77777777" w:rsidR="00D0671A" w:rsidRPr="00BF29D1" w:rsidRDefault="00D0671A" w:rsidP="00D0671A">
            <w:pPr>
              <w:rPr>
                <w:rFonts w:cs="Arial"/>
                <w:color w:val="000000" w:themeColor="text1"/>
              </w:rPr>
            </w:pPr>
            <w:r w:rsidRPr="00BF29D1">
              <w:rPr>
                <w:rFonts w:cs="Arial"/>
                <w:color w:val="000000" w:themeColor="text1"/>
              </w:rPr>
              <w:t>You have attached evidence of bank account details, such as a copy of a current bank statement. This must be a bank account in your name and which you control.</w:t>
            </w:r>
          </w:p>
        </w:tc>
        <w:sdt>
          <w:sdtPr>
            <w:id w:val="-1976445244"/>
            <w14:checkbox>
              <w14:checked w14:val="0"/>
              <w14:checkedState w14:val="2612" w14:font="MS Gothic"/>
              <w14:uncheckedState w14:val="2610" w14:font="MS Gothic"/>
            </w14:checkbox>
          </w:sdtPr>
          <w:sdtEndPr/>
          <w:sdtContent>
            <w:tc>
              <w:tcPr>
                <w:tcW w:w="1310" w:type="dxa"/>
              </w:tcPr>
              <w:p w14:paraId="37656FD4" w14:textId="739AB45B" w:rsidR="00D0671A" w:rsidRDefault="00D0671A" w:rsidP="00D0671A">
                <w:pPr>
                  <w:jc w:val="center"/>
                  <w:rPr>
                    <w:rFonts w:cs="Arial"/>
                  </w:rPr>
                </w:pPr>
                <w:r>
                  <w:rPr>
                    <w:rFonts w:ascii="MS Gothic" w:eastAsia="MS Gothic" w:hAnsi="MS Gothic" w:hint="eastAsia"/>
                  </w:rPr>
                  <w:t>☐</w:t>
                </w:r>
              </w:p>
            </w:tc>
          </w:sdtContent>
        </w:sdt>
      </w:tr>
      <w:tr w:rsidR="00D0671A" w14:paraId="25A39EAE" w14:textId="77777777" w:rsidTr="00944218">
        <w:tc>
          <w:tcPr>
            <w:tcW w:w="936" w:type="dxa"/>
          </w:tcPr>
          <w:p w14:paraId="4D03A981" w14:textId="58844CD8" w:rsidR="00D0671A" w:rsidRPr="00331593" w:rsidRDefault="00D0671A" w:rsidP="00D0671A">
            <w:pPr>
              <w:ind w:left="360"/>
              <w:rPr>
                <w:rFonts w:cs="Arial"/>
              </w:rPr>
            </w:pPr>
            <w:r>
              <w:rPr>
                <w:rFonts w:cs="Arial"/>
              </w:rPr>
              <w:t>2</w:t>
            </w:r>
          </w:p>
        </w:tc>
        <w:tc>
          <w:tcPr>
            <w:tcW w:w="6532" w:type="dxa"/>
          </w:tcPr>
          <w:p w14:paraId="208AA324" w14:textId="77777777" w:rsidR="00D0671A" w:rsidRPr="00BF29D1" w:rsidRDefault="00D0671A" w:rsidP="00D0671A">
            <w:pPr>
              <w:rPr>
                <w:rFonts w:cs="Arial"/>
                <w:color w:val="000000" w:themeColor="text1"/>
              </w:rPr>
            </w:pPr>
            <w:r w:rsidRPr="00BF29D1">
              <w:rPr>
                <w:rFonts w:cs="Arial"/>
                <w:color w:val="000000" w:themeColor="text1"/>
              </w:rPr>
              <w:t>You have attached [attachment listed in section 7.1]</w:t>
            </w:r>
          </w:p>
        </w:tc>
        <w:sdt>
          <w:sdtPr>
            <w:id w:val="-1751187287"/>
            <w14:checkbox>
              <w14:checked w14:val="0"/>
              <w14:checkedState w14:val="2612" w14:font="MS Gothic"/>
              <w14:uncheckedState w14:val="2610" w14:font="MS Gothic"/>
            </w14:checkbox>
          </w:sdtPr>
          <w:sdtEndPr/>
          <w:sdtContent>
            <w:tc>
              <w:tcPr>
                <w:tcW w:w="1310" w:type="dxa"/>
              </w:tcPr>
              <w:p w14:paraId="01A1576D" w14:textId="1105F522" w:rsidR="00D0671A" w:rsidRDefault="00D0671A" w:rsidP="00D0671A">
                <w:pPr>
                  <w:jc w:val="center"/>
                  <w:rPr>
                    <w:rFonts w:cs="Arial"/>
                  </w:rPr>
                </w:pPr>
                <w:r w:rsidRPr="00706223">
                  <w:rPr>
                    <w:rFonts w:ascii="MS Gothic" w:eastAsia="MS Gothic" w:hAnsi="MS Gothic" w:hint="eastAsia"/>
                  </w:rPr>
                  <w:t>☐</w:t>
                </w:r>
              </w:p>
            </w:tc>
          </w:sdtContent>
        </w:sdt>
      </w:tr>
      <w:tr w:rsidR="00D0671A" w14:paraId="47CCD2E5" w14:textId="77777777" w:rsidTr="00944218">
        <w:tc>
          <w:tcPr>
            <w:tcW w:w="936" w:type="dxa"/>
          </w:tcPr>
          <w:p w14:paraId="110B47E4" w14:textId="460C61CF" w:rsidR="00D0671A" w:rsidRPr="00331593" w:rsidRDefault="00D0671A" w:rsidP="00D0671A">
            <w:pPr>
              <w:ind w:left="360"/>
              <w:rPr>
                <w:rFonts w:cs="Arial"/>
              </w:rPr>
            </w:pPr>
            <w:r>
              <w:rPr>
                <w:rFonts w:cs="Arial"/>
              </w:rPr>
              <w:t>3</w:t>
            </w:r>
          </w:p>
        </w:tc>
        <w:tc>
          <w:tcPr>
            <w:tcW w:w="6532" w:type="dxa"/>
          </w:tcPr>
          <w:p w14:paraId="78D1AA2A" w14:textId="77777777" w:rsidR="00D0671A" w:rsidRPr="00BF29D1" w:rsidRDefault="00D0671A" w:rsidP="00D0671A">
            <w:pPr>
              <w:rPr>
                <w:rFonts w:cs="Arial"/>
                <w:color w:val="000000" w:themeColor="text1"/>
              </w:rPr>
            </w:pPr>
            <w:r w:rsidRPr="00BF29D1">
              <w:rPr>
                <w:rFonts w:cs="Arial"/>
                <w:color w:val="000000" w:themeColor="text1"/>
              </w:rPr>
              <w:t>You have attached [attachment listed in section 7.1]</w:t>
            </w:r>
          </w:p>
        </w:tc>
        <w:sdt>
          <w:sdtPr>
            <w:id w:val="-1477833733"/>
            <w14:checkbox>
              <w14:checked w14:val="0"/>
              <w14:checkedState w14:val="2612" w14:font="MS Gothic"/>
              <w14:uncheckedState w14:val="2610" w14:font="MS Gothic"/>
            </w14:checkbox>
          </w:sdtPr>
          <w:sdtEndPr/>
          <w:sdtContent>
            <w:tc>
              <w:tcPr>
                <w:tcW w:w="1310" w:type="dxa"/>
              </w:tcPr>
              <w:p w14:paraId="1E79F586" w14:textId="2C99C663" w:rsidR="00D0671A" w:rsidRDefault="00D0671A" w:rsidP="00D0671A">
                <w:pPr>
                  <w:jc w:val="center"/>
                  <w:rPr>
                    <w:rFonts w:cs="Arial"/>
                  </w:rPr>
                </w:pPr>
                <w:r w:rsidRPr="00706223">
                  <w:rPr>
                    <w:rFonts w:ascii="MS Gothic" w:eastAsia="MS Gothic" w:hAnsi="MS Gothic" w:hint="eastAsia"/>
                  </w:rPr>
                  <w:t>☐</w:t>
                </w:r>
              </w:p>
            </w:tc>
          </w:sdtContent>
        </w:sdt>
      </w:tr>
      <w:tr w:rsidR="00D0671A" w14:paraId="7A20FE52" w14:textId="77777777" w:rsidTr="00944218">
        <w:tc>
          <w:tcPr>
            <w:tcW w:w="936" w:type="dxa"/>
          </w:tcPr>
          <w:p w14:paraId="17C38465" w14:textId="5187E939" w:rsidR="00D0671A" w:rsidRPr="00331593" w:rsidRDefault="00D0671A" w:rsidP="00D0671A">
            <w:pPr>
              <w:ind w:left="360"/>
              <w:rPr>
                <w:rFonts w:cs="Arial"/>
              </w:rPr>
            </w:pPr>
            <w:r>
              <w:rPr>
                <w:rFonts w:cs="Arial"/>
              </w:rPr>
              <w:t>4</w:t>
            </w:r>
          </w:p>
        </w:tc>
        <w:tc>
          <w:tcPr>
            <w:tcW w:w="6532" w:type="dxa"/>
          </w:tcPr>
          <w:p w14:paraId="42BACB11" w14:textId="77777777" w:rsidR="00D0671A" w:rsidRPr="00BF29D1" w:rsidRDefault="00D0671A" w:rsidP="00D0671A">
            <w:pPr>
              <w:rPr>
                <w:rFonts w:cs="Arial"/>
                <w:color w:val="000000" w:themeColor="text1"/>
              </w:rPr>
            </w:pPr>
            <w:r w:rsidRPr="00BF29D1">
              <w:rPr>
                <w:rFonts w:cs="Arial"/>
                <w:color w:val="000000" w:themeColor="text1"/>
              </w:rPr>
              <w:t>You have attached [attachment listed in section 7.1]</w:t>
            </w:r>
          </w:p>
        </w:tc>
        <w:sdt>
          <w:sdtPr>
            <w:id w:val="-132331526"/>
            <w14:checkbox>
              <w14:checked w14:val="0"/>
              <w14:checkedState w14:val="2612" w14:font="MS Gothic"/>
              <w14:uncheckedState w14:val="2610" w14:font="MS Gothic"/>
            </w14:checkbox>
          </w:sdtPr>
          <w:sdtEndPr/>
          <w:sdtContent>
            <w:tc>
              <w:tcPr>
                <w:tcW w:w="1310" w:type="dxa"/>
              </w:tcPr>
              <w:p w14:paraId="130D23BE" w14:textId="225C7DD0" w:rsidR="00D0671A" w:rsidRDefault="00D0671A" w:rsidP="00D0671A">
                <w:pPr>
                  <w:jc w:val="center"/>
                  <w:rPr>
                    <w:rFonts w:cs="Arial"/>
                  </w:rPr>
                </w:pPr>
                <w:r w:rsidRPr="00706223">
                  <w:rPr>
                    <w:rFonts w:ascii="MS Gothic" w:eastAsia="MS Gothic" w:hAnsi="MS Gothic" w:hint="eastAsia"/>
                  </w:rPr>
                  <w:t>☐</w:t>
                </w:r>
              </w:p>
            </w:tc>
          </w:sdtContent>
        </w:sdt>
      </w:tr>
    </w:tbl>
    <w:p w14:paraId="24B5A694" w14:textId="2A16B838" w:rsidR="00695BED" w:rsidRDefault="00695BED" w:rsidP="00D0671A">
      <w:pPr>
        <w:pStyle w:val="Heading2"/>
      </w:pPr>
      <w:bookmarkStart w:id="161" w:name="_Toc170734184"/>
      <w:r w:rsidRPr="00695BED">
        <w:t>Applicants who do not have an existing grant agreement with the NIAA – Additional requirements (this does not apply to government applicants)</w:t>
      </w:r>
      <w:bookmarkEnd w:id="161"/>
    </w:p>
    <w:tbl>
      <w:tblPr>
        <w:tblStyle w:val="TableGrid"/>
        <w:tblW w:w="0" w:type="auto"/>
        <w:tblLook w:val="04A0" w:firstRow="1" w:lastRow="0" w:firstColumn="1" w:lastColumn="0" w:noHBand="0" w:noVBand="1"/>
        <w:tblCaption w:val="Additional requirements for applicants who do not have an existing grant agreement with the NIAA"/>
        <w:tblDescription w:val="This table outlines the three steps of additional requirements for applicants who do not have an existing grant agreement with the NIAA. Note that this does not apply to government applicants."/>
      </w:tblPr>
      <w:tblGrid>
        <w:gridCol w:w="936"/>
        <w:gridCol w:w="6532"/>
        <w:gridCol w:w="1310"/>
      </w:tblGrid>
      <w:tr w:rsidR="00695BED" w:rsidRPr="00A557FB" w14:paraId="7367907F" w14:textId="77777777" w:rsidTr="00DF3BFE">
        <w:trPr>
          <w:tblHeader/>
        </w:trPr>
        <w:tc>
          <w:tcPr>
            <w:tcW w:w="936" w:type="dxa"/>
            <w:shd w:val="clear" w:color="auto" w:fill="B8CCE4" w:themeFill="accent1" w:themeFillTint="66"/>
          </w:tcPr>
          <w:p w14:paraId="344611BA" w14:textId="77777777" w:rsidR="00695BED" w:rsidRPr="00A557FB" w:rsidRDefault="00695BED" w:rsidP="009006BE">
            <w:pPr>
              <w:rPr>
                <w:rFonts w:cs="Arial"/>
                <w:b/>
                <w:bCs/>
                <w:iCs/>
                <w:sz w:val="24"/>
                <w:szCs w:val="24"/>
              </w:rPr>
            </w:pPr>
            <w:r>
              <w:rPr>
                <w:rFonts w:cs="Arial"/>
                <w:b/>
                <w:bCs/>
                <w:iCs/>
                <w:sz w:val="24"/>
                <w:szCs w:val="24"/>
              </w:rPr>
              <w:t>St</w:t>
            </w:r>
            <w:r w:rsidRPr="00A557FB">
              <w:rPr>
                <w:rFonts w:cs="Arial"/>
                <w:b/>
                <w:bCs/>
                <w:iCs/>
                <w:sz w:val="24"/>
                <w:szCs w:val="24"/>
              </w:rPr>
              <w:t>e</w:t>
            </w:r>
            <w:r>
              <w:rPr>
                <w:rFonts w:cs="Arial"/>
                <w:b/>
                <w:bCs/>
                <w:iCs/>
                <w:sz w:val="24"/>
                <w:szCs w:val="24"/>
              </w:rPr>
              <w:t>p</w:t>
            </w:r>
          </w:p>
        </w:tc>
        <w:tc>
          <w:tcPr>
            <w:tcW w:w="6532" w:type="dxa"/>
            <w:shd w:val="clear" w:color="auto" w:fill="B8CCE4" w:themeFill="accent1" w:themeFillTint="66"/>
          </w:tcPr>
          <w:p w14:paraId="7F22E655" w14:textId="77777777" w:rsidR="00695BED" w:rsidRPr="00A557FB" w:rsidRDefault="00695BED" w:rsidP="009006BE">
            <w:pPr>
              <w:rPr>
                <w:rFonts w:cs="Arial"/>
                <w:b/>
                <w:bCs/>
                <w:iCs/>
                <w:sz w:val="24"/>
                <w:szCs w:val="24"/>
              </w:rPr>
            </w:pPr>
            <w:r>
              <w:rPr>
                <w:rFonts w:cs="Arial"/>
                <w:b/>
                <w:bCs/>
                <w:iCs/>
                <w:sz w:val="24"/>
                <w:szCs w:val="24"/>
              </w:rPr>
              <w:t>Instruction</w:t>
            </w:r>
          </w:p>
        </w:tc>
        <w:tc>
          <w:tcPr>
            <w:tcW w:w="1310" w:type="dxa"/>
            <w:shd w:val="clear" w:color="auto" w:fill="B8CCE4" w:themeFill="accent1" w:themeFillTint="66"/>
          </w:tcPr>
          <w:p w14:paraId="78EB3BF1" w14:textId="77777777" w:rsidR="00695BED" w:rsidRPr="00A557FB" w:rsidRDefault="00695BED" w:rsidP="009006BE">
            <w:pPr>
              <w:rPr>
                <w:rFonts w:cs="Arial"/>
                <w:b/>
                <w:bCs/>
                <w:iCs/>
                <w:sz w:val="24"/>
                <w:szCs w:val="24"/>
              </w:rPr>
            </w:pPr>
            <w:r>
              <w:rPr>
                <w:rFonts w:cs="Arial"/>
                <w:b/>
                <w:bCs/>
                <w:iCs/>
                <w:sz w:val="24"/>
                <w:szCs w:val="24"/>
              </w:rPr>
              <w:t>Complete</w:t>
            </w:r>
          </w:p>
        </w:tc>
      </w:tr>
      <w:tr w:rsidR="00D0671A" w14:paraId="7EF2CAD2" w14:textId="77777777" w:rsidTr="00944218">
        <w:tc>
          <w:tcPr>
            <w:tcW w:w="936" w:type="dxa"/>
          </w:tcPr>
          <w:p w14:paraId="09C5D5B2" w14:textId="794088A7" w:rsidR="00D0671A" w:rsidRPr="00331593" w:rsidRDefault="00D0671A" w:rsidP="00D0671A">
            <w:pPr>
              <w:ind w:left="360"/>
              <w:rPr>
                <w:rFonts w:cs="Arial"/>
              </w:rPr>
            </w:pPr>
            <w:r>
              <w:rPr>
                <w:rFonts w:cs="Arial"/>
              </w:rPr>
              <w:t>1</w:t>
            </w:r>
          </w:p>
        </w:tc>
        <w:tc>
          <w:tcPr>
            <w:tcW w:w="6532" w:type="dxa"/>
          </w:tcPr>
          <w:p w14:paraId="05A3B874" w14:textId="77777777" w:rsidR="00D0671A" w:rsidRDefault="00D0671A" w:rsidP="00D0671A">
            <w:pPr>
              <w:rPr>
                <w:rFonts w:cs="Arial"/>
                <w:color w:val="000000" w:themeColor="text1"/>
              </w:rPr>
            </w:pPr>
            <w:r>
              <w:rPr>
                <w:rFonts w:cs="Arial"/>
                <w:color w:val="000000" w:themeColor="text1"/>
              </w:rPr>
              <w:t>You have attached a</w:t>
            </w:r>
            <w:r w:rsidRPr="3E969A75">
              <w:rPr>
                <w:rFonts w:cs="Arial"/>
                <w:color w:val="000000" w:themeColor="text1"/>
              </w:rPr>
              <w:t xml:space="preserve"> copy of </w:t>
            </w:r>
            <w:r>
              <w:rPr>
                <w:rFonts w:cs="Arial"/>
                <w:color w:val="000000" w:themeColor="text1"/>
              </w:rPr>
              <w:t>your</w:t>
            </w:r>
            <w:r w:rsidRPr="3E969A75">
              <w:rPr>
                <w:rFonts w:cs="Arial"/>
                <w:color w:val="000000" w:themeColor="text1"/>
              </w:rPr>
              <w:t xml:space="preserve"> most recent financial statements, such as an </w:t>
            </w:r>
            <w:r w:rsidRPr="00374CC6">
              <w:rPr>
                <w:rFonts w:cs="Arial"/>
                <w:color w:val="000000" w:themeColor="text1"/>
              </w:rPr>
              <w:t>audited expenditure report, income and expenditure statement, or a balance sheet.</w:t>
            </w:r>
          </w:p>
        </w:tc>
        <w:sdt>
          <w:sdtPr>
            <w:id w:val="-1066948445"/>
            <w14:checkbox>
              <w14:checked w14:val="0"/>
              <w14:checkedState w14:val="2612" w14:font="MS Gothic"/>
              <w14:uncheckedState w14:val="2610" w14:font="MS Gothic"/>
            </w14:checkbox>
          </w:sdtPr>
          <w:sdtEndPr/>
          <w:sdtContent>
            <w:tc>
              <w:tcPr>
                <w:tcW w:w="1310" w:type="dxa"/>
              </w:tcPr>
              <w:p w14:paraId="74E7E2C0" w14:textId="5D2B2492" w:rsidR="00D0671A" w:rsidRDefault="00D0671A" w:rsidP="00D0671A">
                <w:pPr>
                  <w:jc w:val="center"/>
                  <w:rPr>
                    <w:rFonts w:cs="Arial"/>
                  </w:rPr>
                </w:pPr>
                <w:r>
                  <w:rPr>
                    <w:rFonts w:ascii="MS Gothic" w:eastAsia="MS Gothic" w:hAnsi="MS Gothic" w:hint="eastAsia"/>
                  </w:rPr>
                  <w:t>☐</w:t>
                </w:r>
              </w:p>
            </w:tc>
          </w:sdtContent>
        </w:sdt>
      </w:tr>
      <w:tr w:rsidR="00D0671A" w14:paraId="799DCCEF" w14:textId="77777777" w:rsidTr="00944218">
        <w:tc>
          <w:tcPr>
            <w:tcW w:w="936" w:type="dxa"/>
          </w:tcPr>
          <w:p w14:paraId="435BC9DB" w14:textId="1E098AD5" w:rsidR="00D0671A" w:rsidRPr="00331593" w:rsidRDefault="00D0671A" w:rsidP="00D0671A">
            <w:pPr>
              <w:ind w:left="360"/>
              <w:rPr>
                <w:rFonts w:cs="Arial"/>
              </w:rPr>
            </w:pPr>
            <w:r>
              <w:rPr>
                <w:rFonts w:cs="Arial"/>
              </w:rPr>
              <w:t>2</w:t>
            </w:r>
          </w:p>
        </w:tc>
        <w:tc>
          <w:tcPr>
            <w:tcW w:w="6532" w:type="dxa"/>
          </w:tcPr>
          <w:p w14:paraId="335BC23B" w14:textId="77777777" w:rsidR="00D0671A" w:rsidRDefault="00D0671A" w:rsidP="00D0671A">
            <w:pPr>
              <w:rPr>
                <w:rFonts w:cs="Arial"/>
                <w:color w:val="000000" w:themeColor="text1"/>
              </w:rPr>
            </w:pPr>
            <w:r>
              <w:rPr>
                <w:rFonts w:cs="Arial"/>
                <w:color w:val="000000" w:themeColor="text1"/>
              </w:rPr>
              <w:t>You have attached a</w:t>
            </w:r>
            <w:r w:rsidRPr="3E969A75">
              <w:rPr>
                <w:rFonts w:cs="Arial"/>
                <w:color w:val="000000" w:themeColor="text1"/>
              </w:rPr>
              <w:t xml:space="preserve"> copy of </w:t>
            </w:r>
            <w:r>
              <w:rPr>
                <w:rFonts w:cs="Arial"/>
                <w:color w:val="000000" w:themeColor="text1"/>
              </w:rPr>
              <w:t>your</w:t>
            </w:r>
            <w:r w:rsidRPr="3E969A75">
              <w:rPr>
                <w:rFonts w:cs="Arial"/>
                <w:color w:val="000000" w:themeColor="text1"/>
              </w:rPr>
              <w:t xml:space="preserve"> Certificate of Incorporation</w:t>
            </w:r>
            <w:r>
              <w:rPr>
                <w:rFonts w:cs="Arial"/>
                <w:color w:val="000000" w:themeColor="text1"/>
              </w:rPr>
              <w:t>,</w:t>
            </w:r>
            <w:r w:rsidRPr="3E969A75">
              <w:rPr>
                <w:rFonts w:cs="Arial"/>
                <w:color w:val="000000" w:themeColor="text1"/>
              </w:rPr>
              <w:t xml:space="preserve"> where relevant.</w:t>
            </w:r>
            <w:r>
              <w:rPr>
                <w:rFonts w:cs="Arial"/>
                <w:color w:val="000000" w:themeColor="text1"/>
              </w:rPr>
              <w:t xml:space="preserve"> </w:t>
            </w:r>
            <w:r w:rsidRPr="3E969A75">
              <w:rPr>
                <w:rFonts w:cs="Arial"/>
                <w:color w:val="000000" w:themeColor="text1"/>
              </w:rPr>
              <w:t>Organisations registered with Australian Charities and Not-for-profits Commission are exempt from this requirement.</w:t>
            </w:r>
          </w:p>
        </w:tc>
        <w:sdt>
          <w:sdtPr>
            <w:id w:val="-427270290"/>
            <w14:checkbox>
              <w14:checked w14:val="0"/>
              <w14:checkedState w14:val="2612" w14:font="MS Gothic"/>
              <w14:uncheckedState w14:val="2610" w14:font="MS Gothic"/>
            </w14:checkbox>
          </w:sdtPr>
          <w:sdtEndPr/>
          <w:sdtContent>
            <w:tc>
              <w:tcPr>
                <w:tcW w:w="1310" w:type="dxa"/>
              </w:tcPr>
              <w:p w14:paraId="62372BF2" w14:textId="5B26EC8C" w:rsidR="00D0671A" w:rsidRDefault="00D0671A" w:rsidP="00D0671A">
                <w:pPr>
                  <w:jc w:val="center"/>
                  <w:rPr>
                    <w:rFonts w:cs="Arial"/>
                  </w:rPr>
                </w:pPr>
                <w:r w:rsidRPr="00706223">
                  <w:rPr>
                    <w:rFonts w:ascii="MS Gothic" w:eastAsia="MS Gothic" w:hAnsi="MS Gothic" w:hint="eastAsia"/>
                  </w:rPr>
                  <w:t>☐</w:t>
                </w:r>
              </w:p>
            </w:tc>
          </w:sdtContent>
        </w:sdt>
      </w:tr>
      <w:tr w:rsidR="00D0671A" w14:paraId="65EF9AE5" w14:textId="77777777" w:rsidTr="00944218">
        <w:tc>
          <w:tcPr>
            <w:tcW w:w="936" w:type="dxa"/>
          </w:tcPr>
          <w:p w14:paraId="35CBEDDA" w14:textId="207A704A" w:rsidR="00D0671A" w:rsidRPr="00331593" w:rsidRDefault="00D0671A" w:rsidP="00D0671A">
            <w:pPr>
              <w:ind w:left="360"/>
              <w:rPr>
                <w:rFonts w:cs="Arial"/>
              </w:rPr>
            </w:pPr>
            <w:r>
              <w:rPr>
                <w:rFonts w:cs="Arial"/>
              </w:rPr>
              <w:t>3</w:t>
            </w:r>
          </w:p>
        </w:tc>
        <w:tc>
          <w:tcPr>
            <w:tcW w:w="6532" w:type="dxa"/>
          </w:tcPr>
          <w:p w14:paraId="6B7095F1" w14:textId="77777777" w:rsidR="00D0671A" w:rsidRDefault="00D0671A" w:rsidP="00D0671A">
            <w:pPr>
              <w:rPr>
                <w:rFonts w:cs="Arial"/>
                <w:color w:val="000000" w:themeColor="text1"/>
              </w:rPr>
            </w:pPr>
            <w:r>
              <w:rPr>
                <w:rFonts w:cs="Arial"/>
                <w:color w:val="000000" w:themeColor="text1"/>
              </w:rPr>
              <w:t xml:space="preserve">If you are not able to quote an ABN, you have attached </w:t>
            </w:r>
            <w:r w:rsidRPr="3E969A75">
              <w:rPr>
                <w:rFonts w:cs="Arial"/>
                <w:color w:val="000000" w:themeColor="text1"/>
              </w:rPr>
              <w:t>completed</w:t>
            </w:r>
            <w:r>
              <w:rPr>
                <w:rFonts w:cs="Arial"/>
                <w:color w:val="000000" w:themeColor="text1"/>
              </w:rPr>
              <w:t xml:space="preserve"> a</w:t>
            </w:r>
            <w:r w:rsidRPr="3E969A75">
              <w:rPr>
                <w:rFonts w:cs="Arial"/>
                <w:color w:val="000000" w:themeColor="text1"/>
              </w:rPr>
              <w:t xml:space="preserve"> ‘Statement by a supplier (reason for not quoting an ABN to an enterprise)’ form that can be found on the </w:t>
            </w:r>
            <w:hyperlink r:id="rId103">
              <w:r w:rsidRPr="3E969A75">
                <w:rPr>
                  <w:rFonts w:cs="Arial"/>
                  <w:color w:val="000000" w:themeColor="text1"/>
                </w:rPr>
                <w:t>ATO website.</w:t>
              </w:r>
            </w:hyperlink>
            <w:r w:rsidRPr="3E969A75">
              <w:rPr>
                <w:rFonts w:cs="Arial"/>
                <w:color w:val="000000" w:themeColor="text1"/>
              </w:rPr>
              <w:t xml:space="preserve">   </w:t>
            </w:r>
          </w:p>
        </w:tc>
        <w:sdt>
          <w:sdtPr>
            <w:id w:val="1216391943"/>
            <w14:checkbox>
              <w14:checked w14:val="0"/>
              <w14:checkedState w14:val="2612" w14:font="MS Gothic"/>
              <w14:uncheckedState w14:val="2610" w14:font="MS Gothic"/>
            </w14:checkbox>
          </w:sdtPr>
          <w:sdtEndPr/>
          <w:sdtContent>
            <w:tc>
              <w:tcPr>
                <w:tcW w:w="1310" w:type="dxa"/>
              </w:tcPr>
              <w:p w14:paraId="59351EE8" w14:textId="7F4DAC32" w:rsidR="00D0671A" w:rsidRDefault="00D0671A" w:rsidP="00D0671A">
                <w:pPr>
                  <w:jc w:val="center"/>
                  <w:rPr>
                    <w:rFonts w:cs="Arial"/>
                  </w:rPr>
                </w:pPr>
                <w:r w:rsidRPr="00706223">
                  <w:rPr>
                    <w:rFonts w:ascii="MS Gothic" w:eastAsia="MS Gothic" w:hAnsi="MS Gothic" w:hint="eastAsia"/>
                  </w:rPr>
                  <w:t>☐</w:t>
                </w:r>
              </w:p>
            </w:tc>
          </w:sdtContent>
        </w:sdt>
        <w:bookmarkStart w:id="162" w:name="_GoBack"/>
        <w:bookmarkEnd w:id="162"/>
      </w:tr>
    </w:tbl>
    <w:p w14:paraId="73FCC9E9" w14:textId="5052BE23" w:rsidR="00695BED" w:rsidRDefault="00695BED" w:rsidP="00D0671A">
      <w:pPr>
        <w:pStyle w:val="Heading2"/>
      </w:pPr>
      <w:bookmarkStart w:id="163" w:name="_Toc170734185"/>
      <w:r w:rsidRPr="00695BED">
        <w:t>Joint (consortia) applicants – Additional requirements</w:t>
      </w:r>
      <w:bookmarkEnd w:id="163"/>
    </w:p>
    <w:tbl>
      <w:tblPr>
        <w:tblStyle w:val="TableGrid"/>
        <w:tblW w:w="0" w:type="auto"/>
        <w:tblLook w:val="04A0" w:firstRow="1" w:lastRow="0" w:firstColumn="1" w:lastColumn="0" w:noHBand="0" w:noVBand="1"/>
        <w:tblCaption w:val="Additional requirements for joint consortia applicants"/>
        <w:tblDescription w:val="This table outlines the three steps of additional requirements for joint consortia applicants."/>
      </w:tblPr>
      <w:tblGrid>
        <w:gridCol w:w="936"/>
        <w:gridCol w:w="6532"/>
        <w:gridCol w:w="1310"/>
      </w:tblGrid>
      <w:tr w:rsidR="00695BED" w:rsidRPr="00A557FB" w14:paraId="2674526C" w14:textId="77777777" w:rsidTr="00DF3BFE">
        <w:trPr>
          <w:tblHeader/>
        </w:trPr>
        <w:tc>
          <w:tcPr>
            <w:tcW w:w="936" w:type="dxa"/>
            <w:shd w:val="clear" w:color="auto" w:fill="B8CCE4" w:themeFill="accent1" w:themeFillTint="66"/>
          </w:tcPr>
          <w:p w14:paraId="77F63436" w14:textId="77777777" w:rsidR="00695BED" w:rsidRPr="00A557FB" w:rsidRDefault="00695BED" w:rsidP="009006BE">
            <w:pPr>
              <w:rPr>
                <w:rFonts w:cs="Arial"/>
                <w:b/>
                <w:bCs/>
                <w:iCs/>
                <w:sz w:val="24"/>
                <w:szCs w:val="24"/>
              </w:rPr>
            </w:pPr>
            <w:r>
              <w:rPr>
                <w:rFonts w:cs="Arial"/>
                <w:b/>
                <w:bCs/>
                <w:iCs/>
                <w:sz w:val="24"/>
                <w:szCs w:val="24"/>
              </w:rPr>
              <w:t>St</w:t>
            </w:r>
            <w:r w:rsidRPr="00A557FB">
              <w:rPr>
                <w:rFonts w:cs="Arial"/>
                <w:b/>
                <w:bCs/>
                <w:iCs/>
                <w:sz w:val="24"/>
                <w:szCs w:val="24"/>
              </w:rPr>
              <w:t>e</w:t>
            </w:r>
            <w:r>
              <w:rPr>
                <w:rFonts w:cs="Arial"/>
                <w:b/>
                <w:bCs/>
                <w:iCs/>
                <w:sz w:val="24"/>
                <w:szCs w:val="24"/>
              </w:rPr>
              <w:t>p</w:t>
            </w:r>
          </w:p>
        </w:tc>
        <w:tc>
          <w:tcPr>
            <w:tcW w:w="6532" w:type="dxa"/>
            <w:shd w:val="clear" w:color="auto" w:fill="B8CCE4" w:themeFill="accent1" w:themeFillTint="66"/>
          </w:tcPr>
          <w:p w14:paraId="3B3DE54E" w14:textId="77777777" w:rsidR="00695BED" w:rsidRPr="00A557FB" w:rsidRDefault="00695BED" w:rsidP="009006BE">
            <w:pPr>
              <w:rPr>
                <w:rFonts w:cs="Arial"/>
                <w:b/>
                <w:bCs/>
                <w:iCs/>
                <w:sz w:val="24"/>
                <w:szCs w:val="24"/>
              </w:rPr>
            </w:pPr>
            <w:r>
              <w:rPr>
                <w:rFonts w:cs="Arial"/>
                <w:b/>
                <w:bCs/>
                <w:iCs/>
                <w:sz w:val="24"/>
                <w:szCs w:val="24"/>
              </w:rPr>
              <w:t>Instruction</w:t>
            </w:r>
          </w:p>
        </w:tc>
        <w:tc>
          <w:tcPr>
            <w:tcW w:w="1310" w:type="dxa"/>
            <w:shd w:val="clear" w:color="auto" w:fill="B8CCE4" w:themeFill="accent1" w:themeFillTint="66"/>
          </w:tcPr>
          <w:p w14:paraId="5092AFEF" w14:textId="77777777" w:rsidR="00695BED" w:rsidRPr="00A557FB" w:rsidRDefault="00695BED" w:rsidP="009006BE">
            <w:pPr>
              <w:rPr>
                <w:rFonts w:cs="Arial"/>
                <w:b/>
                <w:bCs/>
                <w:iCs/>
                <w:sz w:val="24"/>
                <w:szCs w:val="24"/>
              </w:rPr>
            </w:pPr>
            <w:r>
              <w:rPr>
                <w:rFonts w:cs="Arial"/>
                <w:b/>
                <w:bCs/>
                <w:iCs/>
                <w:sz w:val="24"/>
                <w:szCs w:val="24"/>
              </w:rPr>
              <w:t>Complete</w:t>
            </w:r>
          </w:p>
        </w:tc>
      </w:tr>
      <w:tr w:rsidR="00D0671A" w14:paraId="3C4F4E3A" w14:textId="77777777" w:rsidTr="00944218">
        <w:tc>
          <w:tcPr>
            <w:tcW w:w="936" w:type="dxa"/>
          </w:tcPr>
          <w:p w14:paraId="373F45D9" w14:textId="2ABE2B8F" w:rsidR="00D0671A" w:rsidRPr="00331593" w:rsidRDefault="00D0671A" w:rsidP="00D0671A">
            <w:pPr>
              <w:ind w:left="360"/>
              <w:rPr>
                <w:rFonts w:cs="Arial"/>
              </w:rPr>
            </w:pPr>
            <w:r>
              <w:rPr>
                <w:rFonts w:cs="Arial"/>
              </w:rPr>
              <w:t>1</w:t>
            </w:r>
          </w:p>
        </w:tc>
        <w:tc>
          <w:tcPr>
            <w:tcW w:w="6532" w:type="dxa"/>
          </w:tcPr>
          <w:p w14:paraId="1167652F" w14:textId="77777777" w:rsidR="00D0671A" w:rsidRDefault="00D0671A" w:rsidP="00D0671A">
            <w:pPr>
              <w:rPr>
                <w:rFonts w:cs="Arial"/>
                <w:color w:val="000000" w:themeColor="text1"/>
              </w:rPr>
            </w:pPr>
            <w:r>
              <w:rPr>
                <w:rFonts w:cs="Arial"/>
                <w:color w:val="000000" w:themeColor="text1"/>
              </w:rPr>
              <w:t>You can confirm</w:t>
            </w:r>
            <w:r w:rsidRPr="00374CC6">
              <w:rPr>
                <w:rFonts w:cs="Arial"/>
                <w:color w:val="000000" w:themeColor="text1"/>
              </w:rPr>
              <w:t xml:space="preserve"> the nominated lead organisation (the applicant) is a legal entity capable of entering into a grant agreement with the NIAA.</w:t>
            </w:r>
          </w:p>
        </w:tc>
        <w:sdt>
          <w:sdtPr>
            <w:id w:val="1415595246"/>
            <w14:checkbox>
              <w14:checked w14:val="0"/>
              <w14:checkedState w14:val="2612" w14:font="MS Gothic"/>
              <w14:uncheckedState w14:val="2610" w14:font="MS Gothic"/>
            </w14:checkbox>
          </w:sdtPr>
          <w:sdtEndPr/>
          <w:sdtContent>
            <w:tc>
              <w:tcPr>
                <w:tcW w:w="1310" w:type="dxa"/>
              </w:tcPr>
              <w:p w14:paraId="46A17D43" w14:textId="1C493640" w:rsidR="00D0671A" w:rsidRDefault="00D0671A" w:rsidP="00D0671A">
                <w:pPr>
                  <w:jc w:val="center"/>
                  <w:rPr>
                    <w:rFonts w:cs="Arial"/>
                  </w:rPr>
                </w:pPr>
                <w:r>
                  <w:rPr>
                    <w:rFonts w:ascii="MS Gothic" w:eastAsia="MS Gothic" w:hAnsi="MS Gothic" w:hint="eastAsia"/>
                  </w:rPr>
                  <w:t>☐</w:t>
                </w:r>
              </w:p>
            </w:tc>
          </w:sdtContent>
        </w:sdt>
      </w:tr>
      <w:tr w:rsidR="00D0671A" w14:paraId="2EAB9A6B" w14:textId="77777777" w:rsidTr="00944218">
        <w:tc>
          <w:tcPr>
            <w:tcW w:w="936" w:type="dxa"/>
          </w:tcPr>
          <w:p w14:paraId="4978ED92" w14:textId="02CE4AF3" w:rsidR="00D0671A" w:rsidRPr="00331593" w:rsidRDefault="00D0671A" w:rsidP="00D0671A">
            <w:pPr>
              <w:ind w:left="360"/>
              <w:rPr>
                <w:rFonts w:cs="Arial"/>
              </w:rPr>
            </w:pPr>
            <w:r>
              <w:rPr>
                <w:rFonts w:cs="Arial"/>
              </w:rPr>
              <w:t>2</w:t>
            </w:r>
          </w:p>
        </w:tc>
        <w:tc>
          <w:tcPr>
            <w:tcW w:w="6532" w:type="dxa"/>
          </w:tcPr>
          <w:p w14:paraId="3F3EE676" w14:textId="77777777" w:rsidR="00D0671A" w:rsidRDefault="00D0671A" w:rsidP="00D0671A">
            <w:pPr>
              <w:rPr>
                <w:rFonts w:cs="Arial"/>
                <w:color w:val="000000" w:themeColor="text1"/>
              </w:rPr>
            </w:pPr>
            <w:r>
              <w:rPr>
                <w:rFonts w:cs="Arial"/>
                <w:color w:val="000000" w:themeColor="text1"/>
              </w:rPr>
              <w:t xml:space="preserve">You can confirm a </w:t>
            </w:r>
            <w:r>
              <w:t>formal arrangement between all parties in the joint consortia can be place prior to execution of a grant agreement, if your grant application is successful.</w:t>
            </w:r>
          </w:p>
        </w:tc>
        <w:sdt>
          <w:sdtPr>
            <w:id w:val="-1366826074"/>
            <w14:checkbox>
              <w14:checked w14:val="0"/>
              <w14:checkedState w14:val="2612" w14:font="MS Gothic"/>
              <w14:uncheckedState w14:val="2610" w14:font="MS Gothic"/>
            </w14:checkbox>
          </w:sdtPr>
          <w:sdtEndPr/>
          <w:sdtContent>
            <w:tc>
              <w:tcPr>
                <w:tcW w:w="1310" w:type="dxa"/>
              </w:tcPr>
              <w:p w14:paraId="6B1C1056" w14:textId="3FB2F41D" w:rsidR="00D0671A" w:rsidRDefault="00D0671A" w:rsidP="00D0671A">
                <w:pPr>
                  <w:jc w:val="center"/>
                  <w:rPr>
                    <w:rFonts w:cs="Arial"/>
                  </w:rPr>
                </w:pPr>
                <w:r w:rsidRPr="00706223">
                  <w:rPr>
                    <w:rFonts w:ascii="MS Gothic" w:eastAsia="MS Gothic" w:hAnsi="MS Gothic" w:hint="eastAsia"/>
                  </w:rPr>
                  <w:t>☐</w:t>
                </w:r>
              </w:p>
            </w:tc>
          </w:sdtContent>
        </w:sdt>
      </w:tr>
      <w:tr w:rsidR="00D0671A" w14:paraId="0467FFCE" w14:textId="77777777" w:rsidTr="00944218">
        <w:tc>
          <w:tcPr>
            <w:tcW w:w="936" w:type="dxa"/>
          </w:tcPr>
          <w:p w14:paraId="084FD95C" w14:textId="3ED6F6EB" w:rsidR="00D0671A" w:rsidRPr="00331593" w:rsidRDefault="00D0671A" w:rsidP="00D0671A">
            <w:pPr>
              <w:ind w:left="360"/>
              <w:rPr>
                <w:rFonts w:cs="Arial"/>
              </w:rPr>
            </w:pPr>
            <w:r>
              <w:rPr>
                <w:rFonts w:cs="Arial"/>
              </w:rPr>
              <w:t>3</w:t>
            </w:r>
          </w:p>
        </w:tc>
        <w:tc>
          <w:tcPr>
            <w:tcW w:w="6532" w:type="dxa"/>
          </w:tcPr>
          <w:p w14:paraId="7A5253C5" w14:textId="77777777" w:rsidR="00D0671A" w:rsidRDefault="00D0671A" w:rsidP="00D0671A">
            <w:pPr>
              <w:rPr>
                <w:rFonts w:cs="Arial"/>
                <w:color w:val="000000" w:themeColor="text1"/>
              </w:rPr>
            </w:pPr>
            <w:r>
              <w:rPr>
                <w:rFonts w:cs="Arial"/>
                <w:color w:val="000000" w:themeColor="text1"/>
              </w:rPr>
              <w:t xml:space="preserve">You have attached </w:t>
            </w:r>
            <w:r w:rsidRPr="3E969A75">
              <w:rPr>
                <w:rFonts w:cs="Arial"/>
                <w:color w:val="000000" w:themeColor="text1"/>
              </w:rPr>
              <w:t>a letter of support from each</w:t>
            </w:r>
            <w:r>
              <w:rPr>
                <w:rFonts w:cs="Arial"/>
                <w:color w:val="000000" w:themeColor="text1"/>
              </w:rPr>
              <w:t xml:space="preserve"> of the proposed organisation in the group.</w:t>
            </w:r>
          </w:p>
        </w:tc>
        <w:sdt>
          <w:sdtPr>
            <w:id w:val="-1238635988"/>
            <w14:checkbox>
              <w14:checked w14:val="0"/>
              <w14:checkedState w14:val="2612" w14:font="MS Gothic"/>
              <w14:uncheckedState w14:val="2610" w14:font="MS Gothic"/>
            </w14:checkbox>
          </w:sdtPr>
          <w:sdtEndPr/>
          <w:sdtContent>
            <w:tc>
              <w:tcPr>
                <w:tcW w:w="1310" w:type="dxa"/>
              </w:tcPr>
              <w:p w14:paraId="436492FE" w14:textId="4F4BE596" w:rsidR="00D0671A" w:rsidRDefault="00D0671A" w:rsidP="00D0671A">
                <w:pPr>
                  <w:jc w:val="center"/>
                  <w:rPr>
                    <w:rFonts w:cs="Arial"/>
                  </w:rPr>
                </w:pPr>
                <w:r w:rsidRPr="00706223">
                  <w:rPr>
                    <w:rFonts w:ascii="MS Gothic" w:eastAsia="MS Gothic" w:hAnsi="MS Gothic" w:hint="eastAsia"/>
                  </w:rPr>
                  <w:t>☐</w:t>
                </w:r>
              </w:p>
            </w:tc>
          </w:sdtContent>
        </w:sdt>
      </w:tr>
    </w:tbl>
    <w:p w14:paraId="24CD3A09" w14:textId="77777777" w:rsidR="007B033A" w:rsidRPr="004F7342" w:rsidRDefault="007B033A" w:rsidP="007B033A">
      <w:pPr>
        <w:rPr>
          <w:rFonts w:cs="Arial"/>
        </w:rPr>
      </w:pPr>
    </w:p>
    <w:sectPr w:rsidR="007B033A" w:rsidRPr="004F7342" w:rsidSect="0002331D">
      <w:headerReference w:type="even" r:id="rId104"/>
      <w:headerReference w:type="default" r:id="rId105"/>
      <w:footerReference w:type="default" r:id="rId106"/>
      <w:headerReference w:type="first" r:id="rId107"/>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D3745" w14:textId="77777777" w:rsidR="000A7AA5" w:rsidRDefault="000A7AA5" w:rsidP="00077C3D">
      <w:r>
        <w:separator/>
      </w:r>
    </w:p>
  </w:endnote>
  <w:endnote w:type="continuationSeparator" w:id="0">
    <w:p w14:paraId="30B0A624" w14:textId="77777777" w:rsidR="000A7AA5" w:rsidRDefault="000A7AA5" w:rsidP="00077C3D">
      <w:r>
        <w:continuationSeparator/>
      </w:r>
    </w:p>
  </w:endnote>
  <w:endnote w:type="continuationNotice" w:id="1">
    <w:p w14:paraId="2339BC95" w14:textId="77777777" w:rsidR="000A7AA5" w:rsidRDefault="000A7AA5"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00"/>
    <w:family w:val="modern"/>
    <w:pitch w:val="fixed"/>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86FA0" w14:textId="77777777" w:rsidR="009A74F2" w:rsidRPr="003E57CB" w:rsidRDefault="009A74F2" w:rsidP="00EC24A5">
    <w:pPr>
      <w:pStyle w:val="Header"/>
      <w:jc w:val="center"/>
    </w:pPr>
  </w:p>
  <w:p w14:paraId="584F003A" w14:textId="77777777" w:rsidR="009A74F2" w:rsidRDefault="009A74F2" w:rsidP="00EC24A5"/>
  <w:p w14:paraId="69C88643" w14:textId="77777777" w:rsidR="009A74F2" w:rsidRDefault="009A74F2" w:rsidP="00EC24A5">
    <w:pPr>
      <w:pStyle w:val="Footer"/>
    </w:pPr>
    <w:r>
      <w:t xml:space="preserve">Guidelines Remote Jobs and Economic Development Program        v </w:t>
    </w:r>
    <w:r w:rsidRPr="005E5FB7">
      <w:rPr>
        <w:highlight w:val="yellow"/>
      </w:rPr>
      <w:t>[Month Year]</w:t>
    </w:r>
    <w:r w:rsidRPr="005B72F4">
      <w:tab/>
      <w:t xml:space="preserve">Page </w:t>
    </w:r>
    <w:r w:rsidRPr="005B72F4">
      <w:fldChar w:fldCharType="begin"/>
    </w:r>
    <w:r w:rsidRPr="005B72F4">
      <w:instrText xml:space="preserve"> PAGE </w:instrText>
    </w:r>
    <w:r w:rsidRPr="005B72F4">
      <w:fldChar w:fldCharType="separate"/>
    </w:r>
    <w:r>
      <w:rPr>
        <w:noProof/>
      </w:rPr>
      <w:t>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Pr>
        <w:noProof/>
      </w:rPr>
      <w:t>46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D4D31" w14:textId="77777777" w:rsidR="009A74F2" w:rsidRDefault="009A74F2">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16155" w14:textId="74ACFDDF" w:rsidR="009A74F2" w:rsidRPr="005B72F4" w:rsidRDefault="009A74F2" w:rsidP="0002331D">
    <w:pPr>
      <w:pStyle w:val="Footer"/>
      <w:tabs>
        <w:tab w:val="clear" w:pos="4153"/>
        <w:tab w:val="clear" w:pos="8306"/>
        <w:tab w:val="center" w:pos="6096"/>
        <w:tab w:val="right" w:pos="8789"/>
      </w:tabs>
    </w:pPr>
    <w:r w:rsidRPr="00BD5F0E">
      <w:t>Remote Jobs and Economic Development Program Guidelines</w:t>
    </w:r>
    <w:r>
      <w:t xml:space="preserve"> – Month Year</w:t>
    </w:r>
    <w:r>
      <w:tab/>
    </w:r>
    <w:r w:rsidRPr="005B72F4">
      <w:tab/>
      <w:t xml:space="preserve">Page </w:t>
    </w:r>
    <w:r w:rsidRPr="005B72F4">
      <w:fldChar w:fldCharType="begin"/>
    </w:r>
    <w:r w:rsidRPr="005B72F4">
      <w:instrText xml:space="preserve"> PAGE </w:instrText>
    </w:r>
    <w:r w:rsidRPr="005B72F4">
      <w:fldChar w:fldCharType="separate"/>
    </w:r>
    <w:r w:rsidR="00183F19">
      <w:rPr>
        <w:noProof/>
      </w:rPr>
      <w:t>21</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183F19">
      <w:rPr>
        <w:noProof/>
      </w:rPr>
      <w:t>46</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05471" w14:textId="77777777" w:rsidR="009A74F2" w:rsidRDefault="009A74F2" w:rsidP="00077C3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FD25C" w14:textId="7EA30E28" w:rsidR="009A74F2" w:rsidRPr="005B72F4" w:rsidRDefault="009A74F2" w:rsidP="00CF7B65">
    <w:pPr>
      <w:pStyle w:val="Footer"/>
      <w:tabs>
        <w:tab w:val="clear" w:pos="4153"/>
        <w:tab w:val="clear" w:pos="8306"/>
        <w:tab w:val="center" w:pos="6096"/>
        <w:tab w:val="right" w:pos="13892"/>
      </w:tabs>
    </w:pPr>
    <w:r>
      <w:t>Remote Jobs and Economic Development Program Guidelines – Month Year</w:t>
    </w:r>
    <w:r>
      <w:tab/>
    </w:r>
    <w:r w:rsidRPr="005B72F4">
      <w:tab/>
      <w:t xml:space="preserve">Page </w:t>
    </w:r>
    <w:r w:rsidRPr="005B72F4">
      <w:fldChar w:fldCharType="begin"/>
    </w:r>
    <w:r w:rsidRPr="005B72F4">
      <w:instrText xml:space="preserve"> PAGE </w:instrText>
    </w:r>
    <w:r w:rsidRPr="005B72F4">
      <w:fldChar w:fldCharType="separate"/>
    </w:r>
    <w:r w:rsidR="00183F19">
      <w:rPr>
        <w:noProof/>
      </w:rPr>
      <w:t>40</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183F19">
      <w:rPr>
        <w:noProof/>
      </w:rPr>
      <w:t>46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20C62" w14:textId="77777777" w:rsidR="000A7AA5" w:rsidRDefault="000A7AA5" w:rsidP="00077C3D">
      <w:r>
        <w:separator/>
      </w:r>
    </w:p>
  </w:footnote>
  <w:footnote w:type="continuationSeparator" w:id="0">
    <w:p w14:paraId="30E35C84" w14:textId="77777777" w:rsidR="000A7AA5" w:rsidRDefault="000A7AA5" w:rsidP="00077C3D">
      <w:r>
        <w:continuationSeparator/>
      </w:r>
    </w:p>
  </w:footnote>
  <w:footnote w:type="continuationNotice" w:id="1">
    <w:p w14:paraId="2BBD6010" w14:textId="77777777" w:rsidR="000A7AA5" w:rsidRDefault="000A7AA5" w:rsidP="00077C3D"/>
  </w:footnote>
  <w:footnote w:id="2">
    <w:p w14:paraId="41893BFB" w14:textId="77777777" w:rsidR="009A74F2" w:rsidRDefault="009A74F2" w:rsidP="00D176FF">
      <w:pPr>
        <w:pStyle w:val="FootnoteText"/>
      </w:pPr>
      <w:r>
        <w:rPr>
          <w:rStyle w:val="FootnoteReference"/>
        </w:rPr>
        <w:footnoteRef/>
      </w:r>
      <w:r>
        <w:t xml:space="preserve"> Alterations and addenda include but are not limited to: corrections to currently published documents, changes to closing times for applications, Questions and Answers (Q&amp;A) documents and Frequently Asked Questions (FAQ) documents.</w:t>
      </w:r>
    </w:p>
  </w:footnote>
  <w:footnote w:id="3">
    <w:p w14:paraId="48CED337" w14:textId="77777777" w:rsidR="009A74F2" w:rsidRDefault="009A74F2" w:rsidP="004054F0">
      <w:pPr>
        <w:pStyle w:val="FootnoteText"/>
      </w:pPr>
      <w:r>
        <w:rPr>
          <w:rStyle w:val="FootnoteReference"/>
        </w:rPr>
        <w:footnoteRef/>
      </w:r>
      <w:r>
        <w:t xml:space="preserve"> </w:t>
      </w:r>
      <w:r w:rsidRPr="3E969A75">
        <w:t>A trust itself is not a legal entity and cannot enter into a grant agreement.</w:t>
      </w:r>
    </w:p>
  </w:footnote>
  <w:footnote w:id="4">
    <w:p w14:paraId="4189C650" w14:textId="0AAE50BF" w:rsidR="009A74F2" w:rsidRDefault="009A74F2" w:rsidP="004054F0">
      <w:pPr>
        <w:pStyle w:val="FootnoteText"/>
      </w:pPr>
      <w:r>
        <w:rPr>
          <w:rStyle w:val="FootnoteReference"/>
        </w:rPr>
        <w:footnoteRef/>
      </w:r>
      <w:r>
        <w:t xml:space="preserve"> </w:t>
      </w:r>
      <w:r w:rsidRPr="001073A6">
        <w:t>The Australian Government recognises that some organisations may seek to form consortia in order to apply for a grant under the Program. Consortia are eligible to apply and the relevant conditions appl</w:t>
      </w:r>
      <w:r>
        <w:t xml:space="preserve">icable to consortia are at 7.2 </w:t>
      </w:r>
      <w:r w:rsidRPr="001073A6">
        <w:t>‘Joint Applications’</w:t>
      </w:r>
    </w:p>
  </w:footnote>
  <w:footnote w:id="5">
    <w:p w14:paraId="5D89C307" w14:textId="77777777" w:rsidR="009A74F2" w:rsidRDefault="009A74F2" w:rsidP="007C2638">
      <w:pPr>
        <w:pStyle w:val="FootnoteText"/>
      </w:pPr>
      <w:r>
        <w:rPr>
          <w:rStyle w:val="FootnoteReference"/>
        </w:rPr>
        <w:footnoteRef/>
      </w:r>
      <w:r>
        <w:t xml:space="preserve"> Changes and addenda include but are not limited to: corrections to currently published documents, changes to close times for applications, Questions and Answers (Q&amp;A) documents and Frequently Asked Questions (FAQ) documents</w:t>
      </w:r>
    </w:p>
  </w:footnote>
  <w:footnote w:id="6">
    <w:p w14:paraId="090BC6D4" w14:textId="77777777" w:rsidR="009A74F2" w:rsidRDefault="009A74F2" w:rsidP="0063440B">
      <w:pPr>
        <w:pStyle w:val="FootnoteText"/>
      </w:pPr>
      <w:r>
        <w:rPr>
          <w:rStyle w:val="FootnoteReference"/>
        </w:rPr>
        <w:footnoteRef/>
      </w:r>
      <w:r>
        <w:t xml:space="preserve"> </w:t>
      </w:r>
      <w:r w:rsidRPr="00D36885">
        <w:t xml:space="preserve">The </w:t>
      </w:r>
      <w:r>
        <w:t xml:space="preserve">ORP and the </w:t>
      </w:r>
      <w:r w:rsidRPr="00D36885">
        <w:t>Activity Risk Assessment (A</w:t>
      </w:r>
      <w:r>
        <w:t>RA)</w:t>
      </w:r>
      <w:r w:rsidRPr="00D36885">
        <w:t xml:space="preserve"> help to determine the level of controls applied to your grant agreement, noting that if your ARA is high or extreme, an </w:t>
      </w:r>
      <w:r>
        <w:t xml:space="preserve">annual </w:t>
      </w:r>
      <w:r w:rsidRPr="00D36885">
        <w:t xml:space="preserve">audited expenditure report will be a standard requirement under your grant agreement. For further information, please refer to </w:t>
      </w:r>
      <w:r w:rsidRPr="001D2259">
        <w:t>section 10.1 and the sample grant agreement available on GrantConnect</w:t>
      </w:r>
      <w:r>
        <w:t>.</w:t>
      </w:r>
    </w:p>
  </w:footnote>
  <w:footnote w:id="7">
    <w:p w14:paraId="23D759FB" w14:textId="77777777" w:rsidR="009A74F2" w:rsidRDefault="009A74F2" w:rsidP="001C4023">
      <w:pPr>
        <w:pStyle w:val="FootnoteText"/>
      </w:pPr>
      <w:r>
        <w:rPr>
          <w:rStyle w:val="FootnoteReference"/>
        </w:rPr>
        <w:footnoteRef/>
      </w:r>
      <w:r>
        <w:t xml:space="preserve"> Y</w:t>
      </w:r>
      <w:r w:rsidRPr="00140587">
        <w:t>our previous performance, demonstrated capability to deliver the activity and/or other information available to the NIAA may be considered when assessing your application against the assessment criteria.</w:t>
      </w:r>
    </w:p>
  </w:footnote>
  <w:footnote w:id="8">
    <w:p w14:paraId="17A3B70C" w14:textId="77777777" w:rsidR="009A74F2" w:rsidRDefault="009A74F2" w:rsidP="00AF4C9B">
      <w:pPr>
        <w:pStyle w:val="FootnoteText"/>
      </w:pPr>
      <w:r>
        <w:rPr>
          <w:rStyle w:val="FootnoteReference"/>
        </w:rPr>
        <w:footnoteRef/>
      </w:r>
      <w:r>
        <w:t xml:space="preserve"> </w:t>
      </w:r>
      <w:r w:rsidRPr="002A5F08">
        <w:t xml:space="preserve">Applications will be </w:t>
      </w:r>
      <w:r>
        <w:t xml:space="preserve">scored and </w:t>
      </w:r>
      <w:r w:rsidRPr="002A5F08">
        <w:t xml:space="preserve">ranked as “Meets”, “Partially meets” or “Does not meet” the criteria.  </w:t>
      </w:r>
    </w:p>
  </w:footnote>
  <w:footnote w:id="9">
    <w:p w14:paraId="7EB1F80F" w14:textId="77777777" w:rsidR="009A74F2" w:rsidRDefault="009A74F2" w:rsidP="00D22A04">
      <w:pPr>
        <w:pStyle w:val="FootnoteText"/>
      </w:pPr>
      <w:r>
        <w:rPr>
          <w:rStyle w:val="FootnoteReference"/>
        </w:rPr>
        <w:footnoteRef/>
      </w:r>
      <w:r>
        <w:t xml:space="preserve"> </w:t>
      </w:r>
      <w:hyperlink r:id="rId1" w:history="1">
        <w:r w:rsidRPr="00A21DA1">
          <w:rPr>
            <w:rStyle w:val="Hyperlink"/>
          </w:rPr>
          <w:t>https://www.ato.gov.au/</w:t>
        </w:r>
      </w:hyperlink>
      <w:r>
        <w:t xml:space="preserve"> </w:t>
      </w:r>
    </w:p>
  </w:footnote>
  <w:footnote w:id="10">
    <w:p w14:paraId="0C865A34" w14:textId="77777777" w:rsidR="009A74F2" w:rsidRPr="007133C2" w:rsidRDefault="009A74F2" w:rsidP="00ED6108">
      <w:pPr>
        <w:pStyle w:val="FootnoteText"/>
      </w:pPr>
      <w:r w:rsidRPr="007133C2">
        <w:rPr>
          <w:rStyle w:val="FootnoteReference"/>
        </w:rPr>
        <w:footnoteRef/>
      </w:r>
      <w:r w:rsidRPr="007133C2">
        <w:t xml:space="preserve"> Relevant money is defined in the PGPA Act. See section 8, Dictionary</w:t>
      </w:r>
      <w:r>
        <w:t>.</w:t>
      </w:r>
    </w:p>
  </w:footnote>
  <w:footnote w:id="11">
    <w:p w14:paraId="193F2F05" w14:textId="77777777" w:rsidR="009A74F2" w:rsidRPr="007133C2" w:rsidRDefault="009A74F2" w:rsidP="00ED6108">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9238D" w14:textId="3024213B" w:rsidR="009A74F2" w:rsidRDefault="009A74F2" w:rsidP="00EC24A5">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73E62" w14:textId="589D21DD" w:rsidR="009A74F2" w:rsidRDefault="009A74F2" w:rsidP="00065E7A">
    <w:pPr>
      <w:pStyle w:val="Header"/>
      <w:tabs>
        <w:tab w:val="center" w:pos="4394"/>
      </w:tabs>
      <w:jc w:val="center"/>
    </w:pPr>
    <w:r>
      <w:t>DRAFT – FOR CONSULTATION</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EA520" w14:textId="747B2C97" w:rsidR="009A74F2" w:rsidRDefault="009A7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0FD97" w14:textId="77777777" w:rsidR="009A74F2" w:rsidRPr="003E57CB" w:rsidRDefault="009A74F2" w:rsidP="00451A8D">
    <w:pPr>
      <w:pStyle w:val="Header"/>
      <w:jc w:val="center"/>
    </w:pPr>
    <w:r>
      <w:rPr>
        <w:rFonts w:ascii="Roboto" w:hAnsi="Roboto" w:cs="Segoe UI"/>
        <w:noProof/>
        <w:color w:val="666666"/>
        <w:lang w:eastAsia="en-AU"/>
      </w:rPr>
      <w:drawing>
        <wp:inline distT="0" distB="0" distL="0" distR="0" wp14:anchorId="57711D7E" wp14:editId="298548CF">
          <wp:extent cx="3632400" cy="1483200"/>
          <wp:effectExtent l="0" t="0" r="6350" b="3175"/>
          <wp:docPr id="3" name="Picture 3" descr="NIAA_stacked.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AA_stack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2400" cy="1483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93334" w14:textId="3F9DE043" w:rsidR="009A74F2" w:rsidRDefault="009A7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1C03B" w14:textId="26B132CC" w:rsidR="009A74F2" w:rsidRDefault="009A74F2" w:rsidP="00EC24A5">
    <w:pPr>
      <w:pStyle w:val="Header"/>
      <w:jc w:val="center"/>
    </w:pPr>
    <w:r>
      <w:rPr>
        <w:noProof/>
      </w:rPr>
      <w:t>DRAFT –</w:t>
    </w:r>
    <w:r>
      <w:t xml:space="preserve"> FOR CONSULTATION ONLY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CFBF0" w14:textId="751B9E89" w:rsidR="009A74F2" w:rsidRDefault="009A74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5C52D" w14:textId="6ADB145B" w:rsidR="009A74F2" w:rsidRDefault="009A74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E445D" w14:textId="6F60D090" w:rsidR="009A74F2" w:rsidRDefault="009A74F2" w:rsidP="00EC24A5">
    <w:pPr>
      <w:pStyle w:val="Header"/>
      <w:jc w:val="center"/>
    </w:pPr>
    <w:r>
      <w:t>DRAFT – FOR CONSULTATION ONLY</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29F6B" w14:textId="76F68862" w:rsidR="009A74F2" w:rsidRDefault="009A74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8F632" w14:textId="346A8322" w:rsidR="009A74F2" w:rsidRDefault="009A7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02A6723"/>
    <w:multiLevelType w:val="multilevel"/>
    <w:tmpl w:val="539859F2"/>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0273261D"/>
    <w:multiLevelType w:val="multilevel"/>
    <w:tmpl w:val="C3C272EC"/>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o"/>
      <w:lvlJc w:val="left"/>
      <w:pPr>
        <w:ind w:left="720" w:hanging="360"/>
      </w:pPr>
      <w:rPr>
        <w:rFonts w:ascii="Courier New" w:hAnsi="Courier New" w:cs="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302028A"/>
    <w:multiLevelType w:val="multilevel"/>
    <w:tmpl w:val="B6C680FA"/>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o"/>
      <w:lvlJc w:val="left"/>
      <w:pPr>
        <w:ind w:left="720" w:hanging="360"/>
      </w:pPr>
      <w:rPr>
        <w:rFonts w:ascii="Courier New" w:hAnsi="Courier New" w:cs="Courier New" w:hint="default"/>
        <w:color w:val="264F90"/>
      </w:rPr>
    </w:lvl>
    <w:lvl w:ilvl="2">
      <w:start w:val="1"/>
      <w:numFmt w:val="bullet"/>
      <w:lvlText w:val="-"/>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1DE36CF"/>
    <w:multiLevelType w:val="hybridMultilevel"/>
    <w:tmpl w:val="74F68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4C6A27"/>
    <w:multiLevelType w:val="multilevel"/>
    <w:tmpl w:val="0728C6C6"/>
    <w:lvl w:ilvl="0">
      <w:start w:val="1"/>
      <w:numFmt w:val="decimal"/>
      <w:lvlText w:val="%1."/>
      <w:lvlJc w:val="left"/>
      <w:pPr>
        <w:ind w:left="1134" w:hanging="1134"/>
      </w:pPr>
      <w:rPr>
        <w:rFonts w:hint="default"/>
      </w:rPr>
    </w:lvl>
    <w:lvl w:ilvl="1">
      <w:start w:val="1"/>
      <w:numFmt w:val="decimal"/>
      <w:pStyle w:val="Heading3"/>
      <w:lvlText w:val="%1.%2"/>
      <w:lvlJc w:val="left"/>
      <w:pPr>
        <w:ind w:left="1843" w:hanging="1134"/>
      </w:pPr>
      <w:rPr>
        <w:rFonts w:hint="default"/>
        <w:color w:val="264F90"/>
      </w:rPr>
    </w:lvl>
    <w:lvl w:ilvl="2">
      <w:start w:val="1"/>
      <w:numFmt w:val="decimal"/>
      <w:lvlText w:val="%1.%2.%3"/>
      <w:lvlJc w:val="left"/>
      <w:pPr>
        <w:ind w:left="1080" w:hanging="1080"/>
      </w:pPr>
      <w:rPr>
        <w:rFonts w:hint="default"/>
      </w:rPr>
    </w:lvl>
    <w:lvl w:ilvl="3">
      <w:start w:val="1"/>
      <w:numFmt w:val="decimal"/>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784511A"/>
    <w:multiLevelType w:val="multilevel"/>
    <w:tmpl w:val="EA5E96EA"/>
    <w:numStyleLink w:val="KeyPoints"/>
  </w:abstractNum>
  <w:abstractNum w:abstractNumId="11" w15:restartNumberingAfterBreak="0">
    <w:nsid w:val="17D57D51"/>
    <w:multiLevelType w:val="hybridMultilevel"/>
    <w:tmpl w:val="B4B65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BD12E7"/>
    <w:multiLevelType w:val="multilevel"/>
    <w:tmpl w:val="E56C2316"/>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264F90"/>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FF53710"/>
    <w:multiLevelType w:val="hybridMultilevel"/>
    <w:tmpl w:val="464C50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D323FF"/>
    <w:multiLevelType w:val="multilevel"/>
    <w:tmpl w:val="5A2A6A0A"/>
    <w:lvl w:ilvl="0">
      <w:start w:val="1"/>
      <w:numFmt w:val="decimal"/>
      <w:pStyle w:val="Heading1A"/>
      <w:lvlText w:val="%1"/>
      <w:lvlJc w:val="left"/>
      <w:pPr>
        <w:tabs>
          <w:tab w:val="num" w:pos="924"/>
        </w:tabs>
        <w:ind w:left="924" w:hanging="924"/>
      </w:pPr>
      <w:rPr>
        <w:rFonts w:hint="default"/>
      </w:rPr>
    </w:lvl>
    <w:lvl w:ilvl="1">
      <w:start w:val="1"/>
      <w:numFmt w:val="decimal"/>
      <w:pStyle w:val="PFNumLevel2"/>
      <w:lvlText w:val="%1.%2"/>
      <w:lvlJc w:val="left"/>
      <w:pPr>
        <w:tabs>
          <w:tab w:val="num" w:pos="1066"/>
        </w:tabs>
        <w:ind w:left="1066" w:hanging="924"/>
      </w:pPr>
      <w:rPr>
        <w:rFonts w:hint="default"/>
        <w:b w:val="0"/>
        <w:sz w:val="21"/>
        <w:szCs w:val="21"/>
      </w:rPr>
    </w:lvl>
    <w:lvl w:ilvl="2">
      <w:start w:val="1"/>
      <w:numFmt w:val="decimal"/>
      <w:pStyle w:val="PFNumLevel3"/>
      <w:lvlText w:val="%1.%2.%3"/>
      <w:lvlJc w:val="left"/>
      <w:pPr>
        <w:tabs>
          <w:tab w:val="num" w:pos="1848"/>
        </w:tabs>
        <w:ind w:left="1848" w:hanging="924"/>
      </w:pPr>
      <w:rPr>
        <w:rFonts w:hint="default"/>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Restart w:val="4"/>
      <w:pStyle w:val="PFNumLevel6"/>
      <w:lvlText w:val="(%6)"/>
      <w:lvlJc w:val="left"/>
      <w:pPr>
        <w:tabs>
          <w:tab w:val="num" w:pos="3697"/>
        </w:tabs>
        <w:ind w:left="3697" w:hanging="92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FD94C3B"/>
    <w:multiLevelType w:val="hybridMultilevel"/>
    <w:tmpl w:val="93243540"/>
    <w:lvl w:ilvl="0" w:tplc="C3A6626A">
      <w:numFmt w:val="bullet"/>
      <w:pStyle w:val="CDPBulletPoints"/>
      <w:lvlText w:val="•"/>
      <w:lvlJc w:val="left"/>
      <w:pPr>
        <w:ind w:left="700" w:hanging="360"/>
      </w:pPr>
      <w:rPr>
        <w:rFonts w:ascii="Calibri Light" w:eastAsia="Times New Roman" w:hAnsi="Calibri Light" w:cs="Calibri Light"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FF1641C"/>
    <w:multiLevelType w:val="hybridMultilevel"/>
    <w:tmpl w:val="834C6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873708"/>
    <w:multiLevelType w:val="multilevel"/>
    <w:tmpl w:val="DCBCA7D6"/>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348755A4"/>
    <w:multiLevelType w:val="multilevel"/>
    <w:tmpl w:val="D854C5A8"/>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1" w15:restartNumberingAfterBreak="0">
    <w:nsid w:val="36DE24D5"/>
    <w:multiLevelType w:val="multilevel"/>
    <w:tmpl w:val="C3C272EC"/>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o"/>
      <w:lvlJc w:val="left"/>
      <w:pPr>
        <w:ind w:left="720" w:hanging="360"/>
      </w:pPr>
      <w:rPr>
        <w:rFonts w:ascii="Courier New" w:hAnsi="Courier New" w:cs="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38D46A24"/>
    <w:multiLevelType w:val="hybridMultilevel"/>
    <w:tmpl w:val="57D01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093DB0"/>
    <w:multiLevelType w:val="multilevel"/>
    <w:tmpl w:val="85C2D07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o"/>
      <w:lvlJc w:val="left"/>
      <w:pPr>
        <w:ind w:left="720" w:hanging="360"/>
      </w:pPr>
      <w:rPr>
        <w:rFonts w:ascii="Courier New" w:hAnsi="Courier New" w:cs="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5B6A30"/>
    <w:multiLevelType w:val="hybridMultilevel"/>
    <w:tmpl w:val="617C50D4"/>
    <w:lvl w:ilvl="0" w:tplc="0C090001">
      <w:start w:val="1"/>
      <w:numFmt w:val="bullet"/>
      <w:lvlText w:val=""/>
      <w:lvlJc w:val="left"/>
      <w:pPr>
        <w:ind w:left="1080" w:hanging="360"/>
      </w:pPr>
      <w:rPr>
        <w:rFonts w:ascii="Symbol" w:hAnsi="Symbol" w:hint="default"/>
      </w:rPr>
    </w:lvl>
    <w:lvl w:ilvl="1" w:tplc="F6B4EF5E">
      <w:start w:val="8"/>
      <w:numFmt w:val="bullet"/>
      <w:lvlText w:val="-"/>
      <w:lvlJc w:val="left"/>
      <w:pPr>
        <w:ind w:left="1800" w:hanging="360"/>
      </w:pPr>
      <w:rPr>
        <w:rFonts w:ascii="Calibri" w:eastAsiaTheme="minorHAnsi" w:hAnsi="Calibri" w:cs="Calibr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5520CBB"/>
    <w:multiLevelType w:val="multilevel"/>
    <w:tmpl w:val="317AA15A"/>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9140A0"/>
    <w:multiLevelType w:val="hybridMultilevel"/>
    <w:tmpl w:val="9E302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4869F9"/>
    <w:multiLevelType w:val="hybridMultilevel"/>
    <w:tmpl w:val="88C2E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BD17059"/>
    <w:multiLevelType w:val="hybridMultilevel"/>
    <w:tmpl w:val="B86EC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E906E5"/>
    <w:multiLevelType w:val="hybridMultilevel"/>
    <w:tmpl w:val="4C5010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5" w15:restartNumberingAfterBreak="0">
    <w:nsid w:val="735C5C29"/>
    <w:multiLevelType w:val="hybridMultilevel"/>
    <w:tmpl w:val="D79869A4"/>
    <w:lvl w:ilvl="0" w:tplc="9E86EED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Theme="minorHAnsi" w:hAnsiTheme="minorHAns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9422353"/>
    <w:multiLevelType w:val="hybridMultilevel"/>
    <w:tmpl w:val="767CED3E"/>
    <w:lvl w:ilvl="0" w:tplc="9E86EED6">
      <w:start w:val="1"/>
      <w:numFmt w:val="bullet"/>
      <w:lvlText w:val=""/>
      <w:lvlJc w:val="left"/>
      <w:pPr>
        <w:ind w:left="1080" w:hanging="360"/>
      </w:pPr>
      <w:rPr>
        <w:rFonts w:ascii="Symbol" w:hAnsi="Symbol" w:hint="default"/>
      </w:rPr>
    </w:lvl>
    <w:lvl w:ilvl="1" w:tplc="F6B4EF5E">
      <w:start w:val="8"/>
      <w:numFmt w:val="bullet"/>
      <w:lvlText w:val="-"/>
      <w:lvlJc w:val="left"/>
      <w:pPr>
        <w:ind w:left="1800" w:hanging="360"/>
      </w:pPr>
      <w:rPr>
        <w:rFonts w:ascii="Calibri" w:eastAsiaTheme="minorHAnsi" w:hAnsi="Calibri" w:cs="Calibri"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0"/>
  </w:num>
  <w:num w:numId="3">
    <w:abstractNumId w:val="20"/>
  </w:num>
  <w:num w:numId="4">
    <w:abstractNumId w:val="26"/>
  </w:num>
  <w:num w:numId="5">
    <w:abstractNumId w:val="39"/>
  </w:num>
  <w:num w:numId="6">
    <w:abstractNumId w:val="36"/>
  </w:num>
  <w:num w:numId="7">
    <w:abstractNumId w:val="12"/>
  </w:num>
  <w:num w:numId="8">
    <w:abstractNumId w:val="9"/>
  </w:num>
  <w:num w:numId="9">
    <w:abstractNumId w:val="6"/>
  </w:num>
  <w:num w:numId="10">
    <w:abstractNumId w:val="12"/>
  </w:num>
  <w:num w:numId="11">
    <w:abstractNumId w:val="5"/>
  </w:num>
  <w:num w:numId="12">
    <w:abstractNumId w:val="34"/>
  </w:num>
  <w:num w:numId="13">
    <w:abstractNumId w:val="30"/>
  </w:num>
  <w:num w:numId="14">
    <w:abstractNumId w:val="7"/>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10"/>
    <w:lvlOverride w:ilvl="0">
      <w:lvl w:ilvl="0">
        <w:start w:val="1"/>
        <w:numFmt w:val="decimal"/>
        <w:pStyle w:val="1NumberPointsStyle"/>
        <w:lvlText w:val="%1."/>
        <w:lvlJc w:val="left"/>
        <w:pPr>
          <w:ind w:left="369" w:hanging="369"/>
        </w:pPr>
        <w:rPr>
          <w:rFonts w:ascii="Times New Roman" w:hAnsi="Times New Roman" w:cs="Times New Roman" w:hint="default"/>
          <w:sz w:val="24"/>
          <w:szCs w:val="24"/>
        </w:rPr>
      </w:lvl>
    </w:lvlOverride>
  </w:num>
  <w:num w:numId="20">
    <w:abstractNumId w:val="17"/>
  </w:num>
  <w:num w:numId="21">
    <w:abstractNumId w:val="25"/>
  </w:num>
  <w:num w:numId="22">
    <w:abstractNumId w:val="19"/>
  </w:num>
  <w:num w:numId="23">
    <w:abstractNumId w:val="2"/>
  </w:num>
  <w:num w:numId="24">
    <w:abstractNumId w:val="14"/>
  </w:num>
  <w:num w:numId="25">
    <w:abstractNumId w:val="15"/>
  </w:num>
  <w:num w:numId="26">
    <w:abstractNumId w:val="35"/>
  </w:num>
  <w:num w:numId="27">
    <w:abstractNumId w:val="38"/>
  </w:num>
  <w:num w:numId="28">
    <w:abstractNumId w:val="22"/>
  </w:num>
  <w:num w:numId="29">
    <w:abstractNumId w:val="8"/>
  </w:num>
  <w:num w:numId="30">
    <w:abstractNumId w:val="28"/>
  </w:num>
  <w:num w:numId="31">
    <w:abstractNumId w:val="13"/>
  </w:num>
  <w:num w:numId="32">
    <w:abstractNumId w:val="24"/>
  </w:num>
  <w:num w:numId="33">
    <w:abstractNumId w:val="11"/>
  </w:num>
  <w:num w:numId="34">
    <w:abstractNumId w:val="33"/>
  </w:num>
  <w:num w:numId="35">
    <w:abstractNumId w:val="23"/>
  </w:num>
  <w:num w:numId="36">
    <w:abstractNumId w:val="3"/>
  </w:num>
  <w:num w:numId="37">
    <w:abstractNumId w:val="21"/>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32"/>
  </w:num>
  <w:num w:numId="41">
    <w:abstractNumId w:val="16"/>
  </w:num>
  <w:num w:numId="42">
    <w:abstractNumId w:val="12"/>
  </w:num>
  <w:num w:numId="43">
    <w:abstractNumId w:val="12"/>
  </w:num>
  <w:num w:numId="44">
    <w:abstractNumId w:val="27"/>
  </w:num>
  <w:num w:numId="45">
    <w:abstractNumId w:val="9"/>
  </w:num>
  <w:num w:numId="46">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1619"/>
    <w:rsid w:val="0000243E"/>
    <w:rsid w:val="00003577"/>
    <w:rsid w:val="00003583"/>
    <w:rsid w:val="000035D8"/>
    <w:rsid w:val="00003620"/>
    <w:rsid w:val="00005E68"/>
    <w:rsid w:val="000062D1"/>
    <w:rsid w:val="0000694F"/>
    <w:rsid w:val="000071CC"/>
    <w:rsid w:val="00007C0D"/>
    <w:rsid w:val="00007D87"/>
    <w:rsid w:val="00010CF8"/>
    <w:rsid w:val="00011AA7"/>
    <w:rsid w:val="00011DA8"/>
    <w:rsid w:val="00013E5C"/>
    <w:rsid w:val="00014CF0"/>
    <w:rsid w:val="0001640C"/>
    <w:rsid w:val="0001641E"/>
    <w:rsid w:val="0001685F"/>
    <w:rsid w:val="00016C0F"/>
    <w:rsid w:val="00016E51"/>
    <w:rsid w:val="00017238"/>
    <w:rsid w:val="00017503"/>
    <w:rsid w:val="000179A4"/>
    <w:rsid w:val="000204E9"/>
    <w:rsid w:val="000207D9"/>
    <w:rsid w:val="00020976"/>
    <w:rsid w:val="00021292"/>
    <w:rsid w:val="000216F2"/>
    <w:rsid w:val="00021C55"/>
    <w:rsid w:val="00021DEF"/>
    <w:rsid w:val="00022591"/>
    <w:rsid w:val="00022A7F"/>
    <w:rsid w:val="00023115"/>
    <w:rsid w:val="0002331D"/>
    <w:rsid w:val="00024C55"/>
    <w:rsid w:val="00025467"/>
    <w:rsid w:val="00026A96"/>
    <w:rsid w:val="00027157"/>
    <w:rsid w:val="000303EF"/>
    <w:rsid w:val="0003065E"/>
    <w:rsid w:val="00031075"/>
    <w:rsid w:val="0003114B"/>
    <w:rsid w:val="00031193"/>
    <w:rsid w:val="0003165D"/>
    <w:rsid w:val="00031F27"/>
    <w:rsid w:val="0003249B"/>
    <w:rsid w:val="000327EC"/>
    <w:rsid w:val="00034775"/>
    <w:rsid w:val="00036078"/>
    <w:rsid w:val="000363BF"/>
    <w:rsid w:val="00036EFE"/>
    <w:rsid w:val="00037556"/>
    <w:rsid w:val="0004098F"/>
    <w:rsid w:val="00040A03"/>
    <w:rsid w:val="00042076"/>
    <w:rsid w:val="0004230F"/>
    <w:rsid w:val="00042438"/>
    <w:rsid w:val="0004267E"/>
    <w:rsid w:val="00043A9E"/>
    <w:rsid w:val="00044C1B"/>
    <w:rsid w:val="00044DC0"/>
    <w:rsid w:val="00044EF8"/>
    <w:rsid w:val="0004553D"/>
    <w:rsid w:val="00046DBC"/>
    <w:rsid w:val="00050EFC"/>
    <w:rsid w:val="00050FE5"/>
    <w:rsid w:val="000525BC"/>
    <w:rsid w:val="00052C0D"/>
    <w:rsid w:val="00052C51"/>
    <w:rsid w:val="00052E3E"/>
    <w:rsid w:val="0005371D"/>
    <w:rsid w:val="00053948"/>
    <w:rsid w:val="00055101"/>
    <w:rsid w:val="000553F2"/>
    <w:rsid w:val="00055D5B"/>
    <w:rsid w:val="00056158"/>
    <w:rsid w:val="000579CB"/>
    <w:rsid w:val="00057E29"/>
    <w:rsid w:val="00060AD3"/>
    <w:rsid w:val="00060F83"/>
    <w:rsid w:val="000615B3"/>
    <w:rsid w:val="00061AF3"/>
    <w:rsid w:val="00062B2E"/>
    <w:rsid w:val="000635B2"/>
    <w:rsid w:val="0006393C"/>
    <w:rsid w:val="0006399E"/>
    <w:rsid w:val="00063F67"/>
    <w:rsid w:val="000644EE"/>
    <w:rsid w:val="000650B6"/>
    <w:rsid w:val="00065CE3"/>
    <w:rsid w:val="00065E7A"/>
    <w:rsid w:val="00065F24"/>
    <w:rsid w:val="000668C5"/>
    <w:rsid w:val="00066A84"/>
    <w:rsid w:val="00066BD1"/>
    <w:rsid w:val="0007009A"/>
    <w:rsid w:val="00071CC0"/>
    <w:rsid w:val="000720BF"/>
    <w:rsid w:val="00072DD5"/>
    <w:rsid w:val="000741DE"/>
    <w:rsid w:val="00075D01"/>
    <w:rsid w:val="00076300"/>
    <w:rsid w:val="00077C3D"/>
    <w:rsid w:val="000805C4"/>
    <w:rsid w:val="00081379"/>
    <w:rsid w:val="0008289E"/>
    <w:rsid w:val="000829A8"/>
    <w:rsid w:val="000833DF"/>
    <w:rsid w:val="00083CC7"/>
    <w:rsid w:val="00084009"/>
    <w:rsid w:val="0008479B"/>
    <w:rsid w:val="000849D6"/>
    <w:rsid w:val="00085B02"/>
    <w:rsid w:val="0008697C"/>
    <w:rsid w:val="00086F01"/>
    <w:rsid w:val="000872DA"/>
    <w:rsid w:val="00090431"/>
    <w:rsid w:val="000910FD"/>
    <w:rsid w:val="0009133F"/>
    <w:rsid w:val="00092821"/>
    <w:rsid w:val="00093BA1"/>
    <w:rsid w:val="000951B3"/>
    <w:rsid w:val="0009550E"/>
    <w:rsid w:val="00095626"/>
    <w:rsid w:val="00095949"/>
    <w:rsid w:val="00096575"/>
    <w:rsid w:val="0009683F"/>
    <w:rsid w:val="000A08FD"/>
    <w:rsid w:val="000A2011"/>
    <w:rsid w:val="000A2037"/>
    <w:rsid w:val="000A229E"/>
    <w:rsid w:val="000A4261"/>
    <w:rsid w:val="000A4490"/>
    <w:rsid w:val="000A48D2"/>
    <w:rsid w:val="000A4D8A"/>
    <w:rsid w:val="000A563E"/>
    <w:rsid w:val="000A6E25"/>
    <w:rsid w:val="000A7AA5"/>
    <w:rsid w:val="000A7AF5"/>
    <w:rsid w:val="000A7F58"/>
    <w:rsid w:val="000B1184"/>
    <w:rsid w:val="000B11A4"/>
    <w:rsid w:val="000B138C"/>
    <w:rsid w:val="000B1991"/>
    <w:rsid w:val="000B1E17"/>
    <w:rsid w:val="000B24A0"/>
    <w:rsid w:val="000B2D39"/>
    <w:rsid w:val="000B2DAA"/>
    <w:rsid w:val="000B3A19"/>
    <w:rsid w:val="000B44F5"/>
    <w:rsid w:val="000B522C"/>
    <w:rsid w:val="000B5615"/>
    <w:rsid w:val="000B597B"/>
    <w:rsid w:val="000B7C0B"/>
    <w:rsid w:val="000C07C6"/>
    <w:rsid w:val="000C2B51"/>
    <w:rsid w:val="000C31F3"/>
    <w:rsid w:val="000C34D6"/>
    <w:rsid w:val="000C3B35"/>
    <w:rsid w:val="000C3E1C"/>
    <w:rsid w:val="000C4E64"/>
    <w:rsid w:val="000C5F08"/>
    <w:rsid w:val="000C60A3"/>
    <w:rsid w:val="000C6139"/>
    <w:rsid w:val="000C69AE"/>
    <w:rsid w:val="000C6A52"/>
    <w:rsid w:val="000C6B5E"/>
    <w:rsid w:val="000C7457"/>
    <w:rsid w:val="000C756E"/>
    <w:rsid w:val="000D0562"/>
    <w:rsid w:val="000D0903"/>
    <w:rsid w:val="000D1B5E"/>
    <w:rsid w:val="000D1F5F"/>
    <w:rsid w:val="000D2187"/>
    <w:rsid w:val="000D3F05"/>
    <w:rsid w:val="000D4257"/>
    <w:rsid w:val="000D517F"/>
    <w:rsid w:val="000D6D35"/>
    <w:rsid w:val="000D7F5B"/>
    <w:rsid w:val="000E08D0"/>
    <w:rsid w:val="000E0C56"/>
    <w:rsid w:val="000E0F01"/>
    <w:rsid w:val="000E11A2"/>
    <w:rsid w:val="000E167A"/>
    <w:rsid w:val="000E1E35"/>
    <w:rsid w:val="000E207D"/>
    <w:rsid w:val="000E23A5"/>
    <w:rsid w:val="000E276D"/>
    <w:rsid w:val="000E2D44"/>
    <w:rsid w:val="000E2F40"/>
    <w:rsid w:val="000E3BBC"/>
    <w:rsid w:val="000E4061"/>
    <w:rsid w:val="000E4CD5"/>
    <w:rsid w:val="000E620A"/>
    <w:rsid w:val="000E70D4"/>
    <w:rsid w:val="000F027E"/>
    <w:rsid w:val="000F18DD"/>
    <w:rsid w:val="000F2B70"/>
    <w:rsid w:val="000F425E"/>
    <w:rsid w:val="000F48FA"/>
    <w:rsid w:val="000F7174"/>
    <w:rsid w:val="00100216"/>
    <w:rsid w:val="00101DF8"/>
    <w:rsid w:val="0010200A"/>
    <w:rsid w:val="00102271"/>
    <w:rsid w:val="0010349B"/>
    <w:rsid w:val="00103BD0"/>
    <w:rsid w:val="00103E5C"/>
    <w:rsid w:val="001045B6"/>
    <w:rsid w:val="00104854"/>
    <w:rsid w:val="0010490E"/>
    <w:rsid w:val="00104DF4"/>
    <w:rsid w:val="001052DD"/>
    <w:rsid w:val="00105EF9"/>
    <w:rsid w:val="00106980"/>
    <w:rsid w:val="00106B83"/>
    <w:rsid w:val="001073A6"/>
    <w:rsid w:val="001074B6"/>
    <w:rsid w:val="00107A22"/>
    <w:rsid w:val="0011021A"/>
    <w:rsid w:val="00110DF4"/>
    <w:rsid w:val="00110F7F"/>
    <w:rsid w:val="00111506"/>
    <w:rsid w:val="00111ABB"/>
    <w:rsid w:val="00112457"/>
    <w:rsid w:val="00112463"/>
    <w:rsid w:val="00114CE2"/>
    <w:rsid w:val="001158D6"/>
    <w:rsid w:val="00115C6B"/>
    <w:rsid w:val="00116E58"/>
    <w:rsid w:val="0011744A"/>
    <w:rsid w:val="00120961"/>
    <w:rsid w:val="00120D50"/>
    <w:rsid w:val="00122DEC"/>
    <w:rsid w:val="0012305A"/>
    <w:rsid w:val="00123A66"/>
    <w:rsid w:val="00123A91"/>
    <w:rsid w:val="00123A99"/>
    <w:rsid w:val="001252AE"/>
    <w:rsid w:val="00127536"/>
    <w:rsid w:val="001279B3"/>
    <w:rsid w:val="00130493"/>
    <w:rsid w:val="00130554"/>
    <w:rsid w:val="00130F17"/>
    <w:rsid w:val="001315FB"/>
    <w:rsid w:val="00131834"/>
    <w:rsid w:val="00132444"/>
    <w:rsid w:val="00132512"/>
    <w:rsid w:val="0013259D"/>
    <w:rsid w:val="00132B75"/>
    <w:rsid w:val="001339E8"/>
    <w:rsid w:val="00133B5E"/>
    <w:rsid w:val="001347F8"/>
    <w:rsid w:val="0013514F"/>
    <w:rsid w:val="0013564A"/>
    <w:rsid w:val="001357D4"/>
    <w:rsid w:val="00137190"/>
    <w:rsid w:val="0013734A"/>
    <w:rsid w:val="0014016C"/>
    <w:rsid w:val="00140587"/>
    <w:rsid w:val="00141149"/>
    <w:rsid w:val="001420AF"/>
    <w:rsid w:val="00142A92"/>
    <w:rsid w:val="00143EA2"/>
    <w:rsid w:val="0014408C"/>
    <w:rsid w:val="00144380"/>
    <w:rsid w:val="0014462E"/>
    <w:rsid w:val="001450BD"/>
    <w:rsid w:val="001452A7"/>
    <w:rsid w:val="00146033"/>
    <w:rsid w:val="00146445"/>
    <w:rsid w:val="00150602"/>
    <w:rsid w:val="00150DA7"/>
    <w:rsid w:val="00151417"/>
    <w:rsid w:val="00151537"/>
    <w:rsid w:val="0015405F"/>
    <w:rsid w:val="00154230"/>
    <w:rsid w:val="00155480"/>
    <w:rsid w:val="00155490"/>
    <w:rsid w:val="00160DFD"/>
    <w:rsid w:val="00161E9F"/>
    <w:rsid w:val="001642EF"/>
    <w:rsid w:val="001642FE"/>
    <w:rsid w:val="00164415"/>
    <w:rsid w:val="00164671"/>
    <w:rsid w:val="00165CA8"/>
    <w:rsid w:val="00166904"/>
    <w:rsid w:val="001678AE"/>
    <w:rsid w:val="00170185"/>
    <w:rsid w:val="00170CFA"/>
    <w:rsid w:val="001712A2"/>
    <w:rsid w:val="00172328"/>
    <w:rsid w:val="001724CC"/>
    <w:rsid w:val="00172824"/>
    <w:rsid w:val="00172E01"/>
    <w:rsid w:val="00172F7F"/>
    <w:rsid w:val="001737AC"/>
    <w:rsid w:val="0017423B"/>
    <w:rsid w:val="001747EB"/>
    <w:rsid w:val="00176960"/>
    <w:rsid w:val="00176EF8"/>
    <w:rsid w:val="00177E45"/>
    <w:rsid w:val="00180B0E"/>
    <w:rsid w:val="00181096"/>
    <w:rsid w:val="001817F4"/>
    <w:rsid w:val="00181A24"/>
    <w:rsid w:val="0018250A"/>
    <w:rsid w:val="00182A51"/>
    <w:rsid w:val="00182EAC"/>
    <w:rsid w:val="00183EED"/>
    <w:rsid w:val="00183F19"/>
    <w:rsid w:val="0018440B"/>
    <w:rsid w:val="00184CC3"/>
    <w:rsid w:val="0018511E"/>
    <w:rsid w:val="0018576B"/>
    <w:rsid w:val="001867EC"/>
    <w:rsid w:val="001872A0"/>
    <w:rsid w:val="001875DA"/>
    <w:rsid w:val="001907F9"/>
    <w:rsid w:val="00193926"/>
    <w:rsid w:val="00193A96"/>
    <w:rsid w:val="0019423A"/>
    <w:rsid w:val="001948A9"/>
    <w:rsid w:val="00194969"/>
    <w:rsid w:val="00194ACD"/>
    <w:rsid w:val="001956C5"/>
    <w:rsid w:val="00195BF5"/>
    <w:rsid w:val="00195D42"/>
    <w:rsid w:val="00195E18"/>
    <w:rsid w:val="00197A10"/>
    <w:rsid w:val="001A11B0"/>
    <w:rsid w:val="001A17C7"/>
    <w:rsid w:val="001A1C64"/>
    <w:rsid w:val="001A20AF"/>
    <w:rsid w:val="001A28C0"/>
    <w:rsid w:val="001A46FB"/>
    <w:rsid w:val="001A4B0D"/>
    <w:rsid w:val="001A51FA"/>
    <w:rsid w:val="001A5AE7"/>
    <w:rsid w:val="001A5D9B"/>
    <w:rsid w:val="001A6742"/>
    <w:rsid w:val="001A6862"/>
    <w:rsid w:val="001B011A"/>
    <w:rsid w:val="001B0475"/>
    <w:rsid w:val="001B1C0B"/>
    <w:rsid w:val="001B2A5D"/>
    <w:rsid w:val="001B2C4F"/>
    <w:rsid w:val="001B36BA"/>
    <w:rsid w:val="001B3F03"/>
    <w:rsid w:val="001B43D0"/>
    <w:rsid w:val="001B4EAA"/>
    <w:rsid w:val="001B5B51"/>
    <w:rsid w:val="001B6250"/>
    <w:rsid w:val="001B6C85"/>
    <w:rsid w:val="001B7CCF"/>
    <w:rsid w:val="001B7CE1"/>
    <w:rsid w:val="001C02DF"/>
    <w:rsid w:val="001C0F78"/>
    <w:rsid w:val="001C1B5B"/>
    <w:rsid w:val="001C2830"/>
    <w:rsid w:val="001C3F47"/>
    <w:rsid w:val="001C4023"/>
    <w:rsid w:val="001C4FA5"/>
    <w:rsid w:val="001C53D3"/>
    <w:rsid w:val="001C6603"/>
    <w:rsid w:val="001C6ACC"/>
    <w:rsid w:val="001C7153"/>
    <w:rsid w:val="001C7328"/>
    <w:rsid w:val="001C780B"/>
    <w:rsid w:val="001C7BBA"/>
    <w:rsid w:val="001C7F1A"/>
    <w:rsid w:val="001D0EC9"/>
    <w:rsid w:val="001D1340"/>
    <w:rsid w:val="001D1782"/>
    <w:rsid w:val="001D201F"/>
    <w:rsid w:val="001D2259"/>
    <w:rsid w:val="001D27BB"/>
    <w:rsid w:val="001D3425"/>
    <w:rsid w:val="001D42ED"/>
    <w:rsid w:val="001D4DA5"/>
    <w:rsid w:val="001D513B"/>
    <w:rsid w:val="001D5213"/>
    <w:rsid w:val="001D712A"/>
    <w:rsid w:val="001D76D4"/>
    <w:rsid w:val="001E282D"/>
    <w:rsid w:val="001E3420"/>
    <w:rsid w:val="001E465D"/>
    <w:rsid w:val="001E52F4"/>
    <w:rsid w:val="001E5C44"/>
    <w:rsid w:val="001E5DE9"/>
    <w:rsid w:val="001E60B8"/>
    <w:rsid w:val="001E659F"/>
    <w:rsid w:val="001F168C"/>
    <w:rsid w:val="001F1AE8"/>
    <w:rsid w:val="001F1B51"/>
    <w:rsid w:val="001F2424"/>
    <w:rsid w:val="001F24BD"/>
    <w:rsid w:val="001F2ED0"/>
    <w:rsid w:val="001F2FF0"/>
    <w:rsid w:val="001F3068"/>
    <w:rsid w:val="001F32A5"/>
    <w:rsid w:val="001F4142"/>
    <w:rsid w:val="001F58E2"/>
    <w:rsid w:val="001F5D08"/>
    <w:rsid w:val="001F6379"/>
    <w:rsid w:val="00200152"/>
    <w:rsid w:val="00200BA1"/>
    <w:rsid w:val="00200F94"/>
    <w:rsid w:val="0020114E"/>
    <w:rsid w:val="002012B2"/>
    <w:rsid w:val="002017E2"/>
    <w:rsid w:val="00202DFC"/>
    <w:rsid w:val="00203F73"/>
    <w:rsid w:val="002050EB"/>
    <w:rsid w:val="002067C9"/>
    <w:rsid w:val="002070FE"/>
    <w:rsid w:val="00207A20"/>
    <w:rsid w:val="00207C66"/>
    <w:rsid w:val="0021021D"/>
    <w:rsid w:val="00211503"/>
    <w:rsid w:val="00211AB8"/>
    <w:rsid w:val="00211D98"/>
    <w:rsid w:val="00214A1F"/>
    <w:rsid w:val="00217440"/>
    <w:rsid w:val="00217E44"/>
    <w:rsid w:val="00220403"/>
    <w:rsid w:val="00220627"/>
    <w:rsid w:val="0022081B"/>
    <w:rsid w:val="00221230"/>
    <w:rsid w:val="002216DC"/>
    <w:rsid w:val="0022237C"/>
    <w:rsid w:val="00222B57"/>
    <w:rsid w:val="00222C15"/>
    <w:rsid w:val="00222C72"/>
    <w:rsid w:val="002231C4"/>
    <w:rsid w:val="002232D1"/>
    <w:rsid w:val="002241C8"/>
    <w:rsid w:val="002249F0"/>
    <w:rsid w:val="00224CF2"/>
    <w:rsid w:val="00224E34"/>
    <w:rsid w:val="00225659"/>
    <w:rsid w:val="0022578C"/>
    <w:rsid w:val="00226A9A"/>
    <w:rsid w:val="00226C2F"/>
    <w:rsid w:val="00226FCB"/>
    <w:rsid w:val="00227080"/>
    <w:rsid w:val="002277F9"/>
    <w:rsid w:val="00227D98"/>
    <w:rsid w:val="0023055D"/>
    <w:rsid w:val="00230A2B"/>
    <w:rsid w:val="00231B61"/>
    <w:rsid w:val="002330BB"/>
    <w:rsid w:val="0023410E"/>
    <w:rsid w:val="00234A47"/>
    <w:rsid w:val="00235894"/>
    <w:rsid w:val="00235A60"/>
    <w:rsid w:val="00235F40"/>
    <w:rsid w:val="0023622A"/>
    <w:rsid w:val="00236D85"/>
    <w:rsid w:val="00236F21"/>
    <w:rsid w:val="002373D5"/>
    <w:rsid w:val="00240385"/>
    <w:rsid w:val="00240436"/>
    <w:rsid w:val="00241A06"/>
    <w:rsid w:val="00242EEE"/>
    <w:rsid w:val="00243BE9"/>
    <w:rsid w:val="002442FE"/>
    <w:rsid w:val="00244DC5"/>
    <w:rsid w:val="00245131"/>
    <w:rsid w:val="0024525E"/>
    <w:rsid w:val="00245C4E"/>
    <w:rsid w:val="00245D97"/>
    <w:rsid w:val="002469C9"/>
    <w:rsid w:val="00246B7A"/>
    <w:rsid w:val="00246D3F"/>
    <w:rsid w:val="00246E1F"/>
    <w:rsid w:val="00247C18"/>
    <w:rsid w:val="00247DAA"/>
    <w:rsid w:val="00250925"/>
    <w:rsid w:val="00250C11"/>
    <w:rsid w:val="00250CF5"/>
    <w:rsid w:val="0025156D"/>
    <w:rsid w:val="00251F63"/>
    <w:rsid w:val="00252F06"/>
    <w:rsid w:val="002530A1"/>
    <w:rsid w:val="002536AC"/>
    <w:rsid w:val="00253B88"/>
    <w:rsid w:val="00254170"/>
    <w:rsid w:val="002547F6"/>
    <w:rsid w:val="00254F96"/>
    <w:rsid w:val="002566AB"/>
    <w:rsid w:val="00260111"/>
    <w:rsid w:val="00260A42"/>
    <w:rsid w:val="002611CF"/>
    <w:rsid w:val="002612BF"/>
    <w:rsid w:val="002618D4"/>
    <w:rsid w:val="002619F0"/>
    <w:rsid w:val="00261D7F"/>
    <w:rsid w:val="00262481"/>
    <w:rsid w:val="00263167"/>
    <w:rsid w:val="00264420"/>
    <w:rsid w:val="00264D4C"/>
    <w:rsid w:val="00265BC2"/>
    <w:rsid w:val="002662F6"/>
    <w:rsid w:val="00266329"/>
    <w:rsid w:val="00266F71"/>
    <w:rsid w:val="00270215"/>
    <w:rsid w:val="00271FAE"/>
    <w:rsid w:val="00272178"/>
    <w:rsid w:val="00272AD7"/>
    <w:rsid w:val="00272F10"/>
    <w:rsid w:val="00273062"/>
    <w:rsid w:val="00274B8B"/>
    <w:rsid w:val="00274FAC"/>
    <w:rsid w:val="0027614D"/>
    <w:rsid w:val="00276A4A"/>
    <w:rsid w:val="00276D9D"/>
    <w:rsid w:val="00277135"/>
    <w:rsid w:val="00280F2D"/>
    <w:rsid w:val="00281521"/>
    <w:rsid w:val="00281F8B"/>
    <w:rsid w:val="00282312"/>
    <w:rsid w:val="0028277B"/>
    <w:rsid w:val="00283B63"/>
    <w:rsid w:val="0028417F"/>
    <w:rsid w:val="0028433B"/>
    <w:rsid w:val="00284561"/>
    <w:rsid w:val="00285BB8"/>
    <w:rsid w:val="00285F58"/>
    <w:rsid w:val="002876F0"/>
    <w:rsid w:val="00287AC7"/>
    <w:rsid w:val="002902B2"/>
    <w:rsid w:val="00290F12"/>
    <w:rsid w:val="00291F3E"/>
    <w:rsid w:val="002923FF"/>
    <w:rsid w:val="00292430"/>
    <w:rsid w:val="002926DD"/>
    <w:rsid w:val="0029287F"/>
    <w:rsid w:val="00293EBC"/>
    <w:rsid w:val="00294F98"/>
    <w:rsid w:val="00295A53"/>
    <w:rsid w:val="00295FD6"/>
    <w:rsid w:val="00296AC5"/>
    <w:rsid w:val="00296C7A"/>
    <w:rsid w:val="00297193"/>
    <w:rsid w:val="00297657"/>
    <w:rsid w:val="00297C9D"/>
    <w:rsid w:val="002A021B"/>
    <w:rsid w:val="002A0E03"/>
    <w:rsid w:val="002A17F4"/>
    <w:rsid w:val="002A1C6B"/>
    <w:rsid w:val="002A2DA9"/>
    <w:rsid w:val="002A35A3"/>
    <w:rsid w:val="002A3E4D"/>
    <w:rsid w:val="002A3E56"/>
    <w:rsid w:val="002A45C1"/>
    <w:rsid w:val="002A51EB"/>
    <w:rsid w:val="002A5BDD"/>
    <w:rsid w:val="002A5F08"/>
    <w:rsid w:val="002A6142"/>
    <w:rsid w:val="002A6C6D"/>
    <w:rsid w:val="002A7660"/>
    <w:rsid w:val="002B0099"/>
    <w:rsid w:val="002B09B6"/>
    <w:rsid w:val="002B09ED"/>
    <w:rsid w:val="002B0CB0"/>
    <w:rsid w:val="002B10B1"/>
    <w:rsid w:val="002B2742"/>
    <w:rsid w:val="002B3644"/>
    <w:rsid w:val="002B385D"/>
    <w:rsid w:val="002B3E9B"/>
    <w:rsid w:val="002B4620"/>
    <w:rsid w:val="002B5660"/>
    <w:rsid w:val="002B5733"/>
    <w:rsid w:val="002B5B15"/>
    <w:rsid w:val="002B5F43"/>
    <w:rsid w:val="002C00A0"/>
    <w:rsid w:val="002C0A35"/>
    <w:rsid w:val="002C0E1E"/>
    <w:rsid w:val="002C14B0"/>
    <w:rsid w:val="002C2056"/>
    <w:rsid w:val="002C2BA1"/>
    <w:rsid w:val="002C471C"/>
    <w:rsid w:val="002C5768"/>
    <w:rsid w:val="002C5AE5"/>
    <w:rsid w:val="002C5FE4"/>
    <w:rsid w:val="002C621C"/>
    <w:rsid w:val="002C6CBF"/>
    <w:rsid w:val="002D0581"/>
    <w:rsid w:val="002D0AD9"/>
    <w:rsid w:val="002D0F24"/>
    <w:rsid w:val="002D0FAF"/>
    <w:rsid w:val="002D13CB"/>
    <w:rsid w:val="002D1855"/>
    <w:rsid w:val="002D2607"/>
    <w:rsid w:val="002D2DC7"/>
    <w:rsid w:val="002D3517"/>
    <w:rsid w:val="002D6748"/>
    <w:rsid w:val="002D720E"/>
    <w:rsid w:val="002E18F3"/>
    <w:rsid w:val="002E2BEC"/>
    <w:rsid w:val="002E367A"/>
    <w:rsid w:val="002E3A5A"/>
    <w:rsid w:val="002E3CA8"/>
    <w:rsid w:val="002E4ED1"/>
    <w:rsid w:val="002E4F41"/>
    <w:rsid w:val="002E5556"/>
    <w:rsid w:val="002E5B46"/>
    <w:rsid w:val="002E609D"/>
    <w:rsid w:val="002E7831"/>
    <w:rsid w:val="002F01D7"/>
    <w:rsid w:val="002F082A"/>
    <w:rsid w:val="002F115B"/>
    <w:rsid w:val="002F28CA"/>
    <w:rsid w:val="002F2933"/>
    <w:rsid w:val="002F2A48"/>
    <w:rsid w:val="002F34AC"/>
    <w:rsid w:val="002F39D3"/>
    <w:rsid w:val="002F59EA"/>
    <w:rsid w:val="002F5D25"/>
    <w:rsid w:val="002F65BC"/>
    <w:rsid w:val="002F71EC"/>
    <w:rsid w:val="002F7D07"/>
    <w:rsid w:val="003001C7"/>
    <w:rsid w:val="00300B0C"/>
    <w:rsid w:val="00300D02"/>
    <w:rsid w:val="00302AF5"/>
    <w:rsid w:val="003038C5"/>
    <w:rsid w:val="00303DF4"/>
    <w:rsid w:val="0030537D"/>
    <w:rsid w:val="00306671"/>
    <w:rsid w:val="00307289"/>
    <w:rsid w:val="00307C16"/>
    <w:rsid w:val="00311BDC"/>
    <w:rsid w:val="00311C2C"/>
    <w:rsid w:val="00311CBF"/>
    <w:rsid w:val="00312A29"/>
    <w:rsid w:val="003133FB"/>
    <w:rsid w:val="00313BBC"/>
    <w:rsid w:val="00313FA2"/>
    <w:rsid w:val="00314704"/>
    <w:rsid w:val="003159B5"/>
    <w:rsid w:val="003161CA"/>
    <w:rsid w:val="003206C6"/>
    <w:rsid w:val="0032084B"/>
    <w:rsid w:val="003211B4"/>
    <w:rsid w:val="00321B06"/>
    <w:rsid w:val="00322126"/>
    <w:rsid w:val="003224A6"/>
    <w:rsid w:val="0032256A"/>
    <w:rsid w:val="00323490"/>
    <w:rsid w:val="003235E7"/>
    <w:rsid w:val="00323C45"/>
    <w:rsid w:val="00325582"/>
    <w:rsid w:val="003259F6"/>
    <w:rsid w:val="00326AD1"/>
    <w:rsid w:val="003271A6"/>
    <w:rsid w:val="00331593"/>
    <w:rsid w:val="003322E9"/>
    <w:rsid w:val="00332F58"/>
    <w:rsid w:val="003340F3"/>
    <w:rsid w:val="00334CB2"/>
    <w:rsid w:val="00335039"/>
    <w:rsid w:val="00335B3C"/>
    <w:rsid w:val="003364E6"/>
    <w:rsid w:val="00336852"/>
    <w:rsid w:val="00336FB8"/>
    <w:rsid w:val="0033741C"/>
    <w:rsid w:val="00341749"/>
    <w:rsid w:val="003420F9"/>
    <w:rsid w:val="0034298C"/>
    <w:rsid w:val="00342D0A"/>
    <w:rsid w:val="00343643"/>
    <w:rsid w:val="0034447B"/>
    <w:rsid w:val="003456AC"/>
    <w:rsid w:val="00346945"/>
    <w:rsid w:val="00350312"/>
    <w:rsid w:val="00350349"/>
    <w:rsid w:val="00351215"/>
    <w:rsid w:val="0035202F"/>
    <w:rsid w:val="0035217B"/>
    <w:rsid w:val="00352EA5"/>
    <w:rsid w:val="00353428"/>
    <w:rsid w:val="00353CBF"/>
    <w:rsid w:val="00354422"/>
    <w:rsid w:val="00354604"/>
    <w:rsid w:val="003549A0"/>
    <w:rsid w:val="003552BD"/>
    <w:rsid w:val="003553E6"/>
    <w:rsid w:val="003560E1"/>
    <w:rsid w:val="003565D1"/>
    <w:rsid w:val="00356ED2"/>
    <w:rsid w:val="003576AB"/>
    <w:rsid w:val="00357B55"/>
    <w:rsid w:val="0036055C"/>
    <w:rsid w:val="0036071F"/>
    <w:rsid w:val="00362A2A"/>
    <w:rsid w:val="00363657"/>
    <w:rsid w:val="00365288"/>
    <w:rsid w:val="00365CF4"/>
    <w:rsid w:val="00370247"/>
    <w:rsid w:val="003703B2"/>
    <w:rsid w:val="00370D7D"/>
    <w:rsid w:val="00370EB3"/>
    <w:rsid w:val="0037141F"/>
    <w:rsid w:val="00371D19"/>
    <w:rsid w:val="00372018"/>
    <w:rsid w:val="003728F9"/>
    <w:rsid w:val="00374A77"/>
    <w:rsid w:val="00374B02"/>
    <w:rsid w:val="00374CC6"/>
    <w:rsid w:val="0037501F"/>
    <w:rsid w:val="00375C2F"/>
    <w:rsid w:val="00375DF2"/>
    <w:rsid w:val="0037640A"/>
    <w:rsid w:val="00380130"/>
    <w:rsid w:val="003816D7"/>
    <w:rsid w:val="00382272"/>
    <w:rsid w:val="003823AF"/>
    <w:rsid w:val="003829A7"/>
    <w:rsid w:val="00383297"/>
    <w:rsid w:val="00383A3A"/>
    <w:rsid w:val="00383E17"/>
    <w:rsid w:val="003848A4"/>
    <w:rsid w:val="00385D04"/>
    <w:rsid w:val="00385E80"/>
    <w:rsid w:val="00386902"/>
    <w:rsid w:val="003871B6"/>
    <w:rsid w:val="00387218"/>
    <w:rsid w:val="00387369"/>
    <w:rsid w:val="00387FC0"/>
    <w:rsid w:val="003900DB"/>
    <w:rsid w:val="003903AE"/>
    <w:rsid w:val="00390825"/>
    <w:rsid w:val="00390FB7"/>
    <w:rsid w:val="00391474"/>
    <w:rsid w:val="00392716"/>
    <w:rsid w:val="00392F5E"/>
    <w:rsid w:val="00393192"/>
    <w:rsid w:val="003935F2"/>
    <w:rsid w:val="00393D82"/>
    <w:rsid w:val="0039610D"/>
    <w:rsid w:val="003967ED"/>
    <w:rsid w:val="00396C20"/>
    <w:rsid w:val="00396CC9"/>
    <w:rsid w:val="003A0BCC"/>
    <w:rsid w:val="003A21D1"/>
    <w:rsid w:val="003A270D"/>
    <w:rsid w:val="003A277E"/>
    <w:rsid w:val="003A2B88"/>
    <w:rsid w:val="003A3F65"/>
    <w:rsid w:val="003A485F"/>
    <w:rsid w:val="003A48C0"/>
    <w:rsid w:val="003A4A83"/>
    <w:rsid w:val="003A5754"/>
    <w:rsid w:val="003A5D94"/>
    <w:rsid w:val="003A6680"/>
    <w:rsid w:val="003A6E2D"/>
    <w:rsid w:val="003A79AD"/>
    <w:rsid w:val="003B0568"/>
    <w:rsid w:val="003B18C7"/>
    <w:rsid w:val="003B29BA"/>
    <w:rsid w:val="003B3761"/>
    <w:rsid w:val="003B4A52"/>
    <w:rsid w:val="003B50DD"/>
    <w:rsid w:val="003B575D"/>
    <w:rsid w:val="003B6AC4"/>
    <w:rsid w:val="003B6C9C"/>
    <w:rsid w:val="003B7682"/>
    <w:rsid w:val="003B7E6C"/>
    <w:rsid w:val="003C001C"/>
    <w:rsid w:val="003C19C8"/>
    <w:rsid w:val="003C280B"/>
    <w:rsid w:val="003C2AB0"/>
    <w:rsid w:val="003C2F23"/>
    <w:rsid w:val="003C30E5"/>
    <w:rsid w:val="003C3144"/>
    <w:rsid w:val="003C451C"/>
    <w:rsid w:val="003C5915"/>
    <w:rsid w:val="003C6EA3"/>
    <w:rsid w:val="003C743F"/>
    <w:rsid w:val="003D061B"/>
    <w:rsid w:val="003D09C5"/>
    <w:rsid w:val="003D2348"/>
    <w:rsid w:val="003D29DF"/>
    <w:rsid w:val="003D3AE8"/>
    <w:rsid w:val="003D408C"/>
    <w:rsid w:val="003D521B"/>
    <w:rsid w:val="003D5C41"/>
    <w:rsid w:val="003D5FCA"/>
    <w:rsid w:val="003D635D"/>
    <w:rsid w:val="003D7548"/>
    <w:rsid w:val="003D7F5C"/>
    <w:rsid w:val="003E0690"/>
    <w:rsid w:val="003E0939"/>
    <w:rsid w:val="003E0C6C"/>
    <w:rsid w:val="003E1748"/>
    <w:rsid w:val="003E18A3"/>
    <w:rsid w:val="003E2735"/>
    <w:rsid w:val="003E2A09"/>
    <w:rsid w:val="003E316D"/>
    <w:rsid w:val="003E339B"/>
    <w:rsid w:val="003E354A"/>
    <w:rsid w:val="003E38D5"/>
    <w:rsid w:val="003E4BF0"/>
    <w:rsid w:val="003E57CB"/>
    <w:rsid w:val="003E5B2A"/>
    <w:rsid w:val="003E639F"/>
    <w:rsid w:val="003E63B6"/>
    <w:rsid w:val="003E6E52"/>
    <w:rsid w:val="003F044F"/>
    <w:rsid w:val="003F0BEC"/>
    <w:rsid w:val="003F1A84"/>
    <w:rsid w:val="003F3392"/>
    <w:rsid w:val="003F385C"/>
    <w:rsid w:val="003F5421"/>
    <w:rsid w:val="003F5453"/>
    <w:rsid w:val="003F7220"/>
    <w:rsid w:val="003F745B"/>
    <w:rsid w:val="003F7476"/>
    <w:rsid w:val="003F7C5F"/>
    <w:rsid w:val="004018DB"/>
    <w:rsid w:val="00402223"/>
    <w:rsid w:val="004023A1"/>
    <w:rsid w:val="004028F2"/>
    <w:rsid w:val="00402CA9"/>
    <w:rsid w:val="00402EA1"/>
    <w:rsid w:val="00404C02"/>
    <w:rsid w:val="004054F0"/>
    <w:rsid w:val="00405D85"/>
    <w:rsid w:val="004061A8"/>
    <w:rsid w:val="00407403"/>
    <w:rsid w:val="004102B0"/>
    <w:rsid w:val="00410766"/>
    <w:rsid w:val="0041082D"/>
    <w:rsid w:val="004108DC"/>
    <w:rsid w:val="004131EC"/>
    <w:rsid w:val="00414211"/>
    <w:rsid w:val="004142C1"/>
    <w:rsid w:val="004149EB"/>
    <w:rsid w:val="004161D7"/>
    <w:rsid w:val="00417080"/>
    <w:rsid w:val="00421339"/>
    <w:rsid w:val="004225C1"/>
    <w:rsid w:val="004230D5"/>
    <w:rsid w:val="00423435"/>
    <w:rsid w:val="004234A1"/>
    <w:rsid w:val="00423D29"/>
    <w:rsid w:val="00424DCB"/>
    <w:rsid w:val="00425052"/>
    <w:rsid w:val="004253B8"/>
    <w:rsid w:val="00425E42"/>
    <w:rsid w:val="004272B0"/>
    <w:rsid w:val="00427665"/>
    <w:rsid w:val="00427819"/>
    <w:rsid w:val="00427AC0"/>
    <w:rsid w:val="00427F19"/>
    <w:rsid w:val="00430ADC"/>
    <w:rsid w:val="00430D2E"/>
    <w:rsid w:val="00430F31"/>
    <w:rsid w:val="00431870"/>
    <w:rsid w:val="0043194E"/>
    <w:rsid w:val="00436853"/>
    <w:rsid w:val="00437174"/>
    <w:rsid w:val="00437CDA"/>
    <w:rsid w:val="00441028"/>
    <w:rsid w:val="00441195"/>
    <w:rsid w:val="00441373"/>
    <w:rsid w:val="004431AE"/>
    <w:rsid w:val="004436AA"/>
    <w:rsid w:val="00443FC0"/>
    <w:rsid w:val="00445D92"/>
    <w:rsid w:val="00446550"/>
    <w:rsid w:val="004502FB"/>
    <w:rsid w:val="00451A8D"/>
    <w:rsid w:val="00451D16"/>
    <w:rsid w:val="00451E9D"/>
    <w:rsid w:val="004523E8"/>
    <w:rsid w:val="00452841"/>
    <w:rsid w:val="00452C26"/>
    <w:rsid w:val="00453537"/>
    <w:rsid w:val="00453748"/>
    <w:rsid w:val="00453E77"/>
    <w:rsid w:val="00453EFC"/>
    <w:rsid w:val="00453F62"/>
    <w:rsid w:val="004545F3"/>
    <w:rsid w:val="00455160"/>
    <w:rsid w:val="004552D7"/>
    <w:rsid w:val="00456C04"/>
    <w:rsid w:val="00456D6A"/>
    <w:rsid w:val="00457D2C"/>
    <w:rsid w:val="00457E6C"/>
    <w:rsid w:val="00461062"/>
    <w:rsid w:val="004614C5"/>
    <w:rsid w:val="00461AAE"/>
    <w:rsid w:val="00461EBC"/>
    <w:rsid w:val="004622C2"/>
    <w:rsid w:val="00462955"/>
    <w:rsid w:val="004636F2"/>
    <w:rsid w:val="00463703"/>
    <w:rsid w:val="004639AD"/>
    <w:rsid w:val="00464E2C"/>
    <w:rsid w:val="00466F9B"/>
    <w:rsid w:val="004671DC"/>
    <w:rsid w:val="004678C6"/>
    <w:rsid w:val="004679CD"/>
    <w:rsid w:val="00470602"/>
    <w:rsid w:val="004707DC"/>
    <w:rsid w:val="004710B7"/>
    <w:rsid w:val="004710F1"/>
    <w:rsid w:val="004714FC"/>
    <w:rsid w:val="004749FB"/>
    <w:rsid w:val="00474CFE"/>
    <w:rsid w:val="00476546"/>
    <w:rsid w:val="00477209"/>
    <w:rsid w:val="00480436"/>
    <w:rsid w:val="00480B95"/>
    <w:rsid w:val="00480C37"/>
    <w:rsid w:val="00480CC8"/>
    <w:rsid w:val="00481CF3"/>
    <w:rsid w:val="0048485A"/>
    <w:rsid w:val="00484A75"/>
    <w:rsid w:val="004855A0"/>
    <w:rsid w:val="00486156"/>
    <w:rsid w:val="004875E4"/>
    <w:rsid w:val="00487AB2"/>
    <w:rsid w:val="0049044C"/>
    <w:rsid w:val="00490C48"/>
    <w:rsid w:val="00491015"/>
    <w:rsid w:val="004918B1"/>
    <w:rsid w:val="0049193A"/>
    <w:rsid w:val="00492077"/>
    <w:rsid w:val="00492436"/>
    <w:rsid w:val="004927C4"/>
    <w:rsid w:val="00492B00"/>
    <w:rsid w:val="00492B0C"/>
    <w:rsid w:val="00492E57"/>
    <w:rsid w:val="00492E66"/>
    <w:rsid w:val="004938CD"/>
    <w:rsid w:val="00494050"/>
    <w:rsid w:val="00494937"/>
    <w:rsid w:val="00495525"/>
    <w:rsid w:val="00495971"/>
    <w:rsid w:val="00495B49"/>
    <w:rsid w:val="004960E4"/>
    <w:rsid w:val="00496465"/>
    <w:rsid w:val="00496FF5"/>
    <w:rsid w:val="00497929"/>
    <w:rsid w:val="00497AEC"/>
    <w:rsid w:val="004A169C"/>
    <w:rsid w:val="004A1709"/>
    <w:rsid w:val="004A1E50"/>
    <w:rsid w:val="004A2224"/>
    <w:rsid w:val="004A238A"/>
    <w:rsid w:val="004A2472"/>
    <w:rsid w:val="004A2CCD"/>
    <w:rsid w:val="004A30FF"/>
    <w:rsid w:val="004A500A"/>
    <w:rsid w:val="004A522E"/>
    <w:rsid w:val="004A7109"/>
    <w:rsid w:val="004B0ACE"/>
    <w:rsid w:val="004B1409"/>
    <w:rsid w:val="004B2923"/>
    <w:rsid w:val="004B2B89"/>
    <w:rsid w:val="004B43E7"/>
    <w:rsid w:val="004B44EC"/>
    <w:rsid w:val="004B750A"/>
    <w:rsid w:val="004B7EED"/>
    <w:rsid w:val="004C0140"/>
    <w:rsid w:val="004C02B1"/>
    <w:rsid w:val="004C0867"/>
    <w:rsid w:val="004C0932"/>
    <w:rsid w:val="004C1646"/>
    <w:rsid w:val="004C1795"/>
    <w:rsid w:val="004C1C42"/>
    <w:rsid w:val="004C1FCF"/>
    <w:rsid w:val="004C3151"/>
    <w:rsid w:val="004C368D"/>
    <w:rsid w:val="004C37F5"/>
    <w:rsid w:val="004C4662"/>
    <w:rsid w:val="004C4D0B"/>
    <w:rsid w:val="004C5EC1"/>
    <w:rsid w:val="004C67EA"/>
    <w:rsid w:val="004C6F6D"/>
    <w:rsid w:val="004C7C09"/>
    <w:rsid w:val="004D00BA"/>
    <w:rsid w:val="004D033A"/>
    <w:rsid w:val="004D0CF5"/>
    <w:rsid w:val="004D16DF"/>
    <w:rsid w:val="004D19FC"/>
    <w:rsid w:val="004D24BF"/>
    <w:rsid w:val="004D2CBD"/>
    <w:rsid w:val="004D3D46"/>
    <w:rsid w:val="004D532F"/>
    <w:rsid w:val="004D5A91"/>
    <w:rsid w:val="004D5BB6"/>
    <w:rsid w:val="004D5BED"/>
    <w:rsid w:val="004D61B0"/>
    <w:rsid w:val="004D6A7F"/>
    <w:rsid w:val="004E0184"/>
    <w:rsid w:val="004E069C"/>
    <w:rsid w:val="004E0B0A"/>
    <w:rsid w:val="004E31D8"/>
    <w:rsid w:val="004E3204"/>
    <w:rsid w:val="004E4327"/>
    <w:rsid w:val="004E43BF"/>
    <w:rsid w:val="004E50EE"/>
    <w:rsid w:val="004E5976"/>
    <w:rsid w:val="004E75D4"/>
    <w:rsid w:val="004F2FAF"/>
    <w:rsid w:val="004F3523"/>
    <w:rsid w:val="004F3711"/>
    <w:rsid w:val="004F3909"/>
    <w:rsid w:val="004F39FD"/>
    <w:rsid w:val="004F3D4A"/>
    <w:rsid w:val="004F4183"/>
    <w:rsid w:val="004F4C5B"/>
    <w:rsid w:val="004F5841"/>
    <w:rsid w:val="004F75B8"/>
    <w:rsid w:val="004F76F0"/>
    <w:rsid w:val="004F7C53"/>
    <w:rsid w:val="00501068"/>
    <w:rsid w:val="0050156B"/>
    <w:rsid w:val="00501C36"/>
    <w:rsid w:val="00502558"/>
    <w:rsid w:val="00502D31"/>
    <w:rsid w:val="0050503C"/>
    <w:rsid w:val="00506A95"/>
    <w:rsid w:val="0050723E"/>
    <w:rsid w:val="005100FB"/>
    <w:rsid w:val="00510511"/>
    <w:rsid w:val="005108D4"/>
    <w:rsid w:val="00510C89"/>
    <w:rsid w:val="00511003"/>
    <w:rsid w:val="00512453"/>
    <w:rsid w:val="00512583"/>
    <w:rsid w:val="005126AD"/>
    <w:rsid w:val="00512E13"/>
    <w:rsid w:val="00512EB0"/>
    <w:rsid w:val="00513653"/>
    <w:rsid w:val="0051430B"/>
    <w:rsid w:val="00514A2C"/>
    <w:rsid w:val="00514FEF"/>
    <w:rsid w:val="005158AD"/>
    <w:rsid w:val="005163DB"/>
    <w:rsid w:val="00516B9D"/>
    <w:rsid w:val="00516E21"/>
    <w:rsid w:val="00517744"/>
    <w:rsid w:val="00517A79"/>
    <w:rsid w:val="00517B5C"/>
    <w:rsid w:val="00517B97"/>
    <w:rsid w:val="00520403"/>
    <w:rsid w:val="0052054C"/>
    <w:rsid w:val="00521250"/>
    <w:rsid w:val="0052201C"/>
    <w:rsid w:val="005224BF"/>
    <w:rsid w:val="0052269A"/>
    <w:rsid w:val="0052375F"/>
    <w:rsid w:val="005242BA"/>
    <w:rsid w:val="00525943"/>
    <w:rsid w:val="00526413"/>
    <w:rsid w:val="00526928"/>
    <w:rsid w:val="00527787"/>
    <w:rsid w:val="005277BC"/>
    <w:rsid w:val="005304C8"/>
    <w:rsid w:val="0053072B"/>
    <w:rsid w:val="00530C2F"/>
    <w:rsid w:val="005324CB"/>
    <w:rsid w:val="0053262C"/>
    <w:rsid w:val="00532882"/>
    <w:rsid w:val="0053412C"/>
    <w:rsid w:val="00534248"/>
    <w:rsid w:val="00534B4C"/>
    <w:rsid w:val="00535DC6"/>
    <w:rsid w:val="00537A0D"/>
    <w:rsid w:val="0054009F"/>
    <w:rsid w:val="0054129B"/>
    <w:rsid w:val="005430B0"/>
    <w:rsid w:val="00543E78"/>
    <w:rsid w:val="0054403B"/>
    <w:rsid w:val="00544300"/>
    <w:rsid w:val="005447D1"/>
    <w:rsid w:val="00544899"/>
    <w:rsid w:val="00545737"/>
    <w:rsid w:val="0054574E"/>
    <w:rsid w:val="0054620D"/>
    <w:rsid w:val="00546823"/>
    <w:rsid w:val="0054745E"/>
    <w:rsid w:val="00550432"/>
    <w:rsid w:val="00550C6F"/>
    <w:rsid w:val="00551817"/>
    <w:rsid w:val="00552967"/>
    <w:rsid w:val="00552C94"/>
    <w:rsid w:val="00553DBD"/>
    <w:rsid w:val="00553E57"/>
    <w:rsid w:val="00555308"/>
    <w:rsid w:val="00557246"/>
    <w:rsid w:val="0055777A"/>
    <w:rsid w:val="00557E0C"/>
    <w:rsid w:val="00560CE4"/>
    <w:rsid w:val="00561A4C"/>
    <w:rsid w:val="00561C96"/>
    <w:rsid w:val="005632D8"/>
    <w:rsid w:val="00564451"/>
    <w:rsid w:val="00564A3F"/>
    <w:rsid w:val="00565996"/>
    <w:rsid w:val="00570703"/>
    <w:rsid w:val="005716C1"/>
    <w:rsid w:val="00571845"/>
    <w:rsid w:val="00572707"/>
    <w:rsid w:val="00572C27"/>
    <w:rsid w:val="00572E54"/>
    <w:rsid w:val="0057327E"/>
    <w:rsid w:val="00573821"/>
    <w:rsid w:val="0057495B"/>
    <w:rsid w:val="005753B8"/>
    <w:rsid w:val="005770E8"/>
    <w:rsid w:val="00577D3F"/>
    <w:rsid w:val="0058001F"/>
    <w:rsid w:val="005806B8"/>
    <w:rsid w:val="0058223D"/>
    <w:rsid w:val="005822A9"/>
    <w:rsid w:val="005825AB"/>
    <w:rsid w:val="00583750"/>
    <w:rsid w:val="00583D45"/>
    <w:rsid w:val="005842A6"/>
    <w:rsid w:val="00584325"/>
    <w:rsid w:val="00585950"/>
    <w:rsid w:val="0058635E"/>
    <w:rsid w:val="00587034"/>
    <w:rsid w:val="00590925"/>
    <w:rsid w:val="0059126E"/>
    <w:rsid w:val="005916A5"/>
    <w:rsid w:val="00591C33"/>
    <w:rsid w:val="00591E81"/>
    <w:rsid w:val="00592DF7"/>
    <w:rsid w:val="00592E1B"/>
    <w:rsid w:val="0059332C"/>
    <w:rsid w:val="005934BB"/>
    <w:rsid w:val="00594B1C"/>
    <w:rsid w:val="00594E1F"/>
    <w:rsid w:val="00595727"/>
    <w:rsid w:val="005960C4"/>
    <w:rsid w:val="0059629C"/>
    <w:rsid w:val="0059711D"/>
    <w:rsid w:val="00597881"/>
    <w:rsid w:val="005A021E"/>
    <w:rsid w:val="005A02A4"/>
    <w:rsid w:val="005A04A3"/>
    <w:rsid w:val="005A15E9"/>
    <w:rsid w:val="005A1754"/>
    <w:rsid w:val="005A1D20"/>
    <w:rsid w:val="005A2004"/>
    <w:rsid w:val="005A229A"/>
    <w:rsid w:val="005A3378"/>
    <w:rsid w:val="005A36C7"/>
    <w:rsid w:val="005A38E6"/>
    <w:rsid w:val="005A4714"/>
    <w:rsid w:val="005A49DF"/>
    <w:rsid w:val="005A5646"/>
    <w:rsid w:val="005A5E9D"/>
    <w:rsid w:val="005A670D"/>
    <w:rsid w:val="005A7550"/>
    <w:rsid w:val="005B04D9"/>
    <w:rsid w:val="005B059A"/>
    <w:rsid w:val="005B150A"/>
    <w:rsid w:val="005B1696"/>
    <w:rsid w:val="005B1835"/>
    <w:rsid w:val="005B19EE"/>
    <w:rsid w:val="005B1C20"/>
    <w:rsid w:val="005B2AC9"/>
    <w:rsid w:val="005B4ADF"/>
    <w:rsid w:val="005B5B57"/>
    <w:rsid w:val="005B5CC5"/>
    <w:rsid w:val="005B612C"/>
    <w:rsid w:val="005B72F4"/>
    <w:rsid w:val="005B72FC"/>
    <w:rsid w:val="005B7D70"/>
    <w:rsid w:val="005C0699"/>
    <w:rsid w:val="005C0971"/>
    <w:rsid w:val="005C09CB"/>
    <w:rsid w:val="005C1BFA"/>
    <w:rsid w:val="005C1D2D"/>
    <w:rsid w:val="005C20A0"/>
    <w:rsid w:val="005C23BD"/>
    <w:rsid w:val="005C2594"/>
    <w:rsid w:val="005C2EDB"/>
    <w:rsid w:val="005C30BA"/>
    <w:rsid w:val="005C3CC7"/>
    <w:rsid w:val="005C42F0"/>
    <w:rsid w:val="005C484C"/>
    <w:rsid w:val="005C4ED3"/>
    <w:rsid w:val="005C6C1E"/>
    <w:rsid w:val="005C7B4A"/>
    <w:rsid w:val="005C7FE4"/>
    <w:rsid w:val="005D0764"/>
    <w:rsid w:val="005D11BE"/>
    <w:rsid w:val="005D1222"/>
    <w:rsid w:val="005D1246"/>
    <w:rsid w:val="005D186F"/>
    <w:rsid w:val="005D19E6"/>
    <w:rsid w:val="005D2418"/>
    <w:rsid w:val="005D3AD3"/>
    <w:rsid w:val="005D4023"/>
    <w:rsid w:val="005D4034"/>
    <w:rsid w:val="005D4C28"/>
    <w:rsid w:val="005D5D1D"/>
    <w:rsid w:val="005D69C6"/>
    <w:rsid w:val="005E00F1"/>
    <w:rsid w:val="005E0732"/>
    <w:rsid w:val="005E181C"/>
    <w:rsid w:val="005E1F31"/>
    <w:rsid w:val="005E26CC"/>
    <w:rsid w:val="005E36F3"/>
    <w:rsid w:val="005E3700"/>
    <w:rsid w:val="005E37A8"/>
    <w:rsid w:val="005E4D00"/>
    <w:rsid w:val="005E4DC2"/>
    <w:rsid w:val="005E5C46"/>
    <w:rsid w:val="005E5E12"/>
    <w:rsid w:val="005E5FB7"/>
    <w:rsid w:val="005E75D6"/>
    <w:rsid w:val="005E75D9"/>
    <w:rsid w:val="005E78BC"/>
    <w:rsid w:val="005E794F"/>
    <w:rsid w:val="005E7CD5"/>
    <w:rsid w:val="005E7FAC"/>
    <w:rsid w:val="005F1CF2"/>
    <w:rsid w:val="005F1F5A"/>
    <w:rsid w:val="005F226D"/>
    <w:rsid w:val="005F2E39"/>
    <w:rsid w:val="005F3D72"/>
    <w:rsid w:val="005F471A"/>
    <w:rsid w:val="005F48E9"/>
    <w:rsid w:val="005F5666"/>
    <w:rsid w:val="005F57FF"/>
    <w:rsid w:val="005F69D2"/>
    <w:rsid w:val="005F69E4"/>
    <w:rsid w:val="005F7083"/>
    <w:rsid w:val="005F7B45"/>
    <w:rsid w:val="00601F72"/>
    <w:rsid w:val="00602898"/>
    <w:rsid w:val="00603548"/>
    <w:rsid w:val="006054A7"/>
    <w:rsid w:val="0060558A"/>
    <w:rsid w:val="0060722F"/>
    <w:rsid w:val="0060785D"/>
    <w:rsid w:val="00607954"/>
    <w:rsid w:val="00610BF1"/>
    <w:rsid w:val="00610DAB"/>
    <w:rsid w:val="006110D2"/>
    <w:rsid w:val="0061161F"/>
    <w:rsid w:val="0061167C"/>
    <w:rsid w:val="00611D8C"/>
    <w:rsid w:val="006126D0"/>
    <w:rsid w:val="006129A5"/>
    <w:rsid w:val="00612D70"/>
    <w:rsid w:val="00612D8F"/>
    <w:rsid w:val="006132DF"/>
    <w:rsid w:val="0061338A"/>
    <w:rsid w:val="00613CBB"/>
    <w:rsid w:val="00613D08"/>
    <w:rsid w:val="006146DF"/>
    <w:rsid w:val="0061471E"/>
    <w:rsid w:val="00615662"/>
    <w:rsid w:val="00615C1D"/>
    <w:rsid w:val="0061673A"/>
    <w:rsid w:val="00617236"/>
    <w:rsid w:val="00617411"/>
    <w:rsid w:val="00617AD8"/>
    <w:rsid w:val="00620033"/>
    <w:rsid w:val="0062154F"/>
    <w:rsid w:val="0062275D"/>
    <w:rsid w:val="00624853"/>
    <w:rsid w:val="00624C58"/>
    <w:rsid w:val="00626268"/>
    <w:rsid w:val="006268DB"/>
    <w:rsid w:val="00626B4F"/>
    <w:rsid w:val="006276CC"/>
    <w:rsid w:val="006301B6"/>
    <w:rsid w:val="00630256"/>
    <w:rsid w:val="006323DB"/>
    <w:rsid w:val="0063440B"/>
    <w:rsid w:val="00635615"/>
    <w:rsid w:val="00635ACF"/>
    <w:rsid w:val="00635E8B"/>
    <w:rsid w:val="00636547"/>
    <w:rsid w:val="00640663"/>
    <w:rsid w:val="006416B1"/>
    <w:rsid w:val="0064210E"/>
    <w:rsid w:val="006432EF"/>
    <w:rsid w:val="00643662"/>
    <w:rsid w:val="00643C4B"/>
    <w:rsid w:val="006440E4"/>
    <w:rsid w:val="00644C01"/>
    <w:rsid w:val="00645360"/>
    <w:rsid w:val="00645A68"/>
    <w:rsid w:val="00646D7B"/>
    <w:rsid w:val="00646E26"/>
    <w:rsid w:val="00646F92"/>
    <w:rsid w:val="00647036"/>
    <w:rsid w:val="006470EC"/>
    <w:rsid w:val="00647908"/>
    <w:rsid w:val="006505AD"/>
    <w:rsid w:val="00651083"/>
    <w:rsid w:val="00651302"/>
    <w:rsid w:val="006530B0"/>
    <w:rsid w:val="00654036"/>
    <w:rsid w:val="00654439"/>
    <w:rsid w:val="006544BC"/>
    <w:rsid w:val="00654610"/>
    <w:rsid w:val="00656393"/>
    <w:rsid w:val="00656613"/>
    <w:rsid w:val="006567FA"/>
    <w:rsid w:val="00656803"/>
    <w:rsid w:val="00657182"/>
    <w:rsid w:val="00660F26"/>
    <w:rsid w:val="006622BE"/>
    <w:rsid w:val="00662D79"/>
    <w:rsid w:val="0066445B"/>
    <w:rsid w:val="00664C5F"/>
    <w:rsid w:val="00664D75"/>
    <w:rsid w:val="00665793"/>
    <w:rsid w:val="00665FC5"/>
    <w:rsid w:val="00666A5E"/>
    <w:rsid w:val="00667E91"/>
    <w:rsid w:val="00670195"/>
    <w:rsid w:val="00670A05"/>
    <w:rsid w:val="00670D60"/>
    <w:rsid w:val="006712D6"/>
    <w:rsid w:val="00671E17"/>
    <w:rsid w:val="00671F7E"/>
    <w:rsid w:val="0067286D"/>
    <w:rsid w:val="0067309B"/>
    <w:rsid w:val="00676423"/>
    <w:rsid w:val="00676604"/>
    <w:rsid w:val="00676F69"/>
    <w:rsid w:val="0068075B"/>
    <w:rsid w:val="006816EA"/>
    <w:rsid w:val="00682BBD"/>
    <w:rsid w:val="00683C71"/>
    <w:rsid w:val="00684E0F"/>
    <w:rsid w:val="00684E39"/>
    <w:rsid w:val="00685918"/>
    <w:rsid w:val="0068601B"/>
    <w:rsid w:val="00686AA5"/>
    <w:rsid w:val="006908DF"/>
    <w:rsid w:val="00692143"/>
    <w:rsid w:val="00693318"/>
    <w:rsid w:val="006934C3"/>
    <w:rsid w:val="00694003"/>
    <w:rsid w:val="00694264"/>
    <w:rsid w:val="00694C50"/>
    <w:rsid w:val="00694E49"/>
    <w:rsid w:val="00695BED"/>
    <w:rsid w:val="00696961"/>
    <w:rsid w:val="00696A50"/>
    <w:rsid w:val="00696B00"/>
    <w:rsid w:val="006A089A"/>
    <w:rsid w:val="006A12C7"/>
    <w:rsid w:val="006A1491"/>
    <w:rsid w:val="006A2A76"/>
    <w:rsid w:val="006A3ABC"/>
    <w:rsid w:val="006A3D2E"/>
    <w:rsid w:val="006A5C09"/>
    <w:rsid w:val="006A6E10"/>
    <w:rsid w:val="006B0254"/>
    <w:rsid w:val="006B0D0E"/>
    <w:rsid w:val="006B0F80"/>
    <w:rsid w:val="006B167D"/>
    <w:rsid w:val="006B1E30"/>
    <w:rsid w:val="006B1F62"/>
    <w:rsid w:val="006B2343"/>
    <w:rsid w:val="006B2847"/>
    <w:rsid w:val="006B3737"/>
    <w:rsid w:val="006B3A15"/>
    <w:rsid w:val="006B3CDC"/>
    <w:rsid w:val="006B4065"/>
    <w:rsid w:val="006B468C"/>
    <w:rsid w:val="006B5A25"/>
    <w:rsid w:val="006B64E8"/>
    <w:rsid w:val="006B6AFA"/>
    <w:rsid w:val="006B756A"/>
    <w:rsid w:val="006C13FD"/>
    <w:rsid w:val="006C27C3"/>
    <w:rsid w:val="006C2C49"/>
    <w:rsid w:val="006C3A33"/>
    <w:rsid w:val="006C4678"/>
    <w:rsid w:val="006C4CCA"/>
    <w:rsid w:val="006C4CF9"/>
    <w:rsid w:val="006C4D89"/>
    <w:rsid w:val="006C53ED"/>
    <w:rsid w:val="006C5E94"/>
    <w:rsid w:val="006C6B99"/>
    <w:rsid w:val="006C6EDB"/>
    <w:rsid w:val="006C79BB"/>
    <w:rsid w:val="006D08E6"/>
    <w:rsid w:val="006D1B2F"/>
    <w:rsid w:val="006D29A7"/>
    <w:rsid w:val="006D381A"/>
    <w:rsid w:val="006D49B3"/>
    <w:rsid w:val="006D5009"/>
    <w:rsid w:val="006D604A"/>
    <w:rsid w:val="006D68E6"/>
    <w:rsid w:val="006D6F93"/>
    <w:rsid w:val="006D7724"/>
    <w:rsid w:val="006D77A4"/>
    <w:rsid w:val="006E05A8"/>
    <w:rsid w:val="006E0800"/>
    <w:rsid w:val="006E0B42"/>
    <w:rsid w:val="006E1B88"/>
    <w:rsid w:val="006E24ED"/>
    <w:rsid w:val="006E2818"/>
    <w:rsid w:val="006E2D23"/>
    <w:rsid w:val="006E2EEE"/>
    <w:rsid w:val="006E42EC"/>
    <w:rsid w:val="006E561B"/>
    <w:rsid w:val="006E6377"/>
    <w:rsid w:val="006E641F"/>
    <w:rsid w:val="006E7694"/>
    <w:rsid w:val="006E7FF6"/>
    <w:rsid w:val="006F1108"/>
    <w:rsid w:val="006F145A"/>
    <w:rsid w:val="006F1F74"/>
    <w:rsid w:val="006F2067"/>
    <w:rsid w:val="006F4968"/>
    <w:rsid w:val="006F4EB7"/>
    <w:rsid w:val="006F50D9"/>
    <w:rsid w:val="006F6426"/>
    <w:rsid w:val="006F689C"/>
    <w:rsid w:val="006F745F"/>
    <w:rsid w:val="006F757C"/>
    <w:rsid w:val="0070068E"/>
    <w:rsid w:val="00700E12"/>
    <w:rsid w:val="00701BBC"/>
    <w:rsid w:val="007028A9"/>
    <w:rsid w:val="00702BB6"/>
    <w:rsid w:val="0070382E"/>
    <w:rsid w:val="0070519B"/>
    <w:rsid w:val="00705357"/>
    <w:rsid w:val="00706C60"/>
    <w:rsid w:val="00707565"/>
    <w:rsid w:val="00707C54"/>
    <w:rsid w:val="007101E7"/>
    <w:rsid w:val="00710311"/>
    <w:rsid w:val="00710F12"/>
    <w:rsid w:val="007114A2"/>
    <w:rsid w:val="00712074"/>
    <w:rsid w:val="00712F06"/>
    <w:rsid w:val="00713647"/>
    <w:rsid w:val="00714386"/>
    <w:rsid w:val="007151C2"/>
    <w:rsid w:val="007152A4"/>
    <w:rsid w:val="00715A0D"/>
    <w:rsid w:val="00715B5B"/>
    <w:rsid w:val="00715F6A"/>
    <w:rsid w:val="00717725"/>
    <w:rsid w:val="0071788F"/>
    <w:rsid w:val="007178EC"/>
    <w:rsid w:val="00717E7A"/>
    <w:rsid w:val="007203A0"/>
    <w:rsid w:val="00720C1C"/>
    <w:rsid w:val="00722B13"/>
    <w:rsid w:val="00723F51"/>
    <w:rsid w:val="007246F3"/>
    <w:rsid w:val="007254DD"/>
    <w:rsid w:val="007256F7"/>
    <w:rsid w:val="007279B3"/>
    <w:rsid w:val="0073054D"/>
    <w:rsid w:val="0073066C"/>
    <w:rsid w:val="007329E2"/>
    <w:rsid w:val="00732C96"/>
    <w:rsid w:val="00736211"/>
    <w:rsid w:val="00736393"/>
    <w:rsid w:val="00736DA8"/>
    <w:rsid w:val="00736E53"/>
    <w:rsid w:val="0073792A"/>
    <w:rsid w:val="00737DEE"/>
    <w:rsid w:val="00737F11"/>
    <w:rsid w:val="00740AEB"/>
    <w:rsid w:val="00741240"/>
    <w:rsid w:val="0074125C"/>
    <w:rsid w:val="00741F3C"/>
    <w:rsid w:val="00743AC0"/>
    <w:rsid w:val="00744DC9"/>
    <w:rsid w:val="00745C80"/>
    <w:rsid w:val="0074632D"/>
    <w:rsid w:val="00747060"/>
    <w:rsid w:val="007473E0"/>
    <w:rsid w:val="00747674"/>
    <w:rsid w:val="00747B26"/>
    <w:rsid w:val="00750459"/>
    <w:rsid w:val="00751049"/>
    <w:rsid w:val="00751645"/>
    <w:rsid w:val="00751F59"/>
    <w:rsid w:val="00752E32"/>
    <w:rsid w:val="00753B54"/>
    <w:rsid w:val="00754A60"/>
    <w:rsid w:val="00755A84"/>
    <w:rsid w:val="00755EFE"/>
    <w:rsid w:val="00756BAE"/>
    <w:rsid w:val="00756BBB"/>
    <w:rsid w:val="00757166"/>
    <w:rsid w:val="007579D3"/>
    <w:rsid w:val="00757E26"/>
    <w:rsid w:val="00760012"/>
    <w:rsid w:val="007607C6"/>
    <w:rsid w:val="00760EC3"/>
    <w:rsid w:val="007610F4"/>
    <w:rsid w:val="007615AA"/>
    <w:rsid w:val="007615E3"/>
    <w:rsid w:val="00761876"/>
    <w:rsid w:val="00762BB3"/>
    <w:rsid w:val="00767028"/>
    <w:rsid w:val="00767A82"/>
    <w:rsid w:val="00767FE7"/>
    <w:rsid w:val="00770559"/>
    <w:rsid w:val="00770AC9"/>
    <w:rsid w:val="0077121A"/>
    <w:rsid w:val="00771736"/>
    <w:rsid w:val="00772DF6"/>
    <w:rsid w:val="0077382A"/>
    <w:rsid w:val="00774604"/>
    <w:rsid w:val="007753E3"/>
    <w:rsid w:val="00775B55"/>
    <w:rsid w:val="00776044"/>
    <w:rsid w:val="007766DC"/>
    <w:rsid w:val="00776E9C"/>
    <w:rsid w:val="007772E4"/>
    <w:rsid w:val="007779C9"/>
    <w:rsid w:val="00777D23"/>
    <w:rsid w:val="00780216"/>
    <w:rsid w:val="00780349"/>
    <w:rsid w:val="0078039D"/>
    <w:rsid w:val="007808E4"/>
    <w:rsid w:val="00782A88"/>
    <w:rsid w:val="00783248"/>
    <w:rsid w:val="00783481"/>
    <w:rsid w:val="00783EC3"/>
    <w:rsid w:val="007848AF"/>
    <w:rsid w:val="007848C1"/>
    <w:rsid w:val="007849E6"/>
    <w:rsid w:val="00784EA4"/>
    <w:rsid w:val="00784F9D"/>
    <w:rsid w:val="0078534D"/>
    <w:rsid w:val="00786734"/>
    <w:rsid w:val="007867AB"/>
    <w:rsid w:val="007867C0"/>
    <w:rsid w:val="00787A71"/>
    <w:rsid w:val="0079049E"/>
    <w:rsid w:val="00790516"/>
    <w:rsid w:val="0079092D"/>
    <w:rsid w:val="00791684"/>
    <w:rsid w:val="00792FBB"/>
    <w:rsid w:val="00794999"/>
    <w:rsid w:val="00795551"/>
    <w:rsid w:val="00795673"/>
    <w:rsid w:val="00795995"/>
    <w:rsid w:val="00796F89"/>
    <w:rsid w:val="007970A1"/>
    <w:rsid w:val="00797639"/>
    <w:rsid w:val="00797720"/>
    <w:rsid w:val="0079793D"/>
    <w:rsid w:val="00797EB2"/>
    <w:rsid w:val="007A1BD6"/>
    <w:rsid w:val="007A1D2E"/>
    <w:rsid w:val="007A2076"/>
    <w:rsid w:val="007A239B"/>
    <w:rsid w:val="007A46B8"/>
    <w:rsid w:val="007B00EF"/>
    <w:rsid w:val="007B033A"/>
    <w:rsid w:val="007B0F23"/>
    <w:rsid w:val="007B135E"/>
    <w:rsid w:val="007B1A28"/>
    <w:rsid w:val="007B1AE7"/>
    <w:rsid w:val="007B23B8"/>
    <w:rsid w:val="007B4CC0"/>
    <w:rsid w:val="007B576A"/>
    <w:rsid w:val="007B5E9F"/>
    <w:rsid w:val="007B6464"/>
    <w:rsid w:val="007B656D"/>
    <w:rsid w:val="007B6D1E"/>
    <w:rsid w:val="007B6EED"/>
    <w:rsid w:val="007B763B"/>
    <w:rsid w:val="007C01D8"/>
    <w:rsid w:val="007C0282"/>
    <w:rsid w:val="007C05FC"/>
    <w:rsid w:val="007C21FC"/>
    <w:rsid w:val="007C2638"/>
    <w:rsid w:val="007C27F7"/>
    <w:rsid w:val="007C2DD1"/>
    <w:rsid w:val="007C30B0"/>
    <w:rsid w:val="007C3184"/>
    <w:rsid w:val="007C35E4"/>
    <w:rsid w:val="007C5B91"/>
    <w:rsid w:val="007C6283"/>
    <w:rsid w:val="007D0C28"/>
    <w:rsid w:val="007D363A"/>
    <w:rsid w:val="007D4984"/>
    <w:rsid w:val="007D59A6"/>
    <w:rsid w:val="007D715A"/>
    <w:rsid w:val="007D71E7"/>
    <w:rsid w:val="007D71FE"/>
    <w:rsid w:val="007D7B2C"/>
    <w:rsid w:val="007D7F3A"/>
    <w:rsid w:val="007E00D3"/>
    <w:rsid w:val="007E015F"/>
    <w:rsid w:val="007E0763"/>
    <w:rsid w:val="007E381F"/>
    <w:rsid w:val="007E5234"/>
    <w:rsid w:val="007E568E"/>
    <w:rsid w:val="007E6455"/>
    <w:rsid w:val="007E6992"/>
    <w:rsid w:val="007E6B1A"/>
    <w:rsid w:val="007E6F62"/>
    <w:rsid w:val="007E735B"/>
    <w:rsid w:val="007E7CEF"/>
    <w:rsid w:val="007E7F16"/>
    <w:rsid w:val="007F00C5"/>
    <w:rsid w:val="007F013E"/>
    <w:rsid w:val="007F079B"/>
    <w:rsid w:val="007F1DF4"/>
    <w:rsid w:val="007F2A19"/>
    <w:rsid w:val="007F2D02"/>
    <w:rsid w:val="007F2FB3"/>
    <w:rsid w:val="007F4549"/>
    <w:rsid w:val="007F474E"/>
    <w:rsid w:val="007F4FCB"/>
    <w:rsid w:val="007F53DF"/>
    <w:rsid w:val="007F54D3"/>
    <w:rsid w:val="007F57C6"/>
    <w:rsid w:val="007F5BD1"/>
    <w:rsid w:val="007F6708"/>
    <w:rsid w:val="007F67AE"/>
    <w:rsid w:val="007F749D"/>
    <w:rsid w:val="007F7815"/>
    <w:rsid w:val="007F7A09"/>
    <w:rsid w:val="0080138B"/>
    <w:rsid w:val="0080207B"/>
    <w:rsid w:val="00802265"/>
    <w:rsid w:val="00802523"/>
    <w:rsid w:val="00803E02"/>
    <w:rsid w:val="008043C1"/>
    <w:rsid w:val="008045BB"/>
    <w:rsid w:val="00804E1C"/>
    <w:rsid w:val="00805843"/>
    <w:rsid w:val="0080599F"/>
    <w:rsid w:val="00805D01"/>
    <w:rsid w:val="00805F6E"/>
    <w:rsid w:val="00807290"/>
    <w:rsid w:val="00810892"/>
    <w:rsid w:val="00810B65"/>
    <w:rsid w:val="00810ECD"/>
    <w:rsid w:val="008112C1"/>
    <w:rsid w:val="008112C3"/>
    <w:rsid w:val="0081166F"/>
    <w:rsid w:val="00811D46"/>
    <w:rsid w:val="00811E36"/>
    <w:rsid w:val="00812A2F"/>
    <w:rsid w:val="00812A90"/>
    <w:rsid w:val="00814762"/>
    <w:rsid w:val="00821D5F"/>
    <w:rsid w:val="00822D7B"/>
    <w:rsid w:val="00822ED0"/>
    <w:rsid w:val="0082310A"/>
    <w:rsid w:val="00824B45"/>
    <w:rsid w:val="00826BA9"/>
    <w:rsid w:val="00826BB8"/>
    <w:rsid w:val="0082724F"/>
    <w:rsid w:val="008274BA"/>
    <w:rsid w:val="008314DD"/>
    <w:rsid w:val="00832270"/>
    <w:rsid w:val="008326AD"/>
    <w:rsid w:val="00832E25"/>
    <w:rsid w:val="00832FC6"/>
    <w:rsid w:val="008334C2"/>
    <w:rsid w:val="00835746"/>
    <w:rsid w:val="008365F6"/>
    <w:rsid w:val="00836EF5"/>
    <w:rsid w:val="00837B04"/>
    <w:rsid w:val="0084009C"/>
    <w:rsid w:val="00840775"/>
    <w:rsid w:val="00840A8D"/>
    <w:rsid w:val="0084226A"/>
    <w:rsid w:val="00842289"/>
    <w:rsid w:val="00842932"/>
    <w:rsid w:val="008436C4"/>
    <w:rsid w:val="00843AF3"/>
    <w:rsid w:val="00843AFD"/>
    <w:rsid w:val="008454F0"/>
    <w:rsid w:val="008463BB"/>
    <w:rsid w:val="00846DC0"/>
    <w:rsid w:val="008472EA"/>
    <w:rsid w:val="00847CA7"/>
    <w:rsid w:val="0085055A"/>
    <w:rsid w:val="00851784"/>
    <w:rsid w:val="00851B85"/>
    <w:rsid w:val="008527CB"/>
    <w:rsid w:val="00852848"/>
    <w:rsid w:val="008530F1"/>
    <w:rsid w:val="0085322B"/>
    <w:rsid w:val="008539BF"/>
    <w:rsid w:val="00853B05"/>
    <w:rsid w:val="00853EB9"/>
    <w:rsid w:val="00855366"/>
    <w:rsid w:val="008560F3"/>
    <w:rsid w:val="008561B5"/>
    <w:rsid w:val="00857133"/>
    <w:rsid w:val="0086014A"/>
    <w:rsid w:val="00860B89"/>
    <w:rsid w:val="00861387"/>
    <w:rsid w:val="00862339"/>
    <w:rsid w:val="00862C18"/>
    <w:rsid w:val="00863265"/>
    <w:rsid w:val="00864C31"/>
    <w:rsid w:val="00865088"/>
    <w:rsid w:val="00865B29"/>
    <w:rsid w:val="00865C4F"/>
    <w:rsid w:val="00866065"/>
    <w:rsid w:val="008670CB"/>
    <w:rsid w:val="00867921"/>
    <w:rsid w:val="008700AC"/>
    <w:rsid w:val="008705F3"/>
    <w:rsid w:val="00870894"/>
    <w:rsid w:val="0087265C"/>
    <w:rsid w:val="00873A7D"/>
    <w:rsid w:val="008744C5"/>
    <w:rsid w:val="00875229"/>
    <w:rsid w:val="00875454"/>
    <w:rsid w:val="00876342"/>
    <w:rsid w:val="008778C3"/>
    <w:rsid w:val="00877A5D"/>
    <w:rsid w:val="00877D77"/>
    <w:rsid w:val="0088044B"/>
    <w:rsid w:val="008815E1"/>
    <w:rsid w:val="00882DAB"/>
    <w:rsid w:val="0088307E"/>
    <w:rsid w:val="00884A34"/>
    <w:rsid w:val="008861B6"/>
    <w:rsid w:val="008863EB"/>
    <w:rsid w:val="00886DE3"/>
    <w:rsid w:val="00887DE8"/>
    <w:rsid w:val="008900FD"/>
    <w:rsid w:val="0089043E"/>
    <w:rsid w:val="008909E9"/>
    <w:rsid w:val="008911F6"/>
    <w:rsid w:val="008922D3"/>
    <w:rsid w:val="00892698"/>
    <w:rsid w:val="00892B46"/>
    <w:rsid w:val="008940F7"/>
    <w:rsid w:val="00894461"/>
    <w:rsid w:val="0089667D"/>
    <w:rsid w:val="008974DE"/>
    <w:rsid w:val="0089753F"/>
    <w:rsid w:val="00897678"/>
    <w:rsid w:val="00897A91"/>
    <w:rsid w:val="008A010C"/>
    <w:rsid w:val="008A0771"/>
    <w:rsid w:val="008A09FB"/>
    <w:rsid w:val="008A18B2"/>
    <w:rsid w:val="008A1920"/>
    <w:rsid w:val="008A34DB"/>
    <w:rsid w:val="008A405F"/>
    <w:rsid w:val="008A499A"/>
    <w:rsid w:val="008A5CD2"/>
    <w:rsid w:val="008A6130"/>
    <w:rsid w:val="008A650B"/>
    <w:rsid w:val="008A6CA5"/>
    <w:rsid w:val="008B07C1"/>
    <w:rsid w:val="008B0BAD"/>
    <w:rsid w:val="008B5C65"/>
    <w:rsid w:val="008B5EA9"/>
    <w:rsid w:val="008B6764"/>
    <w:rsid w:val="008B7895"/>
    <w:rsid w:val="008C051B"/>
    <w:rsid w:val="008C119E"/>
    <w:rsid w:val="008C11EE"/>
    <w:rsid w:val="008C180E"/>
    <w:rsid w:val="008C1905"/>
    <w:rsid w:val="008C2492"/>
    <w:rsid w:val="008C2578"/>
    <w:rsid w:val="008C2AD3"/>
    <w:rsid w:val="008C3470"/>
    <w:rsid w:val="008C3663"/>
    <w:rsid w:val="008C3B2B"/>
    <w:rsid w:val="008C5560"/>
    <w:rsid w:val="008C61CA"/>
    <w:rsid w:val="008D0036"/>
    <w:rsid w:val="008D0294"/>
    <w:rsid w:val="008D123A"/>
    <w:rsid w:val="008D3DAD"/>
    <w:rsid w:val="008D433F"/>
    <w:rsid w:val="008D45E3"/>
    <w:rsid w:val="008D46B6"/>
    <w:rsid w:val="008D48C6"/>
    <w:rsid w:val="008D4AED"/>
    <w:rsid w:val="008D5401"/>
    <w:rsid w:val="008D7225"/>
    <w:rsid w:val="008D7688"/>
    <w:rsid w:val="008D7A5C"/>
    <w:rsid w:val="008D7E4C"/>
    <w:rsid w:val="008E04C9"/>
    <w:rsid w:val="008E10A8"/>
    <w:rsid w:val="008E1654"/>
    <w:rsid w:val="008E1832"/>
    <w:rsid w:val="008E215B"/>
    <w:rsid w:val="008E223E"/>
    <w:rsid w:val="008E2958"/>
    <w:rsid w:val="008E3209"/>
    <w:rsid w:val="008E4D86"/>
    <w:rsid w:val="008E567E"/>
    <w:rsid w:val="008E5BBE"/>
    <w:rsid w:val="008F09BF"/>
    <w:rsid w:val="008F0A47"/>
    <w:rsid w:val="008F1385"/>
    <w:rsid w:val="008F1476"/>
    <w:rsid w:val="008F34ED"/>
    <w:rsid w:val="008F3779"/>
    <w:rsid w:val="008F3A1B"/>
    <w:rsid w:val="008F3D9D"/>
    <w:rsid w:val="008F42C9"/>
    <w:rsid w:val="008F4C7E"/>
    <w:rsid w:val="008F4F41"/>
    <w:rsid w:val="008F5021"/>
    <w:rsid w:val="008F5A93"/>
    <w:rsid w:val="008F61B1"/>
    <w:rsid w:val="008F74E2"/>
    <w:rsid w:val="008F79EF"/>
    <w:rsid w:val="009006BE"/>
    <w:rsid w:val="00900E99"/>
    <w:rsid w:val="00901E5B"/>
    <w:rsid w:val="00902D86"/>
    <w:rsid w:val="00903700"/>
    <w:rsid w:val="00903AB8"/>
    <w:rsid w:val="00903F08"/>
    <w:rsid w:val="00904953"/>
    <w:rsid w:val="00904EC5"/>
    <w:rsid w:val="00905C13"/>
    <w:rsid w:val="00906617"/>
    <w:rsid w:val="00906BA9"/>
    <w:rsid w:val="00907078"/>
    <w:rsid w:val="00907818"/>
    <w:rsid w:val="00910BB8"/>
    <w:rsid w:val="00910BD5"/>
    <w:rsid w:val="0091149E"/>
    <w:rsid w:val="00912D67"/>
    <w:rsid w:val="009136CA"/>
    <w:rsid w:val="00913953"/>
    <w:rsid w:val="0091403C"/>
    <w:rsid w:val="00914566"/>
    <w:rsid w:val="00914CB9"/>
    <w:rsid w:val="00914E04"/>
    <w:rsid w:val="00915E73"/>
    <w:rsid w:val="00916175"/>
    <w:rsid w:val="009161DB"/>
    <w:rsid w:val="0091651F"/>
    <w:rsid w:val="0091685B"/>
    <w:rsid w:val="00916B94"/>
    <w:rsid w:val="00916C21"/>
    <w:rsid w:val="00917A23"/>
    <w:rsid w:val="009206D4"/>
    <w:rsid w:val="00920ADD"/>
    <w:rsid w:val="00920C72"/>
    <w:rsid w:val="0092284D"/>
    <w:rsid w:val="0092390C"/>
    <w:rsid w:val="00924419"/>
    <w:rsid w:val="00924B5E"/>
    <w:rsid w:val="00924F90"/>
    <w:rsid w:val="009250D3"/>
    <w:rsid w:val="00925A1B"/>
    <w:rsid w:val="00925B33"/>
    <w:rsid w:val="00925EDA"/>
    <w:rsid w:val="0092692B"/>
    <w:rsid w:val="00926ACC"/>
    <w:rsid w:val="00926FAE"/>
    <w:rsid w:val="00927481"/>
    <w:rsid w:val="009276DF"/>
    <w:rsid w:val="00927BA1"/>
    <w:rsid w:val="00927CC5"/>
    <w:rsid w:val="00927D06"/>
    <w:rsid w:val="00930409"/>
    <w:rsid w:val="009304F4"/>
    <w:rsid w:val="009305C5"/>
    <w:rsid w:val="00930FA7"/>
    <w:rsid w:val="0093122C"/>
    <w:rsid w:val="00932796"/>
    <w:rsid w:val="00932BB0"/>
    <w:rsid w:val="00932DED"/>
    <w:rsid w:val="0093309F"/>
    <w:rsid w:val="00933357"/>
    <w:rsid w:val="0093356A"/>
    <w:rsid w:val="0093493F"/>
    <w:rsid w:val="00934E38"/>
    <w:rsid w:val="00935522"/>
    <w:rsid w:val="009361A2"/>
    <w:rsid w:val="0093646D"/>
    <w:rsid w:val="00936819"/>
    <w:rsid w:val="00936D8C"/>
    <w:rsid w:val="00936DAA"/>
    <w:rsid w:val="009374D6"/>
    <w:rsid w:val="009376CD"/>
    <w:rsid w:val="009379A7"/>
    <w:rsid w:val="00937C4F"/>
    <w:rsid w:val="00940134"/>
    <w:rsid w:val="009402CF"/>
    <w:rsid w:val="0094135B"/>
    <w:rsid w:val="00941A1E"/>
    <w:rsid w:val="00941E10"/>
    <w:rsid w:val="009421A3"/>
    <w:rsid w:val="009429C7"/>
    <w:rsid w:val="009433C0"/>
    <w:rsid w:val="00943BD3"/>
    <w:rsid w:val="00944130"/>
    <w:rsid w:val="00944218"/>
    <w:rsid w:val="009454E2"/>
    <w:rsid w:val="009470A0"/>
    <w:rsid w:val="0095009F"/>
    <w:rsid w:val="0095092C"/>
    <w:rsid w:val="00950E19"/>
    <w:rsid w:val="00951FF3"/>
    <w:rsid w:val="009534A2"/>
    <w:rsid w:val="0095373D"/>
    <w:rsid w:val="00954932"/>
    <w:rsid w:val="00956089"/>
    <w:rsid w:val="009560AD"/>
    <w:rsid w:val="00956979"/>
    <w:rsid w:val="009602C4"/>
    <w:rsid w:val="009627CE"/>
    <w:rsid w:val="009630DC"/>
    <w:rsid w:val="00963214"/>
    <w:rsid w:val="00963763"/>
    <w:rsid w:val="009667B7"/>
    <w:rsid w:val="00966811"/>
    <w:rsid w:val="00966B9D"/>
    <w:rsid w:val="00966F25"/>
    <w:rsid w:val="00967F65"/>
    <w:rsid w:val="00971AA6"/>
    <w:rsid w:val="009738B2"/>
    <w:rsid w:val="00973FCA"/>
    <w:rsid w:val="00974125"/>
    <w:rsid w:val="009746E2"/>
    <w:rsid w:val="00975233"/>
    <w:rsid w:val="00975EFB"/>
    <w:rsid w:val="00975F29"/>
    <w:rsid w:val="009760A8"/>
    <w:rsid w:val="00976EC0"/>
    <w:rsid w:val="00977334"/>
    <w:rsid w:val="0097736B"/>
    <w:rsid w:val="00977C5E"/>
    <w:rsid w:val="00980393"/>
    <w:rsid w:val="00980862"/>
    <w:rsid w:val="009820BB"/>
    <w:rsid w:val="009823AA"/>
    <w:rsid w:val="009824E3"/>
    <w:rsid w:val="00982519"/>
    <w:rsid w:val="00982D45"/>
    <w:rsid w:val="00982F1B"/>
    <w:rsid w:val="009836A7"/>
    <w:rsid w:val="00984660"/>
    <w:rsid w:val="00985BEF"/>
    <w:rsid w:val="00985ED3"/>
    <w:rsid w:val="0098645D"/>
    <w:rsid w:val="00987A7F"/>
    <w:rsid w:val="0099035D"/>
    <w:rsid w:val="009904C8"/>
    <w:rsid w:val="009904D7"/>
    <w:rsid w:val="00990CF3"/>
    <w:rsid w:val="00991910"/>
    <w:rsid w:val="00992C4C"/>
    <w:rsid w:val="00992D4E"/>
    <w:rsid w:val="0099324B"/>
    <w:rsid w:val="00993B6E"/>
    <w:rsid w:val="00996D67"/>
    <w:rsid w:val="00997DEE"/>
    <w:rsid w:val="009A00E5"/>
    <w:rsid w:val="009A014B"/>
    <w:rsid w:val="009A072D"/>
    <w:rsid w:val="009A0990"/>
    <w:rsid w:val="009A0D24"/>
    <w:rsid w:val="009A4524"/>
    <w:rsid w:val="009A4E40"/>
    <w:rsid w:val="009A51AE"/>
    <w:rsid w:val="009A6162"/>
    <w:rsid w:val="009A74F2"/>
    <w:rsid w:val="009A7AC5"/>
    <w:rsid w:val="009A7B87"/>
    <w:rsid w:val="009B0047"/>
    <w:rsid w:val="009B0082"/>
    <w:rsid w:val="009B069A"/>
    <w:rsid w:val="009B0D44"/>
    <w:rsid w:val="009B1696"/>
    <w:rsid w:val="009B1ACF"/>
    <w:rsid w:val="009B1EB3"/>
    <w:rsid w:val="009B3C90"/>
    <w:rsid w:val="009B4329"/>
    <w:rsid w:val="009B449D"/>
    <w:rsid w:val="009B4B4D"/>
    <w:rsid w:val="009B58E1"/>
    <w:rsid w:val="009B5C09"/>
    <w:rsid w:val="009B64F7"/>
    <w:rsid w:val="009B6938"/>
    <w:rsid w:val="009B7B48"/>
    <w:rsid w:val="009C047C"/>
    <w:rsid w:val="009C14A7"/>
    <w:rsid w:val="009C167A"/>
    <w:rsid w:val="009C22BA"/>
    <w:rsid w:val="009C370B"/>
    <w:rsid w:val="009C3F2F"/>
    <w:rsid w:val="009C4CFB"/>
    <w:rsid w:val="009C70EE"/>
    <w:rsid w:val="009C7586"/>
    <w:rsid w:val="009C7D9F"/>
    <w:rsid w:val="009D0014"/>
    <w:rsid w:val="009D11E3"/>
    <w:rsid w:val="009D20BA"/>
    <w:rsid w:val="009D2A43"/>
    <w:rsid w:val="009D2FCD"/>
    <w:rsid w:val="009D33F3"/>
    <w:rsid w:val="009D344A"/>
    <w:rsid w:val="009D3692"/>
    <w:rsid w:val="009D51CA"/>
    <w:rsid w:val="009D578E"/>
    <w:rsid w:val="009D646B"/>
    <w:rsid w:val="009D6B86"/>
    <w:rsid w:val="009D7918"/>
    <w:rsid w:val="009D794C"/>
    <w:rsid w:val="009D7E9B"/>
    <w:rsid w:val="009E04E9"/>
    <w:rsid w:val="009E04F3"/>
    <w:rsid w:val="009E06DB"/>
    <w:rsid w:val="009E0C1C"/>
    <w:rsid w:val="009E1A3E"/>
    <w:rsid w:val="009E283B"/>
    <w:rsid w:val="009E2D1D"/>
    <w:rsid w:val="009E316D"/>
    <w:rsid w:val="009E3765"/>
    <w:rsid w:val="009E3860"/>
    <w:rsid w:val="009E3CD9"/>
    <w:rsid w:val="009E45B8"/>
    <w:rsid w:val="009E59E2"/>
    <w:rsid w:val="009E7919"/>
    <w:rsid w:val="009F02A2"/>
    <w:rsid w:val="009F0323"/>
    <w:rsid w:val="009F09B7"/>
    <w:rsid w:val="009F1030"/>
    <w:rsid w:val="009F1C65"/>
    <w:rsid w:val="009F1E2B"/>
    <w:rsid w:val="009F2B71"/>
    <w:rsid w:val="009F30EA"/>
    <w:rsid w:val="009F3218"/>
    <w:rsid w:val="009F416E"/>
    <w:rsid w:val="009F4A2D"/>
    <w:rsid w:val="009F4C40"/>
    <w:rsid w:val="009F5482"/>
    <w:rsid w:val="009F55DE"/>
    <w:rsid w:val="009F5A19"/>
    <w:rsid w:val="009F5D4A"/>
    <w:rsid w:val="009F604C"/>
    <w:rsid w:val="009F628E"/>
    <w:rsid w:val="009F6C99"/>
    <w:rsid w:val="009F7B46"/>
    <w:rsid w:val="009F7D28"/>
    <w:rsid w:val="009F7DC9"/>
    <w:rsid w:val="009F7F9A"/>
    <w:rsid w:val="009F7FCB"/>
    <w:rsid w:val="00A0109E"/>
    <w:rsid w:val="00A0120E"/>
    <w:rsid w:val="00A01A09"/>
    <w:rsid w:val="00A0201A"/>
    <w:rsid w:val="00A0236C"/>
    <w:rsid w:val="00A035A5"/>
    <w:rsid w:val="00A04B6E"/>
    <w:rsid w:val="00A04E40"/>
    <w:rsid w:val="00A04E7B"/>
    <w:rsid w:val="00A05313"/>
    <w:rsid w:val="00A05845"/>
    <w:rsid w:val="00A05932"/>
    <w:rsid w:val="00A059C1"/>
    <w:rsid w:val="00A05CF9"/>
    <w:rsid w:val="00A12251"/>
    <w:rsid w:val="00A12913"/>
    <w:rsid w:val="00A12CA3"/>
    <w:rsid w:val="00A13E60"/>
    <w:rsid w:val="00A14BA0"/>
    <w:rsid w:val="00A14D4B"/>
    <w:rsid w:val="00A15AC7"/>
    <w:rsid w:val="00A16576"/>
    <w:rsid w:val="00A17D83"/>
    <w:rsid w:val="00A2004F"/>
    <w:rsid w:val="00A229B7"/>
    <w:rsid w:val="00A22FD4"/>
    <w:rsid w:val="00A246C4"/>
    <w:rsid w:val="00A25594"/>
    <w:rsid w:val="00A255E2"/>
    <w:rsid w:val="00A25E77"/>
    <w:rsid w:val="00A2711B"/>
    <w:rsid w:val="00A30737"/>
    <w:rsid w:val="00A30B20"/>
    <w:rsid w:val="00A30CD6"/>
    <w:rsid w:val="00A31174"/>
    <w:rsid w:val="00A318C7"/>
    <w:rsid w:val="00A31E6F"/>
    <w:rsid w:val="00A32896"/>
    <w:rsid w:val="00A3437C"/>
    <w:rsid w:val="00A355EF"/>
    <w:rsid w:val="00A357DF"/>
    <w:rsid w:val="00A35823"/>
    <w:rsid w:val="00A35989"/>
    <w:rsid w:val="00A35F51"/>
    <w:rsid w:val="00A36074"/>
    <w:rsid w:val="00A3740C"/>
    <w:rsid w:val="00A400B4"/>
    <w:rsid w:val="00A40240"/>
    <w:rsid w:val="00A406CA"/>
    <w:rsid w:val="00A413DB"/>
    <w:rsid w:val="00A416F0"/>
    <w:rsid w:val="00A4324A"/>
    <w:rsid w:val="00A439FB"/>
    <w:rsid w:val="00A44085"/>
    <w:rsid w:val="00A44095"/>
    <w:rsid w:val="00A448BA"/>
    <w:rsid w:val="00A4685F"/>
    <w:rsid w:val="00A46AEA"/>
    <w:rsid w:val="00A473DA"/>
    <w:rsid w:val="00A47491"/>
    <w:rsid w:val="00A47BCC"/>
    <w:rsid w:val="00A5049E"/>
    <w:rsid w:val="00A50607"/>
    <w:rsid w:val="00A506FB"/>
    <w:rsid w:val="00A50ED4"/>
    <w:rsid w:val="00A52207"/>
    <w:rsid w:val="00A5389E"/>
    <w:rsid w:val="00A546B0"/>
    <w:rsid w:val="00A5557D"/>
    <w:rsid w:val="00A557FB"/>
    <w:rsid w:val="00A55AB6"/>
    <w:rsid w:val="00A5603A"/>
    <w:rsid w:val="00A572EB"/>
    <w:rsid w:val="00A60CA0"/>
    <w:rsid w:val="00A61808"/>
    <w:rsid w:val="00A62471"/>
    <w:rsid w:val="00A62886"/>
    <w:rsid w:val="00A6379E"/>
    <w:rsid w:val="00A6498B"/>
    <w:rsid w:val="00A664B4"/>
    <w:rsid w:val="00A66F26"/>
    <w:rsid w:val="00A7038C"/>
    <w:rsid w:val="00A706A8"/>
    <w:rsid w:val="00A70D3B"/>
    <w:rsid w:val="00A71134"/>
    <w:rsid w:val="00A71206"/>
    <w:rsid w:val="00A71623"/>
    <w:rsid w:val="00A71806"/>
    <w:rsid w:val="00A71A06"/>
    <w:rsid w:val="00A71A81"/>
    <w:rsid w:val="00A71B4A"/>
    <w:rsid w:val="00A71FF9"/>
    <w:rsid w:val="00A7228F"/>
    <w:rsid w:val="00A735FE"/>
    <w:rsid w:val="00A7398B"/>
    <w:rsid w:val="00A7453E"/>
    <w:rsid w:val="00A74B88"/>
    <w:rsid w:val="00A75841"/>
    <w:rsid w:val="00A764BA"/>
    <w:rsid w:val="00A76887"/>
    <w:rsid w:val="00A76F94"/>
    <w:rsid w:val="00A776EB"/>
    <w:rsid w:val="00A77F5D"/>
    <w:rsid w:val="00A80296"/>
    <w:rsid w:val="00A815E0"/>
    <w:rsid w:val="00A81C44"/>
    <w:rsid w:val="00A82234"/>
    <w:rsid w:val="00A8299A"/>
    <w:rsid w:val="00A83393"/>
    <w:rsid w:val="00A83584"/>
    <w:rsid w:val="00A83F48"/>
    <w:rsid w:val="00A84734"/>
    <w:rsid w:val="00A86209"/>
    <w:rsid w:val="00A8668D"/>
    <w:rsid w:val="00A8754E"/>
    <w:rsid w:val="00A9087E"/>
    <w:rsid w:val="00A90C8A"/>
    <w:rsid w:val="00A90DD3"/>
    <w:rsid w:val="00A90DDC"/>
    <w:rsid w:val="00A91141"/>
    <w:rsid w:val="00A9245E"/>
    <w:rsid w:val="00A92962"/>
    <w:rsid w:val="00A93901"/>
    <w:rsid w:val="00A95129"/>
    <w:rsid w:val="00A952FF"/>
    <w:rsid w:val="00A95AC8"/>
    <w:rsid w:val="00A97EA6"/>
    <w:rsid w:val="00AA0375"/>
    <w:rsid w:val="00AA1213"/>
    <w:rsid w:val="00AA1867"/>
    <w:rsid w:val="00AA1B96"/>
    <w:rsid w:val="00AA2994"/>
    <w:rsid w:val="00AA2BFF"/>
    <w:rsid w:val="00AA2DD3"/>
    <w:rsid w:val="00AA37D5"/>
    <w:rsid w:val="00AA4C10"/>
    <w:rsid w:val="00AA53E1"/>
    <w:rsid w:val="00AA59BE"/>
    <w:rsid w:val="00AB0259"/>
    <w:rsid w:val="00AB11EB"/>
    <w:rsid w:val="00AB1646"/>
    <w:rsid w:val="00AB177E"/>
    <w:rsid w:val="00AB1D77"/>
    <w:rsid w:val="00AB219F"/>
    <w:rsid w:val="00AB2245"/>
    <w:rsid w:val="00AB2D1B"/>
    <w:rsid w:val="00AB3499"/>
    <w:rsid w:val="00AB415C"/>
    <w:rsid w:val="00AB454A"/>
    <w:rsid w:val="00AB46C4"/>
    <w:rsid w:val="00AB4977"/>
    <w:rsid w:val="00AB4A2B"/>
    <w:rsid w:val="00AB547E"/>
    <w:rsid w:val="00AB56D8"/>
    <w:rsid w:val="00AB7D85"/>
    <w:rsid w:val="00AC1D76"/>
    <w:rsid w:val="00AC39B0"/>
    <w:rsid w:val="00AC3A64"/>
    <w:rsid w:val="00AC498F"/>
    <w:rsid w:val="00AC5FCB"/>
    <w:rsid w:val="00AC6930"/>
    <w:rsid w:val="00AC7098"/>
    <w:rsid w:val="00AD0896"/>
    <w:rsid w:val="00AD0EF5"/>
    <w:rsid w:val="00AD2074"/>
    <w:rsid w:val="00AD24B5"/>
    <w:rsid w:val="00AD31F2"/>
    <w:rsid w:val="00AD39D2"/>
    <w:rsid w:val="00AD4A6E"/>
    <w:rsid w:val="00AD57E5"/>
    <w:rsid w:val="00AD6169"/>
    <w:rsid w:val="00AD6183"/>
    <w:rsid w:val="00AD65DF"/>
    <w:rsid w:val="00AD7112"/>
    <w:rsid w:val="00AD742E"/>
    <w:rsid w:val="00AE016A"/>
    <w:rsid w:val="00AE0706"/>
    <w:rsid w:val="00AE2DD9"/>
    <w:rsid w:val="00AE4117"/>
    <w:rsid w:val="00AE5228"/>
    <w:rsid w:val="00AE6176"/>
    <w:rsid w:val="00AE62D8"/>
    <w:rsid w:val="00AE6905"/>
    <w:rsid w:val="00AE6F82"/>
    <w:rsid w:val="00AE7572"/>
    <w:rsid w:val="00AE78D4"/>
    <w:rsid w:val="00AE7FA5"/>
    <w:rsid w:val="00AF03B8"/>
    <w:rsid w:val="00AF05EF"/>
    <w:rsid w:val="00AF0858"/>
    <w:rsid w:val="00AF1D9D"/>
    <w:rsid w:val="00AF367E"/>
    <w:rsid w:val="00AF39C0"/>
    <w:rsid w:val="00AF405F"/>
    <w:rsid w:val="00AF443D"/>
    <w:rsid w:val="00AF4C9B"/>
    <w:rsid w:val="00AF5606"/>
    <w:rsid w:val="00AF587F"/>
    <w:rsid w:val="00AF74BF"/>
    <w:rsid w:val="00AF758E"/>
    <w:rsid w:val="00AF7F87"/>
    <w:rsid w:val="00B0053F"/>
    <w:rsid w:val="00B00C96"/>
    <w:rsid w:val="00B019CB"/>
    <w:rsid w:val="00B01F98"/>
    <w:rsid w:val="00B02C2A"/>
    <w:rsid w:val="00B035C6"/>
    <w:rsid w:val="00B04D2C"/>
    <w:rsid w:val="00B060EE"/>
    <w:rsid w:val="00B0731C"/>
    <w:rsid w:val="00B07743"/>
    <w:rsid w:val="00B07FE4"/>
    <w:rsid w:val="00B102D1"/>
    <w:rsid w:val="00B10560"/>
    <w:rsid w:val="00B10A26"/>
    <w:rsid w:val="00B10D58"/>
    <w:rsid w:val="00B117A9"/>
    <w:rsid w:val="00B1243A"/>
    <w:rsid w:val="00B12BAC"/>
    <w:rsid w:val="00B1311B"/>
    <w:rsid w:val="00B132FD"/>
    <w:rsid w:val="00B1460B"/>
    <w:rsid w:val="00B1487F"/>
    <w:rsid w:val="00B149A3"/>
    <w:rsid w:val="00B14B16"/>
    <w:rsid w:val="00B1549E"/>
    <w:rsid w:val="00B1567B"/>
    <w:rsid w:val="00B168D7"/>
    <w:rsid w:val="00B16B54"/>
    <w:rsid w:val="00B16FD3"/>
    <w:rsid w:val="00B17C0C"/>
    <w:rsid w:val="00B20284"/>
    <w:rsid w:val="00B20351"/>
    <w:rsid w:val="00B20C80"/>
    <w:rsid w:val="00B2101F"/>
    <w:rsid w:val="00B2190D"/>
    <w:rsid w:val="00B224B3"/>
    <w:rsid w:val="00B23AF1"/>
    <w:rsid w:val="00B241DA"/>
    <w:rsid w:val="00B248B2"/>
    <w:rsid w:val="00B24CFF"/>
    <w:rsid w:val="00B26423"/>
    <w:rsid w:val="00B26744"/>
    <w:rsid w:val="00B26ED5"/>
    <w:rsid w:val="00B27335"/>
    <w:rsid w:val="00B2779E"/>
    <w:rsid w:val="00B30805"/>
    <w:rsid w:val="00B31ABF"/>
    <w:rsid w:val="00B321C1"/>
    <w:rsid w:val="00B34AEF"/>
    <w:rsid w:val="00B351C1"/>
    <w:rsid w:val="00B352CE"/>
    <w:rsid w:val="00B359CF"/>
    <w:rsid w:val="00B35FC7"/>
    <w:rsid w:val="00B363EC"/>
    <w:rsid w:val="00B368D9"/>
    <w:rsid w:val="00B36EF4"/>
    <w:rsid w:val="00B378B4"/>
    <w:rsid w:val="00B40D3F"/>
    <w:rsid w:val="00B42860"/>
    <w:rsid w:val="00B42B6E"/>
    <w:rsid w:val="00B43CCB"/>
    <w:rsid w:val="00B4509C"/>
    <w:rsid w:val="00B45117"/>
    <w:rsid w:val="00B45B39"/>
    <w:rsid w:val="00B4660B"/>
    <w:rsid w:val="00B46B9A"/>
    <w:rsid w:val="00B47605"/>
    <w:rsid w:val="00B501CF"/>
    <w:rsid w:val="00B50288"/>
    <w:rsid w:val="00B50A70"/>
    <w:rsid w:val="00B51861"/>
    <w:rsid w:val="00B52402"/>
    <w:rsid w:val="00B5459C"/>
    <w:rsid w:val="00B54BD6"/>
    <w:rsid w:val="00B54D23"/>
    <w:rsid w:val="00B54F94"/>
    <w:rsid w:val="00B553DA"/>
    <w:rsid w:val="00B55DEE"/>
    <w:rsid w:val="00B565AE"/>
    <w:rsid w:val="00B57017"/>
    <w:rsid w:val="00B57155"/>
    <w:rsid w:val="00B57775"/>
    <w:rsid w:val="00B57EE7"/>
    <w:rsid w:val="00B602AA"/>
    <w:rsid w:val="00B608EC"/>
    <w:rsid w:val="00B615A2"/>
    <w:rsid w:val="00B617C2"/>
    <w:rsid w:val="00B61DC3"/>
    <w:rsid w:val="00B62A3A"/>
    <w:rsid w:val="00B62EA7"/>
    <w:rsid w:val="00B64F63"/>
    <w:rsid w:val="00B6591E"/>
    <w:rsid w:val="00B65B88"/>
    <w:rsid w:val="00B65DC6"/>
    <w:rsid w:val="00B65FAD"/>
    <w:rsid w:val="00B67106"/>
    <w:rsid w:val="00B6738B"/>
    <w:rsid w:val="00B673CC"/>
    <w:rsid w:val="00B70495"/>
    <w:rsid w:val="00B7103B"/>
    <w:rsid w:val="00B7178E"/>
    <w:rsid w:val="00B72343"/>
    <w:rsid w:val="00B72CFD"/>
    <w:rsid w:val="00B737FE"/>
    <w:rsid w:val="00B73AB6"/>
    <w:rsid w:val="00B75BEB"/>
    <w:rsid w:val="00B75EBB"/>
    <w:rsid w:val="00B767AA"/>
    <w:rsid w:val="00B802F8"/>
    <w:rsid w:val="00B80A92"/>
    <w:rsid w:val="00B8240E"/>
    <w:rsid w:val="00B82734"/>
    <w:rsid w:val="00B82FF9"/>
    <w:rsid w:val="00B83CD5"/>
    <w:rsid w:val="00B83D23"/>
    <w:rsid w:val="00B8451B"/>
    <w:rsid w:val="00B84964"/>
    <w:rsid w:val="00B84AC4"/>
    <w:rsid w:val="00B8509A"/>
    <w:rsid w:val="00B85676"/>
    <w:rsid w:val="00B85896"/>
    <w:rsid w:val="00B8635D"/>
    <w:rsid w:val="00B90D14"/>
    <w:rsid w:val="00B9198C"/>
    <w:rsid w:val="00B92CB3"/>
    <w:rsid w:val="00B94249"/>
    <w:rsid w:val="00B94CE2"/>
    <w:rsid w:val="00B95399"/>
    <w:rsid w:val="00BA0B99"/>
    <w:rsid w:val="00BA32B4"/>
    <w:rsid w:val="00BA3F7E"/>
    <w:rsid w:val="00BA3FD6"/>
    <w:rsid w:val="00BA4484"/>
    <w:rsid w:val="00BA499C"/>
    <w:rsid w:val="00BA4B75"/>
    <w:rsid w:val="00BA4CD0"/>
    <w:rsid w:val="00BA53C3"/>
    <w:rsid w:val="00BA5868"/>
    <w:rsid w:val="00BA5EA6"/>
    <w:rsid w:val="00BA60DC"/>
    <w:rsid w:val="00BA655E"/>
    <w:rsid w:val="00BA65AC"/>
    <w:rsid w:val="00BA6D16"/>
    <w:rsid w:val="00BB2591"/>
    <w:rsid w:val="00BB272F"/>
    <w:rsid w:val="00BB2786"/>
    <w:rsid w:val="00BB29F6"/>
    <w:rsid w:val="00BB30F0"/>
    <w:rsid w:val="00BB37A8"/>
    <w:rsid w:val="00BB3854"/>
    <w:rsid w:val="00BB3A85"/>
    <w:rsid w:val="00BB4531"/>
    <w:rsid w:val="00BB45EB"/>
    <w:rsid w:val="00BB46C4"/>
    <w:rsid w:val="00BB54E0"/>
    <w:rsid w:val="00BB5D57"/>
    <w:rsid w:val="00BB69A7"/>
    <w:rsid w:val="00BB6B5E"/>
    <w:rsid w:val="00BB708D"/>
    <w:rsid w:val="00BB7DD5"/>
    <w:rsid w:val="00BC0AC9"/>
    <w:rsid w:val="00BC14A9"/>
    <w:rsid w:val="00BC16E5"/>
    <w:rsid w:val="00BC1C6B"/>
    <w:rsid w:val="00BC2B21"/>
    <w:rsid w:val="00BC4479"/>
    <w:rsid w:val="00BC58F4"/>
    <w:rsid w:val="00BC5AB7"/>
    <w:rsid w:val="00BC628E"/>
    <w:rsid w:val="00BC6D96"/>
    <w:rsid w:val="00BC76AF"/>
    <w:rsid w:val="00BC7BB9"/>
    <w:rsid w:val="00BC7C6D"/>
    <w:rsid w:val="00BD046B"/>
    <w:rsid w:val="00BD0E31"/>
    <w:rsid w:val="00BD0FD5"/>
    <w:rsid w:val="00BD16D3"/>
    <w:rsid w:val="00BD20AF"/>
    <w:rsid w:val="00BD2810"/>
    <w:rsid w:val="00BD2841"/>
    <w:rsid w:val="00BD2CDE"/>
    <w:rsid w:val="00BD39BE"/>
    <w:rsid w:val="00BD3F7A"/>
    <w:rsid w:val="00BD48E4"/>
    <w:rsid w:val="00BD5F0E"/>
    <w:rsid w:val="00BD6C2C"/>
    <w:rsid w:val="00BD778F"/>
    <w:rsid w:val="00BD7A0B"/>
    <w:rsid w:val="00BD7B7E"/>
    <w:rsid w:val="00BE2107"/>
    <w:rsid w:val="00BE279E"/>
    <w:rsid w:val="00BE27CA"/>
    <w:rsid w:val="00BE3005"/>
    <w:rsid w:val="00BE3786"/>
    <w:rsid w:val="00BE4CFA"/>
    <w:rsid w:val="00BE551F"/>
    <w:rsid w:val="00BE5AD5"/>
    <w:rsid w:val="00BE5F3B"/>
    <w:rsid w:val="00BE65C8"/>
    <w:rsid w:val="00BE67A7"/>
    <w:rsid w:val="00BE6E4E"/>
    <w:rsid w:val="00BE7DED"/>
    <w:rsid w:val="00BF0BFC"/>
    <w:rsid w:val="00BF0D05"/>
    <w:rsid w:val="00BF214C"/>
    <w:rsid w:val="00BF29D1"/>
    <w:rsid w:val="00BF3714"/>
    <w:rsid w:val="00BF382B"/>
    <w:rsid w:val="00BF3BA3"/>
    <w:rsid w:val="00BF45AD"/>
    <w:rsid w:val="00BF5118"/>
    <w:rsid w:val="00BF5228"/>
    <w:rsid w:val="00BF5253"/>
    <w:rsid w:val="00BF59DF"/>
    <w:rsid w:val="00BF62BB"/>
    <w:rsid w:val="00BF68E0"/>
    <w:rsid w:val="00BF6A6B"/>
    <w:rsid w:val="00BF6BD6"/>
    <w:rsid w:val="00BF78D5"/>
    <w:rsid w:val="00C0046A"/>
    <w:rsid w:val="00C004CC"/>
    <w:rsid w:val="00C00A9E"/>
    <w:rsid w:val="00C03768"/>
    <w:rsid w:val="00C03D6D"/>
    <w:rsid w:val="00C04CCC"/>
    <w:rsid w:val="00C04F7C"/>
    <w:rsid w:val="00C05A13"/>
    <w:rsid w:val="00C05C86"/>
    <w:rsid w:val="00C06276"/>
    <w:rsid w:val="00C06B9E"/>
    <w:rsid w:val="00C07D29"/>
    <w:rsid w:val="00C108BC"/>
    <w:rsid w:val="00C10BBE"/>
    <w:rsid w:val="00C113EE"/>
    <w:rsid w:val="00C116D9"/>
    <w:rsid w:val="00C12447"/>
    <w:rsid w:val="00C124EC"/>
    <w:rsid w:val="00C128FE"/>
    <w:rsid w:val="00C12EDE"/>
    <w:rsid w:val="00C147D1"/>
    <w:rsid w:val="00C157E9"/>
    <w:rsid w:val="00C15AD1"/>
    <w:rsid w:val="00C166EB"/>
    <w:rsid w:val="00C17209"/>
    <w:rsid w:val="00C17E72"/>
    <w:rsid w:val="00C2211B"/>
    <w:rsid w:val="00C22ACF"/>
    <w:rsid w:val="00C236B5"/>
    <w:rsid w:val="00C2564C"/>
    <w:rsid w:val="00C25891"/>
    <w:rsid w:val="00C2590B"/>
    <w:rsid w:val="00C25AE9"/>
    <w:rsid w:val="00C26602"/>
    <w:rsid w:val="00C27561"/>
    <w:rsid w:val="00C2769D"/>
    <w:rsid w:val="00C27814"/>
    <w:rsid w:val="00C31952"/>
    <w:rsid w:val="00C31FE6"/>
    <w:rsid w:val="00C32673"/>
    <w:rsid w:val="00C3268E"/>
    <w:rsid w:val="00C32D87"/>
    <w:rsid w:val="00C330AE"/>
    <w:rsid w:val="00C347D8"/>
    <w:rsid w:val="00C35268"/>
    <w:rsid w:val="00C355B1"/>
    <w:rsid w:val="00C3593E"/>
    <w:rsid w:val="00C35969"/>
    <w:rsid w:val="00C359EE"/>
    <w:rsid w:val="00C36899"/>
    <w:rsid w:val="00C36E6C"/>
    <w:rsid w:val="00C3710A"/>
    <w:rsid w:val="00C3745C"/>
    <w:rsid w:val="00C377C4"/>
    <w:rsid w:val="00C37A56"/>
    <w:rsid w:val="00C37CC4"/>
    <w:rsid w:val="00C401DA"/>
    <w:rsid w:val="00C411DB"/>
    <w:rsid w:val="00C43A43"/>
    <w:rsid w:val="00C43C38"/>
    <w:rsid w:val="00C44BE9"/>
    <w:rsid w:val="00C44DAD"/>
    <w:rsid w:val="00C44E18"/>
    <w:rsid w:val="00C453B6"/>
    <w:rsid w:val="00C46E8C"/>
    <w:rsid w:val="00C46F57"/>
    <w:rsid w:val="00C50364"/>
    <w:rsid w:val="00C504F3"/>
    <w:rsid w:val="00C51968"/>
    <w:rsid w:val="00C51EE1"/>
    <w:rsid w:val="00C52233"/>
    <w:rsid w:val="00C52460"/>
    <w:rsid w:val="00C52BA3"/>
    <w:rsid w:val="00C5336F"/>
    <w:rsid w:val="00C53D03"/>
    <w:rsid w:val="00C53FC4"/>
    <w:rsid w:val="00C5423A"/>
    <w:rsid w:val="00C546F6"/>
    <w:rsid w:val="00C546FD"/>
    <w:rsid w:val="00C5530D"/>
    <w:rsid w:val="00C56947"/>
    <w:rsid w:val="00C56B4B"/>
    <w:rsid w:val="00C56F6A"/>
    <w:rsid w:val="00C5725E"/>
    <w:rsid w:val="00C572BF"/>
    <w:rsid w:val="00C57831"/>
    <w:rsid w:val="00C60128"/>
    <w:rsid w:val="00C603E8"/>
    <w:rsid w:val="00C609BC"/>
    <w:rsid w:val="00C60E0F"/>
    <w:rsid w:val="00C6103E"/>
    <w:rsid w:val="00C628C6"/>
    <w:rsid w:val="00C62C59"/>
    <w:rsid w:val="00C63541"/>
    <w:rsid w:val="00C63A2F"/>
    <w:rsid w:val="00C63EB5"/>
    <w:rsid w:val="00C649B9"/>
    <w:rsid w:val="00C659C4"/>
    <w:rsid w:val="00C65F6A"/>
    <w:rsid w:val="00C66660"/>
    <w:rsid w:val="00C669D2"/>
    <w:rsid w:val="00C6715A"/>
    <w:rsid w:val="00C6765C"/>
    <w:rsid w:val="00C67C57"/>
    <w:rsid w:val="00C67F03"/>
    <w:rsid w:val="00C70116"/>
    <w:rsid w:val="00C702A9"/>
    <w:rsid w:val="00C70C37"/>
    <w:rsid w:val="00C71712"/>
    <w:rsid w:val="00C71F86"/>
    <w:rsid w:val="00C729AB"/>
    <w:rsid w:val="00C73B6C"/>
    <w:rsid w:val="00C74F21"/>
    <w:rsid w:val="00C7593F"/>
    <w:rsid w:val="00C75AAA"/>
    <w:rsid w:val="00C7685C"/>
    <w:rsid w:val="00C7753F"/>
    <w:rsid w:val="00C776E3"/>
    <w:rsid w:val="00C80BDE"/>
    <w:rsid w:val="00C80C05"/>
    <w:rsid w:val="00C815CB"/>
    <w:rsid w:val="00C826F3"/>
    <w:rsid w:val="00C832DE"/>
    <w:rsid w:val="00C836BF"/>
    <w:rsid w:val="00C83C63"/>
    <w:rsid w:val="00C84490"/>
    <w:rsid w:val="00C8466C"/>
    <w:rsid w:val="00C84E84"/>
    <w:rsid w:val="00C85179"/>
    <w:rsid w:val="00C86224"/>
    <w:rsid w:val="00C86E8A"/>
    <w:rsid w:val="00C878B0"/>
    <w:rsid w:val="00C878B9"/>
    <w:rsid w:val="00C90253"/>
    <w:rsid w:val="00C94785"/>
    <w:rsid w:val="00C94DB7"/>
    <w:rsid w:val="00C96C6A"/>
    <w:rsid w:val="00C97389"/>
    <w:rsid w:val="00C97EB3"/>
    <w:rsid w:val="00CA1CFF"/>
    <w:rsid w:val="00CA3F81"/>
    <w:rsid w:val="00CA45F1"/>
    <w:rsid w:val="00CA4ADF"/>
    <w:rsid w:val="00CA5C20"/>
    <w:rsid w:val="00CB0A28"/>
    <w:rsid w:val="00CB13E8"/>
    <w:rsid w:val="00CB2509"/>
    <w:rsid w:val="00CB2888"/>
    <w:rsid w:val="00CB307E"/>
    <w:rsid w:val="00CB332E"/>
    <w:rsid w:val="00CB37FC"/>
    <w:rsid w:val="00CB3A14"/>
    <w:rsid w:val="00CB4808"/>
    <w:rsid w:val="00CB4EC9"/>
    <w:rsid w:val="00CB58C7"/>
    <w:rsid w:val="00CB5EFA"/>
    <w:rsid w:val="00CB6C71"/>
    <w:rsid w:val="00CC0269"/>
    <w:rsid w:val="00CC084C"/>
    <w:rsid w:val="00CC13E6"/>
    <w:rsid w:val="00CC1475"/>
    <w:rsid w:val="00CC3253"/>
    <w:rsid w:val="00CC3AA3"/>
    <w:rsid w:val="00CC4422"/>
    <w:rsid w:val="00CC5634"/>
    <w:rsid w:val="00CC5F62"/>
    <w:rsid w:val="00CC6169"/>
    <w:rsid w:val="00CC7563"/>
    <w:rsid w:val="00CC767D"/>
    <w:rsid w:val="00CD0A0F"/>
    <w:rsid w:val="00CD0B22"/>
    <w:rsid w:val="00CD1F17"/>
    <w:rsid w:val="00CD28FC"/>
    <w:rsid w:val="00CD2CCD"/>
    <w:rsid w:val="00CD42AF"/>
    <w:rsid w:val="00CD5027"/>
    <w:rsid w:val="00CD5F15"/>
    <w:rsid w:val="00CD66D1"/>
    <w:rsid w:val="00CE01EF"/>
    <w:rsid w:val="00CE056C"/>
    <w:rsid w:val="00CE1542"/>
    <w:rsid w:val="00CE1A20"/>
    <w:rsid w:val="00CE252A"/>
    <w:rsid w:val="00CE384A"/>
    <w:rsid w:val="00CE49AD"/>
    <w:rsid w:val="00CE5163"/>
    <w:rsid w:val="00CE538B"/>
    <w:rsid w:val="00CE5824"/>
    <w:rsid w:val="00CE63D4"/>
    <w:rsid w:val="00CE6AD8"/>
    <w:rsid w:val="00CE6D9D"/>
    <w:rsid w:val="00CE6DAD"/>
    <w:rsid w:val="00CF10AE"/>
    <w:rsid w:val="00CF14E4"/>
    <w:rsid w:val="00CF1797"/>
    <w:rsid w:val="00CF1B21"/>
    <w:rsid w:val="00CF2166"/>
    <w:rsid w:val="00CF2674"/>
    <w:rsid w:val="00CF2906"/>
    <w:rsid w:val="00CF2C96"/>
    <w:rsid w:val="00CF57F4"/>
    <w:rsid w:val="00CF6AC6"/>
    <w:rsid w:val="00CF6FFD"/>
    <w:rsid w:val="00CF7284"/>
    <w:rsid w:val="00CF77DA"/>
    <w:rsid w:val="00CF7B65"/>
    <w:rsid w:val="00D00456"/>
    <w:rsid w:val="00D00880"/>
    <w:rsid w:val="00D00EE1"/>
    <w:rsid w:val="00D032AF"/>
    <w:rsid w:val="00D03CEC"/>
    <w:rsid w:val="00D04FA8"/>
    <w:rsid w:val="00D04FD6"/>
    <w:rsid w:val="00D057B9"/>
    <w:rsid w:val="00D0596C"/>
    <w:rsid w:val="00D05A95"/>
    <w:rsid w:val="00D05B49"/>
    <w:rsid w:val="00D05BBE"/>
    <w:rsid w:val="00D062B9"/>
    <w:rsid w:val="00D0671A"/>
    <w:rsid w:val="00D0671C"/>
    <w:rsid w:val="00D070AB"/>
    <w:rsid w:val="00D072AE"/>
    <w:rsid w:val="00D0744A"/>
    <w:rsid w:val="00D074CB"/>
    <w:rsid w:val="00D07532"/>
    <w:rsid w:val="00D076E8"/>
    <w:rsid w:val="00D100A1"/>
    <w:rsid w:val="00D12BAF"/>
    <w:rsid w:val="00D12DFC"/>
    <w:rsid w:val="00D1391D"/>
    <w:rsid w:val="00D14A4E"/>
    <w:rsid w:val="00D15783"/>
    <w:rsid w:val="00D15A6D"/>
    <w:rsid w:val="00D15F68"/>
    <w:rsid w:val="00D164B1"/>
    <w:rsid w:val="00D169D9"/>
    <w:rsid w:val="00D16D48"/>
    <w:rsid w:val="00D1736A"/>
    <w:rsid w:val="00D175CD"/>
    <w:rsid w:val="00D176FF"/>
    <w:rsid w:val="00D20E87"/>
    <w:rsid w:val="00D2217F"/>
    <w:rsid w:val="00D22267"/>
    <w:rsid w:val="00D222C7"/>
    <w:rsid w:val="00D22364"/>
    <w:rsid w:val="00D22898"/>
    <w:rsid w:val="00D22A04"/>
    <w:rsid w:val="00D22B25"/>
    <w:rsid w:val="00D230B6"/>
    <w:rsid w:val="00D23CB8"/>
    <w:rsid w:val="00D2428E"/>
    <w:rsid w:val="00D255E2"/>
    <w:rsid w:val="00D26AD5"/>
    <w:rsid w:val="00D26B94"/>
    <w:rsid w:val="00D27332"/>
    <w:rsid w:val="00D30C1B"/>
    <w:rsid w:val="00D30E18"/>
    <w:rsid w:val="00D3117F"/>
    <w:rsid w:val="00D322D0"/>
    <w:rsid w:val="00D34386"/>
    <w:rsid w:val="00D34CAE"/>
    <w:rsid w:val="00D34CBF"/>
    <w:rsid w:val="00D35A39"/>
    <w:rsid w:val="00D35ECB"/>
    <w:rsid w:val="00D3694B"/>
    <w:rsid w:val="00D36DA9"/>
    <w:rsid w:val="00D37595"/>
    <w:rsid w:val="00D403FC"/>
    <w:rsid w:val="00D405A6"/>
    <w:rsid w:val="00D40AD1"/>
    <w:rsid w:val="00D40F50"/>
    <w:rsid w:val="00D42E57"/>
    <w:rsid w:val="00D4338B"/>
    <w:rsid w:val="00D4387F"/>
    <w:rsid w:val="00D44386"/>
    <w:rsid w:val="00D4478D"/>
    <w:rsid w:val="00D4499F"/>
    <w:rsid w:val="00D449A4"/>
    <w:rsid w:val="00D44A31"/>
    <w:rsid w:val="00D44C83"/>
    <w:rsid w:val="00D450B6"/>
    <w:rsid w:val="00D4528C"/>
    <w:rsid w:val="00D51281"/>
    <w:rsid w:val="00D537D5"/>
    <w:rsid w:val="00D53C64"/>
    <w:rsid w:val="00D54F36"/>
    <w:rsid w:val="00D54FEB"/>
    <w:rsid w:val="00D55553"/>
    <w:rsid w:val="00D55AC6"/>
    <w:rsid w:val="00D55D7C"/>
    <w:rsid w:val="00D562B3"/>
    <w:rsid w:val="00D57F95"/>
    <w:rsid w:val="00D60AB8"/>
    <w:rsid w:val="00D61C1D"/>
    <w:rsid w:val="00D62A67"/>
    <w:rsid w:val="00D62AAD"/>
    <w:rsid w:val="00D630AE"/>
    <w:rsid w:val="00D63209"/>
    <w:rsid w:val="00D6389C"/>
    <w:rsid w:val="00D63B19"/>
    <w:rsid w:val="00D6463C"/>
    <w:rsid w:val="00D64B35"/>
    <w:rsid w:val="00D64CB3"/>
    <w:rsid w:val="00D65127"/>
    <w:rsid w:val="00D670EE"/>
    <w:rsid w:val="00D676ED"/>
    <w:rsid w:val="00D71FE9"/>
    <w:rsid w:val="00D725C0"/>
    <w:rsid w:val="00D735F6"/>
    <w:rsid w:val="00D73A62"/>
    <w:rsid w:val="00D75A65"/>
    <w:rsid w:val="00D75C27"/>
    <w:rsid w:val="00D77D54"/>
    <w:rsid w:val="00D80C31"/>
    <w:rsid w:val="00D82BBE"/>
    <w:rsid w:val="00D82BCD"/>
    <w:rsid w:val="00D83EC2"/>
    <w:rsid w:val="00D83F8C"/>
    <w:rsid w:val="00D8494A"/>
    <w:rsid w:val="00D849FE"/>
    <w:rsid w:val="00D84AAC"/>
    <w:rsid w:val="00D84E34"/>
    <w:rsid w:val="00D8714D"/>
    <w:rsid w:val="00D87689"/>
    <w:rsid w:val="00D913BC"/>
    <w:rsid w:val="00D923C7"/>
    <w:rsid w:val="00D92B92"/>
    <w:rsid w:val="00D9367D"/>
    <w:rsid w:val="00D94719"/>
    <w:rsid w:val="00D94F47"/>
    <w:rsid w:val="00D967B2"/>
    <w:rsid w:val="00D96D08"/>
    <w:rsid w:val="00DA100A"/>
    <w:rsid w:val="00DA14AE"/>
    <w:rsid w:val="00DA182E"/>
    <w:rsid w:val="00DA21F6"/>
    <w:rsid w:val="00DA2695"/>
    <w:rsid w:val="00DA2D4A"/>
    <w:rsid w:val="00DA2E5E"/>
    <w:rsid w:val="00DA310C"/>
    <w:rsid w:val="00DA3BA1"/>
    <w:rsid w:val="00DA43F0"/>
    <w:rsid w:val="00DA4CE4"/>
    <w:rsid w:val="00DA549C"/>
    <w:rsid w:val="00DA6562"/>
    <w:rsid w:val="00DA6BDA"/>
    <w:rsid w:val="00DA6C40"/>
    <w:rsid w:val="00DA7541"/>
    <w:rsid w:val="00DA7913"/>
    <w:rsid w:val="00DB0509"/>
    <w:rsid w:val="00DB1C60"/>
    <w:rsid w:val="00DB1F2B"/>
    <w:rsid w:val="00DB253C"/>
    <w:rsid w:val="00DB2CAE"/>
    <w:rsid w:val="00DB3BD3"/>
    <w:rsid w:val="00DB3FAC"/>
    <w:rsid w:val="00DB426A"/>
    <w:rsid w:val="00DB4913"/>
    <w:rsid w:val="00DB5819"/>
    <w:rsid w:val="00DB5C42"/>
    <w:rsid w:val="00DB5CDD"/>
    <w:rsid w:val="00DB663D"/>
    <w:rsid w:val="00DB695B"/>
    <w:rsid w:val="00DB7F40"/>
    <w:rsid w:val="00DC0DA4"/>
    <w:rsid w:val="00DC1820"/>
    <w:rsid w:val="00DC19AF"/>
    <w:rsid w:val="00DC1BCD"/>
    <w:rsid w:val="00DC21BD"/>
    <w:rsid w:val="00DC24E8"/>
    <w:rsid w:val="00DC39EE"/>
    <w:rsid w:val="00DC4884"/>
    <w:rsid w:val="00DC4AD7"/>
    <w:rsid w:val="00DC55D6"/>
    <w:rsid w:val="00DC6AEF"/>
    <w:rsid w:val="00DD0339"/>
    <w:rsid w:val="00DD0810"/>
    <w:rsid w:val="00DD092D"/>
    <w:rsid w:val="00DD0AC3"/>
    <w:rsid w:val="00DD0FDE"/>
    <w:rsid w:val="00DD159B"/>
    <w:rsid w:val="00DD2218"/>
    <w:rsid w:val="00DD22BF"/>
    <w:rsid w:val="00DD233E"/>
    <w:rsid w:val="00DD2B3F"/>
    <w:rsid w:val="00DD317E"/>
    <w:rsid w:val="00DD31D7"/>
    <w:rsid w:val="00DD36BF"/>
    <w:rsid w:val="00DD38DB"/>
    <w:rsid w:val="00DD3C0D"/>
    <w:rsid w:val="00DD3FD5"/>
    <w:rsid w:val="00DD458F"/>
    <w:rsid w:val="00DD481F"/>
    <w:rsid w:val="00DD5A96"/>
    <w:rsid w:val="00DD60E3"/>
    <w:rsid w:val="00DD61AF"/>
    <w:rsid w:val="00DD793E"/>
    <w:rsid w:val="00DD7C94"/>
    <w:rsid w:val="00DD7F67"/>
    <w:rsid w:val="00DE0D43"/>
    <w:rsid w:val="00DE13F1"/>
    <w:rsid w:val="00DE1724"/>
    <w:rsid w:val="00DE211D"/>
    <w:rsid w:val="00DE2868"/>
    <w:rsid w:val="00DE2AD0"/>
    <w:rsid w:val="00DE3286"/>
    <w:rsid w:val="00DE445A"/>
    <w:rsid w:val="00DE4C18"/>
    <w:rsid w:val="00DE528E"/>
    <w:rsid w:val="00DE5CF4"/>
    <w:rsid w:val="00DE5E90"/>
    <w:rsid w:val="00DE60BA"/>
    <w:rsid w:val="00DE6B9E"/>
    <w:rsid w:val="00DF03D1"/>
    <w:rsid w:val="00DF0789"/>
    <w:rsid w:val="00DF09CF"/>
    <w:rsid w:val="00DF2012"/>
    <w:rsid w:val="00DF36EA"/>
    <w:rsid w:val="00DF371B"/>
    <w:rsid w:val="00DF38B2"/>
    <w:rsid w:val="00DF3BFE"/>
    <w:rsid w:val="00DF3C44"/>
    <w:rsid w:val="00DF4420"/>
    <w:rsid w:val="00DF5CED"/>
    <w:rsid w:val="00DF637B"/>
    <w:rsid w:val="00DF69C8"/>
    <w:rsid w:val="00DF69F4"/>
    <w:rsid w:val="00DF72B5"/>
    <w:rsid w:val="00DF7C9E"/>
    <w:rsid w:val="00E008C0"/>
    <w:rsid w:val="00E00BAF"/>
    <w:rsid w:val="00E00BF7"/>
    <w:rsid w:val="00E00D3D"/>
    <w:rsid w:val="00E024F1"/>
    <w:rsid w:val="00E02A6B"/>
    <w:rsid w:val="00E02AC9"/>
    <w:rsid w:val="00E03219"/>
    <w:rsid w:val="00E03F1D"/>
    <w:rsid w:val="00E0467A"/>
    <w:rsid w:val="00E04E9B"/>
    <w:rsid w:val="00E0741E"/>
    <w:rsid w:val="00E11EEE"/>
    <w:rsid w:val="00E12BEC"/>
    <w:rsid w:val="00E1311F"/>
    <w:rsid w:val="00E14AD1"/>
    <w:rsid w:val="00E15400"/>
    <w:rsid w:val="00E15BED"/>
    <w:rsid w:val="00E15E86"/>
    <w:rsid w:val="00E162FF"/>
    <w:rsid w:val="00E169A8"/>
    <w:rsid w:val="00E17E6C"/>
    <w:rsid w:val="00E20B50"/>
    <w:rsid w:val="00E20CE6"/>
    <w:rsid w:val="00E21105"/>
    <w:rsid w:val="00E22AF5"/>
    <w:rsid w:val="00E23548"/>
    <w:rsid w:val="00E240EB"/>
    <w:rsid w:val="00E24AAB"/>
    <w:rsid w:val="00E253EF"/>
    <w:rsid w:val="00E25E4F"/>
    <w:rsid w:val="00E26483"/>
    <w:rsid w:val="00E26AE0"/>
    <w:rsid w:val="00E305E0"/>
    <w:rsid w:val="00E30C62"/>
    <w:rsid w:val="00E3126D"/>
    <w:rsid w:val="00E31F9B"/>
    <w:rsid w:val="00E3290D"/>
    <w:rsid w:val="00E32BD7"/>
    <w:rsid w:val="00E348C0"/>
    <w:rsid w:val="00E3522D"/>
    <w:rsid w:val="00E356CC"/>
    <w:rsid w:val="00E37729"/>
    <w:rsid w:val="00E378E7"/>
    <w:rsid w:val="00E40C26"/>
    <w:rsid w:val="00E414B2"/>
    <w:rsid w:val="00E42771"/>
    <w:rsid w:val="00E42BB1"/>
    <w:rsid w:val="00E43D8E"/>
    <w:rsid w:val="00E456FA"/>
    <w:rsid w:val="00E459C5"/>
    <w:rsid w:val="00E45C5A"/>
    <w:rsid w:val="00E46079"/>
    <w:rsid w:val="00E46835"/>
    <w:rsid w:val="00E50C87"/>
    <w:rsid w:val="00E51433"/>
    <w:rsid w:val="00E5204F"/>
    <w:rsid w:val="00E52127"/>
    <w:rsid w:val="00E52139"/>
    <w:rsid w:val="00E52373"/>
    <w:rsid w:val="00E530EF"/>
    <w:rsid w:val="00E535DB"/>
    <w:rsid w:val="00E54176"/>
    <w:rsid w:val="00E545FE"/>
    <w:rsid w:val="00E551A8"/>
    <w:rsid w:val="00E55EEF"/>
    <w:rsid w:val="00E55FCC"/>
    <w:rsid w:val="00E56300"/>
    <w:rsid w:val="00E56798"/>
    <w:rsid w:val="00E573C5"/>
    <w:rsid w:val="00E62ABB"/>
    <w:rsid w:val="00E62C17"/>
    <w:rsid w:val="00E62D21"/>
    <w:rsid w:val="00E62F87"/>
    <w:rsid w:val="00E63052"/>
    <w:rsid w:val="00E640A5"/>
    <w:rsid w:val="00E64282"/>
    <w:rsid w:val="00E65040"/>
    <w:rsid w:val="00E6573C"/>
    <w:rsid w:val="00E66F1B"/>
    <w:rsid w:val="00E67ACA"/>
    <w:rsid w:val="00E67FC6"/>
    <w:rsid w:val="00E70243"/>
    <w:rsid w:val="00E71DAA"/>
    <w:rsid w:val="00E72F06"/>
    <w:rsid w:val="00E7378E"/>
    <w:rsid w:val="00E737D8"/>
    <w:rsid w:val="00E73A04"/>
    <w:rsid w:val="00E75866"/>
    <w:rsid w:val="00E75B0B"/>
    <w:rsid w:val="00E75C7B"/>
    <w:rsid w:val="00E75DD5"/>
    <w:rsid w:val="00E7646A"/>
    <w:rsid w:val="00E76526"/>
    <w:rsid w:val="00E76BF9"/>
    <w:rsid w:val="00E7757A"/>
    <w:rsid w:val="00E779A1"/>
    <w:rsid w:val="00E77DAE"/>
    <w:rsid w:val="00E77DBC"/>
    <w:rsid w:val="00E80192"/>
    <w:rsid w:val="00E81672"/>
    <w:rsid w:val="00E81678"/>
    <w:rsid w:val="00E816D9"/>
    <w:rsid w:val="00E819ED"/>
    <w:rsid w:val="00E823BA"/>
    <w:rsid w:val="00E832A7"/>
    <w:rsid w:val="00E838A4"/>
    <w:rsid w:val="00E842F7"/>
    <w:rsid w:val="00E843AF"/>
    <w:rsid w:val="00E84B46"/>
    <w:rsid w:val="00E84C4D"/>
    <w:rsid w:val="00E85FA2"/>
    <w:rsid w:val="00E860AC"/>
    <w:rsid w:val="00E87A6C"/>
    <w:rsid w:val="00E90711"/>
    <w:rsid w:val="00E9075D"/>
    <w:rsid w:val="00E91163"/>
    <w:rsid w:val="00E915F2"/>
    <w:rsid w:val="00E91F72"/>
    <w:rsid w:val="00E93B69"/>
    <w:rsid w:val="00E93C2E"/>
    <w:rsid w:val="00E952E8"/>
    <w:rsid w:val="00E95540"/>
    <w:rsid w:val="00E95D50"/>
    <w:rsid w:val="00E96431"/>
    <w:rsid w:val="00E96C6A"/>
    <w:rsid w:val="00E96FB9"/>
    <w:rsid w:val="00EA01F0"/>
    <w:rsid w:val="00EA07F9"/>
    <w:rsid w:val="00EA088E"/>
    <w:rsid w:val="00EA1186"/>
    <w:rsid w:val="00EA1417"/>
    <w:rsid w:val="00EA1820"/>
    <w:rsid w:val="00EA2180"/>
    <w:rsid w:val="00EA2E35"/>
    <w:rsid w:val="00EA2E7A"/>
    <w:rsid w:val="00EA3DBE"/>
    <w:rsid w:val="00EA4520"/>
    <w:rsid w:val="00EA45FB"/>
    <w:rsid w:val="00EA4EC1"/>
    <w:rsid w:val="00EA599F"/>
    <w:rsid w:val="00EA719A"/>
    <w:rsid w:val="00EA7AD7"/>
    <w:rsid w:val="00EB04BE"/>
    <w:rsid w:val="00EB05E7"/>
    <w:rsid w:val="00EB08F2"/>
    <w:rsid w:val="00EB0B8E"/>
    <w:rsid w:val="00EB18FF"/>
    <w:rsid w:val="00EB2820"/>
    <w:rsid w:val="00EB38EC"/>
    <w:rsid w:val="00EB4357"/>
    <w:rsid w:val="00EB4BDD"/>
    <w:rsid w:val="00EB5DA7"/>
    <w:rsid w:val="00EB68F0"/>
    <w:rsid w:val="00EB7255"/>
    <w:rsid w:val="00EC007F"/>
    <w:rsid w:val="00EC04E1"/>
    <w:rsid w:val="00EC106D"/>
    <w:rsid w:val="00EC16AF"/>
    <w:rsid w:val="00EC1DAB"/>
    <w:rsid w:val="00EC24A5"/>
    <w:rsid w:val="00EC4044"/>
    <w:rsid w:val="00EC4DA6"/>
    <w:rsid w:val="00EC55A1"/>
    <w:rsid w:val="00EC58D5"/>
    <w:rsid w:val="00EC61D9"/>
    <w:rsid w:val="00EC727B"/>
    <w:rsid w:val="00EC753F"/>
    <w:rsid w:val="00ED05DC"/>
    <w:rsid w:val="00ED111D"/>
    <w:rsid w:val="00ED19C3"/>
    <w:rsid w:val="00ED2125"/>
    <w:rsid w:val="00ED2486"/>
    <w:rsid w:val="00ED2B99"/>
    <w:rsid w:val="00ED2E1A"/>
    <w:rsid w:val="00ED2F08"/>
    <w:rsid w:val="00ED339D"/>
    <w:rsid w:val="00ED451E"/>
    <w:rsid w:val="00ED53C7"/>
    <w:rsid w:val="00ED5B33"/>
    <w:rsid w:val="00ED5EB4"/>
    <w:rsid w:val="00ED6108"/>
    <w:rsid w:val="00ED623A"/>
    <w:rsid w:val="00ED71AF"/>
    <w:rsid w:val="00EE04BA"/>
    <w:rsid w:val="00EE1EA4"/>
    <w:rsid w:val="00EE21BD"/>
    <w:rsid w:val="00EE252C"/>
    <w:rsid w:val="00EE3158"/>
    <w:rsid w:val="00EE34B8"/>
    <w:rsid w:val="00EE3EB8"/>
    <w:rsid w:val="00EE41C1"/>
    <w:rsid w:val="00EE4E88"/>
    <w:rsid w:val="00EE4F62"/>
    <w:rsid w:val="00EE50C7"/>
    <w:rsid w:val="00EE71CD"/>
    <w:rsid w:val="00EE77AC"/>
    <w:rsid w:val="00EF066F"/>
    <w:rsid w:val="00EF0702"/>
    <w:rsid w:val="00EF079A"/>
    <w:rsid w:val="00EF0872"/>
    <w:rsid w:val="00EF0D52"/>
    <w:rsid w:val="00EF0E33"/>
    <w:rsid w:val="00EF126B"/>
    <w:rsid w:val="00EF248C"/>
    <w:rsid w:val="00EF25CA"/>
    <w:rsid w:val="00EF2B08"/>
    <w:rsid w:val="00EF2E8A"/>
    <w:rsid w:val="00EF5513"/>
    <w:rsid w:val="00EF599B"/>
    <w:rsid w:val="00EF6FD3"/>
    <w:rsid w:val="00EF7358"/>
    <w:rsid w:val="00F0019A"/>
    <w:rsid w:val="00F0194C"/>
    <w:rsid w:val="00F01B33"/>
    <w:rsid w:val="00F01C31"/>
    <w:rsid w:val="00F02A17"/>
    <w:rsid w:val="00F04554"/>
    <w:rsid w:val="00F04B89"/>
    <w:rsid w:val="00F05983"/>
    <w:rsid w:val="00F069A0"/>
    <w:rsid w:val="00F06FDE"/>
    <w:rsid w:val="00F07612"/>
    <w:rsid w:val="00F102F4"/>
    <w:rsid w:val="00F11248"/>
    <w:rsid w:val="00F11645"/>
    <w:rsid w:val="00F12EF4"/>
    <w:rsid w:val="00F13000"/>
    <w:rsid w:val="00F13334"/>
    <w:rsid w:val="00F1475D"/>
    <w:rsid w:val="00F15F0A"/>
    <w:rsid w:val="00F16930"/>
    <w:rsid w:val="00F2002A"/>
    <w:rsid w:val="00F202F2"/>
    <w:rsid w:val="00F20775"/>
    <w:rsid w:val="00F22E66"/>
    <w:rsid w:val="00F2323C"/>
    <w:rsid w:val="00F23464"/>
    <w:rsid w:val="00F23F92"/>
    <w:rsid w:val="00F24828"/>
    <w:rsid w:val="00F24B98"/>
    <w:rsid w:val="00F2686A"/>
    <w:rsid w:val="00F27C1B"/>
    <w:rsid w:val="00F30EB1"/>
    <w:rsid w:val="00F30F3A"/>
    <w:rsid w:val="00F316C0"/>
    <w:rsid w:val="00F32981"/>
    <w:rsid w:val="00F32B29"/>
    <w:rsid w:val="00F3325D"/>
    <w:rsid w:val="00F3368A"/>
    <w:rsid w:val="00F346F3"/>
    <w:rsid w:val="00F34E3C"/>
    <w:rsid w:val="00F354C8"/>
    <w:rsid w:val="00F35977"/>
    <w:rsid w:val="00F359DD"/>
    <w:rsid w:val="00F3602C"/>
    <w:rsid w:val="00F36691"/>
    <w:rsid w:val="00F3685E"/>
    <w:rsid w:val="00F37040"/>
    <w:rsid w:val="00F37812"/>
    <w:rsid w:val="00F407CC"/>
    <w:rsid w:val="00F40975"/>
    <w:rsid w:val="00F410B9"/>
    <w:rsid w:val="00F4176A"/>
    <w:rsid w:val="00F41DD5"/>
    <w:rsid w:val="00F420BA"/>
    <w:rsid w:val="00F421FB"/>
    <w:rsid w:val="00F42208"/>
    <w:rsid w:val="00F454C2"/>
    <w:rsid w:val="00F4677D"/>
    <w:rsid w:val="00F4729F"/>
    <w:rsid w:val="00F47DAF"/>
    <w:rsid w:val="00F52202"/>
    <w:rsid w:val="00F52FEE"/>
    <w:rsid w:val="00F538CC"/>
    <w:rsid w:val="00F54561"/>
    <w:rsid w:val="00F54D43"/>
    <w:rsid w:val="00F5522D"/>
    <w:rsid w:val="00F55826"/>
    <w:rsid w:val="00F55CBB"/>
    <w:rsid w:val="00F5625B"/>
    <w:rsid w:val="00F57827"/>
    <w:rsid w:val="00F6040A"/>
    <w:rsid w:val="00F608C8"/>
    <w:rsid w:val="00F60AA2"/>
    <w:rsid w:val="00F61D4E"/>
    <w:rsid w:val="00F61E4E"/>
    <w:rsid w:val="00F6297A"/>
    <w:rsid w:val="00F63B70"/>
    <w:rsid w:val="00F6562F"/>
    <w:rsid w:val="00F65AF4"/>
    <w:rsid w:val="00F65C53"/>
    <w:rsid w:val="00F667BB"/>
    <w:rsid w:val="00F66DE9"/>
    <w:rsid w:val="00F70AEF"/>
    <w:rsid w:val="00F716A4"/>
    <w:rsid w:val="00F72ED1"/>
    <w:rsid w:val="00F72FED"/>
    <w:rsid w:val="00F730C8"/>
    <w:rsid w:val="00F73655"/>
    <w:rsid w:val="00F7383E"/>
    <w:rsid w:val="00F73AC7"/>
    <w:rsid w:val="00F73E7E"/>
    <w:rsid w:val="00F74AB5"/>
    <w:rsid w:val="00F75026"/>
    <w:rsid w:val="00F75701"/>
    <w:rsid w:val="00F75807"/>
    <w:rsid w:val="00F80064"/>
    <w:rsid w:val="00F80A76"/>
    <w:rsid w:val="00F813FD"/>
    <w:rsid w:val="00F81AA2"/>
    <w:rsid w:val="00F822AE"/>
    <w:rsid w:val="00F828E5"/>
    <w:rsid w:val="00F842FB"/>
    <w:rsid w:val="00F85418"/>
    <w:rsid w:val="00F85DE5"/>
    <w:rsid w:val="00F86212"/>
    <w:rsid w:val="00F86526"/>
    <w:rsid w:val="00F87B0F"/>
    <w:rsid w:val="00F87B83"/>
    <w:rsid w:val="00F90132"/>
    <w:rsid w:val="00F90223"/>
    <w:rsid w:val="00F9028C"/>
    <w:rsid w:val="00F9071E"/>
    <w:rsid w:val="00F91DE2"/>
    <w:rsid w:val="00F92161"/>
    <w:rsid w:val="00F92F8E"/>
    <w:rsid w:val="00F941B4"/>
    <w:rsid w:val="00F94B5B"/>
    <w:rsid w:val="00F958A6"/>
    <w:rsid w:val="00F959E0"/>
    <w:rsid w:val="00F95CB8"/>
    <w:rsid w:val="00F963D9"/>
    <w:rsid w:val="00F9786A"/>
    <w:rsid w:val="00F97E98"/>
    <w:rsid w:val="00F97FF6"/>
    <w:rsid w:val="00FA009A"/>
    <w:rsid w:val="00FA04D9"/>
    <w:rsid w:val="00FA0B7C"/>
    <w:rsid w:val="00FA0C67"/>
    <w:rsid w:val="00FA169E"/>
    <w:rsid w:val="00FA1B7B"/>
    <w:rsid w:val="00FA1D00"/>
    <w:rsid w:val="00FA26DC"/>
    <w:rsid w:val="00FA2A64"/>
    <w:rsid w:val="00FA3454"/>
    <w:rsid w:val="00FA362B"/>
    <w:rsid w:val="00FA39DC"/>
    <w:rsid w:val="00FA51C3"/>
    <w:rsid w:val="00FA5A51"/>
    <w:rsid w:val="00FB0358"/>
    <w:rsid w:val="00FB0C71"/>
    <w:rsid w:val="00FB1082"/>
    <w:rsid w:val="00FB12AC"/>
    <w:rsid w:val="00FB1AFE"/>
    <w:rsid w:val="00FB1C0B"/>
    <w:rsid w:val="00FB1E8E"/>
    <w:rsid w:val="00FB1F46"/>
    <w:rsid w:val="00FB3480"/>
    <w:rsid w:val="00FB3EFA"/>
    <w:rsid w:val="00FB4B37"/>
    <w:rsid w:val="00FB593D"/>
    <w:rsid w:val="00FB66A6"/>
    <w:rsid w:val="00FB6F5B"/>
    <w:rsid w:val="00FB78FC"/>
    <w:rsid w:val="00FB7C51"/>
    <w:rsid w:val="00FC0B03"/>
    <w:rsid w:val="00FC279F"/>
    <w:rsid w:val="00FC2F26"/>
    <w:rsid w:val="00FC48E1"/>
    <w:rsid w:val="00FC4CDD"/>
    <w:rsid w:val="00FC511E"/>
    <w:rsid w:val="00FC5953"/>
    <w:rsid w:val="00FC5D6A"/>
    <w:rsid w:val="00FC64FA"/>
    <w:rsid w:val="00FC7861"/>
    <w:rsid w:val="00FD08EE"/>
    <w:rsid w:val="00FD14A0"/>
    <w:rsid w:val="00FD20BD"/>
    <w:rsid w:val="00FD274C"/>
    <w:rsid w:val="00FD34AD"/>
    <w:rsid w:val="00FD35B3"/>
    <w:rsid w:val="00FD3E4E"/>
    <w:rsid w:val="00FD4139"/>
    <w:rsid w:val="00FD47D5"/>
    <w:rsid w:val="00FD5352"/>
    <w:rsid w:val="00FD6665"/>
    <w:rsid w:val="00FD6B9A"/>
    <w:rsid w:val="00FD6CEB"/>
    <w:rsid w:val="00FD6DCB"/>
    <w:rsid w:val="00FD6E7A"/>
    <w:rsid w:val="00FD707F"/>
    <w:rsid w:val="00FD7468"/>
    <w:rsid w:val="00FD7B9F"/>
    <w:rsid w:val="00FD7C21"/>
    <w:rsid w:val="00FE0716"/>
    <w:rsid w:val="00FE1A01"/>
    <w:rsid w:val="00FE22C9"/>
    <w:rsid w:val="00FE2398"/>
    <w:rsid w:val="00FE23BE"/>
    <w:rsid w:val="00FE3477"/>
    <w:rsid w:val="00FE416B"/>
    <w:rsid w:val="00FE4BCF"/>
    <w:rsid w:val="00FE5602"/>
    <w:rsid w:val="00FE5AAA"/>
    <w:rsid w:val="00FE5C98"/>
    <w:rsid w:val="00FE6263"/>
    <w:rsid w:val="00FE62AF"/>
    <w:rsid w:val="00FE67A0"/>
    <w:rsid w:val="00FE6C44"/>
    <w:rsid w:val="00FE6C6F"/>
    <w:rsid w:val="00FE6E9B"/>
    <w:rsid w:val="00FF16C1"/>
    <w:rsid w:val="00FF231B"/>
    <w:rsid w:val="00FF2B82"/>
    <w:rsid w:val="00FF3731"/>
    <w:rsid w:val="00FF4299"/>
    <w:rsid w:val="00FF49F0"/>
    <w:rsid w:val="00FF562F"/>
    <w:rsid w:val="00FF6344"/>
    <w:rsid w:val="00FF7228"/>
    <w:rsid w:val="00FF74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4E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BED"/>
    <w:pPr>
      <w:spacing w:before="40" w:after="120" w:line="280" w:lineRule="atLeast"/>
    </w:pPr>
  </w:style>
  <w:style w:type="paragraph" w:styleId="Heading1">
    <w:name w:val="heading 1"/>
    <w:basedOn w:val="Normal"/>
    <w:next w:val="Normal"/>
    <w:link w:val="Heading1Char"/>
    <w:autoRedefine/>
    <w:qFormat/>
    <w:rsid w:val="009B5C09"/>
    <w:pPr>
      <w:spacing w:before="1600" w:after="360"/>
      <w:outlineLvl w:val="0"/>
    </w:pPr>
    <w:rPr>
      <w:color w:val="264F90"/>
      <w:sz w:val="40"/>
      <w:szCs w:val="40"/>
    </w:rPr>
  </w:style>
  <w:style w:type="paragraph" w:styleId="Heading2">
    <w:name w:val="heading 2"/>
    <w:basedOn w:val="Normal"/>
    <w:next w:val="Normal"/>
    <w:link w:val="Heading2Char"/>
    <w:autoRedefine/>
    <w:qFormat/>
    <w:rsid w:val="00A4685F"/>
    <w:pPr>
      <w:keepNext/>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FE6E9B"/>
    <w:pPr>
      <w:numPr>
        <w:ilvl w:val="0"/>
        <w:numId w:val="0"/>
      </w:numPr>
      <w:ind w:left="1134" w:hanging="1134"/>
      <w:outlineLvl w:val="3"/>
    </w:pPr>
    <w:rPr>
      <w:rFonts w:eastAsia="MS Mincho" w:cs="TimesNewRoman"/>
      <w:b w:val="0"/>
      <w:sz w:val="22"/>
      <w:szCs w:val="20"/>
    </w:rPr>
  </w:style>
  <w:style w:type="paragraph" w:styleId="Heading5">
    <w:name w:val="heading 5"/>
    <w:basedOn w:val="Heading4"/>
    <w:next w:val="Normal"/>
    <w:link w:val="Heading5Char"/>
    <w:qFormat/>
    <w:rsid w:val="00430D2E"/>
    <w:pPr>
      <w:numPr>
        <w:ilvl w:val="3"/>
      </w:numPr>
      <w:tabs>
        <w:tab w:val="left" w:pos="1985"/>
      </w:tabs>
      <w:ind w:left="1134" w:hanging="1134"/>
      <w:outlineLvl w:val="4"/>
    </w:pPr>
    <w:rPr>
      <w:bCs w:val="0"/>
      <w:iCs w:val="0"/>
      <w:color w:val="auto"/>
      <w:sz w:val="20"/>
      <w:szCs w:val="26"/>
    </w:rPr>
  </w:style>
  <w:style w:type="paragraph" w:styleId="Heading6">
    <w:name w:val="heading 6"/>
    <w:basedOn w:val="Heading5"/>
    <w:next w:val="Normal"/>
    <w:link w:val="Heading6Char"/>
    <w:uiPriority w:val="9"/>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uiPriority w:val="9"/>
    <w:qFormat/>
    <w:rsid w:val="00FD6DCB"/>
    <w:pPr>
      <w:spacing w:before="240" w:after="60"/>
      <w:outlineLvl w:val="7"/>
    </w:pPr>
    <w:rPr>
      <w:rFonts w:ascii="Times New Roman" w:hAnsi="Times New Roman"/>
      <w:i/>
      <w:iCs/>
      <w:sz w:val="24"/>
    </w:rPr>
  </w:style>
  <w:style w:type="paragraph" w:styleId="Heading9">
    <w:name w:val="heading 9"/>
    <w:basedOn w:val="Normal"/>
    <w:next w:val="Normal"/>
    <w:uiPriority w:val="9"/>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4D6"/>
  </w:style>
  <w:style w:type="paragraph" w:styleId="Footer">
    <w:name w:val="footer"/>
    <w:basedOn w:val="Normal"/>
    <w:link w:val="FooterChar"/>
    <w:uiPriority w:val="99"/>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9D646B"/>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9D646B"/>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9B5C09"/>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rPr>
  </w:style>
  <w:style w:type="character" w:customStyle="1" w:styleId="Heading2Char">
    <w:name w:val="Heading 2 Char"/>
    <w:basedOn w:val="DefaultParagraphFont"/>
    <w:link w:val="Heading2"/>
    <w:rsid w:val="00A4685F"/>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uiPriority w:val="99"/>
    <w:rsid w:val="00FD6DCB"/>
    <w:pPr>
      <w:autoSpaceDE w:val="0"/>
      <w:autoSpaceDN w:val="0"/>
      <w:adjustRightInd w:val="0"/>
    </w:pPr>
    <w:rPr>
      <w:rFonts w:cs="Arial"/>
      <w:color w:val="000000"/>
      <w:sz w:val="24"/>
      <w:szCs w:val="24"/>
    </w:rPr>
  </w:style>
  <w:style w:type="paragraph" w:styleId="TOCHeading">
    <w:name w:val="TOC Heading"/>
    <w:basedOn w:val="Heading1"/>
    <w:next w:val="Normal"/>
    <w:uiPriority w:val="39"/>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FE6E9B"/>
    <w:rPr>
      <w:rFonts w:eastAsia="MS Mincho" w:cs="TimesNewRoman"/>
      <w:b w:val="0"/>
      <w:bCs/>
      <w:iCs/>
      <w:color w:val="264F90"/>
      <w:sz w:val="22"/>
      <w:szCs w:val="32"/>
    </w:rPr>
  </w:style>
  <w:style w:type="character" w:customStyle="1" w:styleId="Heading5Char">
    <w:name w:val="Heading 5 Char"/>
    <w:basedOn w:val="Heading4Char"/>
    <w:link w:val="Heading5"/>
    <w:rsid w:val="00430D2E"/>
    <w:rPr>
      <w:rFonts w:eastAsia="MS Mincho" w:cs="TimesNewRoman"/>
      <w:b w:val="0"/>
      <w:bCs w:val="0"/>
      <w:iCs w:val="0"/>
      <w:color w:val="264F90"/>
      <w:sz w:val="32"/>
      <w:szCs w:val="26"/>
    </w:rPr>
  </w:style>
  <w:style w:type="character" w:customStyle="1" w:styleId="Heading6Char">
    <w:name w:val="Heading 6 Char"/>
    <w:basedOn w:val="Heading5Char"/>
    <w:link w:val="Heading6"/>
    <w:uiPriority w:val="9"/>
    <w:rsid w:val="00C17209"/>
    <w:rPr>
      <w:rFonts w:eastAsia="MS Mincho" w:cs="TimesNewRoman"/>
      <w:b w:val="0"/>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3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List Paragraph1,List Paragraph11,Bullet point,Recommendation,List Paragraph Number,figure text numbered,L,CV text,Table text,F5 List Paragraph,Dot pt,Medium Grid 1 - Accent 21,Numbered Paragraph,List Paragraph111,List Paragraph2,Dot Point"/>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Pr>
      <w:ind w:left="1134" w:hanging="1134"/>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ind w:left="0" w:firstLine="0"/>
    </w:pPr>
    <w:rPr>
      <w:b/>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uiPriority w:val="99"/>
    <w:qFormat/>
    <w:rsid w:val="00022A7F"/>
    <w:pPr>
      <w:numPr>
        <w:numId w:val="12"/>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rsid w:val="00022A7F"/>
    <w:pPr>
      <w:numPr>
        <w:numId w:val="12"/>
      </w:numPr>
    </w:pPr>
  </w:style>
  <w:style w:type="numbering" w:customStyle="1" w:styleId="TableHeadingNumbers">
    <w:name w:val="Table Heading Numbers"/>
    <w:uiPriority w:val="99"/>
    <w:rsid w:val="00022A7F"/>
    <w:pPr>
      <w:numPr>
        <w:numId w:val="13"/>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4"/>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4"/>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KeyPoints">
    <w:name w:val="Key Points"/>
    <w:basedOn w:val="NoList"/>
    <w:uiPriority w:val="99"/>
    <w:rsid w:val="00CB37FC"/>
    <w:pPr>
      <w:numPr>
        <w:numId w:val="18"/>
      </w:numPr>
    </w:pPr>
  </w:style>
  <w:style w:type="paragraph" w:customStyle="1" w:styleId="1NumberPointsStyle">
    <w:name w:val="1. Number Points Style"/>
    <w:basedOn w:val="Normal"/>
    <w:link w:val="1NumberPointsStyleChar"/>
    <w:qFormat/>
    <w:rsid w:val="00CB37FC"/>
    <w:pPr>
      <w:numPr>
        <w:numId w:val="19"/>
      </w:numPr>
      <w:spacing w:before="0" w:after="200" w:line="240" w:lineRule="auto"/>
    </w:pPr>
    <w:rPr>
      <w:rFonts w:ascii="Times New Roman" w:hAnsi="Times New Roman"/>
      <w:sz w:val="24"/>
      <w:lang w:eastAsia="en-AU"/>
    </w:rPr>
  </w:style>
  <w:style w:type="character" w:customStyle="1" w:styleId="1NumberPointsStyleChar">
    <w:name w:val="1. Number Points Style Char"/>
    <w:link w:val="1NumberPointsStyle"/>
    <w:rsid w:val="00CB37FC"/>
    <w:rPr>
      <w:rFonts w:ascii="Times New Roman" w:hAnsi="Times New Roman"/>
      <w:sz w:val="24"/>
      <w:lang w:eastAsia="en-AU"/>
    </w:rPr>
  </w:style>
  <w:style w:type="paragraph" w:styleId="NormalWeb">
    <w:name w:val="Normal (Web)"/>
    <w:basedOn w:val="Normal"/>
    <w:uiPriority w:val="99"/>
    <w:unhideWhenUsed/>
    <w:rsid w:val="002A5F08"/>
    <w:pPr>
      <w:spacing w:before="100" w:beforeAutospacing="1" w:after="100" w:afterAutospacing="1" w:line="240" w:lineRule="auto"/>
    </w:pPr>
    <w:rPr>
      <w:rFonts w:ascii="Times New Roman" w:hAnsi="Times New Roman"/>
      <w:sz w:val="24"/>
      <w:szCs w:val="24"/>
      <w:lang w:eastAsia="en-AU"/>
    </w:rPr>
  </w:style>
  <w:style w:type="character" w:customStyle="1" w:styleId="ListParagraphChar">
    <w:name w:val="List Paragraph Char"/>
    <w:aliases w:val="List Paragraph1 Char,List Paragraph11 Char,Bullet point Char,Recommendation Char,List Paragraph Number Char,figure text numbered Char,L Char,CV text Char,Table text Char,F5 List Paragraph Char,Dot pt Char,Numbered Paragraph Char"/>
    <w:link w:val="ListParagraph"/>
    <w:uiPriority w:val="34"/>
    <w:qFormat/>
    <w:locked/>
    <w:rsid w:val="0013259D"/>
  </w:style>
  <w:style w:type="character" w:customStyle="1" w:styleId="FooterChar">
    <w:name w:val="Footer Char"/>
    <w:basedOn w:val="DefaultParagraphFont"/>
    <w:link w:val="Footer"/>
    <w:uiPriority w:val="99"/>
    <w:rsid w:val="003B6C9C"/>
    <w:rPr>
      <w:sz w:val="16"/>
    </w:rPr>
  </w:style>
  <w:style w:type="paragraph" w:customStyle="1" w:styleId="PFNumLevel2">
    <w:name w:val="PF (Num) Level 2"/>
    <w:basedOn w:val="Normal"/>
    <w:rsid w:val="003B6C9C"/>
    <w:pPr>
      <w:numPr>
        <w:ilvl w:val="1"/>
        <w:numId w:val="24"/>
      </w:numPr>
      <w:tabs>
        <w:tab w:val="left" w:pos="2773"/>
        <w:tab w:val="left" w:pos="3697"/>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PFNumLevel3">
    <w:name w:val="PF (Num) Level 3"/>
    <w:basedOn w:val="Normal"/>
    <w:rsid w:val="003B6C9C"/>
    <w:pPr>
      <w:numPr>
        <w:ilvl w:val="2"/>
        <w:numId w:val="24"/>
      </w:numPr>
      <w:tabs>
        <w:tab w:val="left" w:pos="3697"/>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PFNumLevel4">
    <w:name w:val="PF (Num) Level 4"/>
    <w:basedOn w:val="Normal"/>
    <w:rsid w:val="003B6C9C"/>
    <w:pPr>
      <w:numPr>
        <w:ilvl w:val="3"/>
        <w:numId w:val="24"/>
      </w:numPr>
      <w:tabs>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PFNumLevel5">
    <w:name w:val="PF (Num) Level 5"/>
    <w:basedOn w:val="Normal"/>
    <w:rsid w:val="003B6C9C"/>
    <w:pPr>
      <w:numPr>
        <w:ilvl w:val="4"/>
        <w:numId w:val="24"/>
      </w:numPr>
      <w:tabs>
        <w:tab w:val="left" w:pos="2773"/>
        <w:tab w:val="left" w:pos="3697"/>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Heading1A">
    <w:name w:val="Heading 1A"/>
    <w:basedOn w:val="Heading1"/>
    <w:next w:val="Normal"/>
    <w:rsid w:val="003B6C9C"/>
    <w:pPr>
      <w:keepNext/>
      <w:numPr>
        <w:numId w:val="24"/>
      </w:numPr>
      <w:tabs>
        <w:tab w:val="left" w:pos="1848"/>
        <w:tab w:val="left" w:pos="2773"/>
        <w:tab w:val="left" w:pos="3697"/>
        <w:tab w:val="left" w:pos="4621"/>
        <w:tab w:val="left" w:pos="5545"/>
        <w:tab w:val="left" w:pos="6469"/>
        <w:tab w:val="left" w:pos="7394"/>
        <w:tab w:val="left" w:pos="8318"/>
        <w:tab w:val="right" w:pos="8930"/>
      </w:tabs>
      <w:spacing w:before="400" w:after="0" w:line="276" w:lineRule="auto"/>
    </w:pPr>
    <w:rPr>
      <w:b/>
      <w:color w:val="000000"/>
      <w:kern w:val="28"/>
      <w:sz w:val="24"/>
      <w:szCs w:val="20"/>
    </w:rPr>
  </w:style>
  <w:style w:type="paragraph" w:customStyle="1" w:styleId="PFNumLevel6">
    <w:name w:val="PF (Num) Level 6"/>
    <w:basedOn w:val="PFNumLevel4"/>
    <w:rsid w:val="003B6C9C"/>
    <w:pPr>
      <w:numPr>
        <w:ilvl w:val="5"/>
      </w:numPr>
    </w:pPr>
  </w:style>
  <w:style w:type="table" w:styleId="LightList-Accent1">
    <w:name w:val="Light List Accent 1"/>
    <w:basedOn w:val="TableNormal"/>
    <w:uiPriority w:val="61"/>
    <w:rsid w:val="003B6C9C"/>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1">
    <w:name w:val="st1"/>
    <w:basedOn w:val="DefaultParagraphFont"/>
    <w:rsid w:val="003B6C9C"/>
  </w:style>
  <w:style w:type="paragraph" w:customStyle="1" w:styleId="Style1">
    <w:name w:val="Style1"/>
    <w:basedOn w:val="Heading1"/>
    <w:link w:val="Style1Char"/>
    <w:qFormat/>
    <w:rsid w:val="003B6C9C"/>
    <w:pPr>
      <w:spacing w:before="0" w:after="0" w:line="360" w:lineRule="auto"/>
    </w:pPr>
    <w:rPr>
      <w:sz w:val="36"/>
    </w:rPr>
  </w:style>
  <w:style w:type="paragraph" w:customStyle="1" w:styleId="Style2">
    <w:name w:val="Style2"/>
    <w:basedOn w:val="Style1"/>
    <w:link w:val="Style2Char"/>
    <w:qFormat/>
    <w:rsid w:val="003B6C9C"/>
  </w:style>
  <w:style w:type="character" w:customStyle="1" w:styleId="Style1Char">
    <w:name w:val="Style1 Char"/>
    <w:basedOn w:val="Heading1Char"/>
    <w:link w:val="Style1"/>
    <w:rsid w:val="003B6C9C"/>
    <w:rPr>
      <w:color w:val="264F90"/>
      <w:sz w:val="36"/>
      <w:szCs w:val="40"/>
    </w:rPr>
  </w:style>
  <w:style w:type="character" w:customStyle="1" w:styleId="Style2Char">
    <w:name w:val="Style2 Char"/>
    <w:basedOn w:val="Style1Char"/>
    <w:link w:val="Style2"/>
    <w:rsid w:val="003B6C9C"/>
    <w:rPr>
      <w:color w:val="264F90"/>
      <w:sz w:val="36"/>
      <w:szCs w:val="40"/>
    </w:rPr>
  </w:style>
  <w:style w:type="character" w:customStyle="1" w:styleId="BasicParagraphChar">
    <w:name w:val="[Basic Paragraph] Char"/>
    <w:basedOn w:val="DefaultParagraphFont"/>
    <w:link w:val="BasicParagraph"/>
    <w:uiPriority w:val="99"/>
    <w:locked/>
    <w:rsid w:val="003B6C9C"/>
    <w:rPr>
      <w:rFonts w:ascii="Minion Pro" w:hAnsi="Minion Pro"/>
      <w:color w:val="000000"/>
    </w:rPr>
  </w:style>
  <w:style w:type="paragraph" w:customStyle="1" w:styleId="BasicParagraph">
    <w:name w:val="[Basic Paragraph]"/>
    <w:basedOn w:val="Normal"/>
    <w:link w:val="BasicParagraphChar"/>
    <w:uiPriority w:val="99"/>
    <w:rsid w:val="003B6C9C"/>
    <w:pPr>
      <w:autoSpaceDE w:val="0"/>
      <w:autoSpaceDN w:val="0"/>
      <w:spacing w:before="0" w:after="0" w:line="288" w:lineRule="auto"/>
    </w:pPr>
    <w:rPr>
      <w:rFonts w:ascii="Minion Pro" w:hAnsi="Minion Pro"/>
      <w:color w:val="000000"/>
    </w:rPr>
  </w:style>
  <w:style w:type="paragraph" w:customStyle="1" w:styleId="CDPBulletPoints">
    <w:name w:val="CDP Bullet Points"/>
    <w:basedOn w:val="ListParagraph"/>
    <w:qFormat/>
    <w:rsid w:val="003B6C9C"/>
    <w:pPr>
      <w:numPr>
        <w:numId w:val="25"/>
      </w:numPr>
      <w:spacing w:before="0" w:line="240" w:lineRule="auto"/>
      <w:contextualSpacing w:val="0"/>
    </w:pPr>
    <w:rPr>
      <w:rFonts w:ascii="Calibri Light" w:hAnsi="Calibri Light"/>
      <w:sz w:val="22"/>
      <w:szCs w:val="24"/>
      <w:lang w:eastAsia="en-AU"/>
    </w:rPr>
  </w:style>
  <w:style w:type="paragraph" w:customStyle="1" w:styleId="SingleLine">
    <w:name w:val="Single Line"/>
    <w:basedOn w:val="Normal"/>
    <w:qFormat/>
    <w:rsid w:val="003B6C9C"/>
    <w:pPr>
      <w:spacing w:before="0" w:after="0" w:line="276" w:lineRule="auto"/>
    </w:pPr>
    <w:rPr>
      <w:rFonts w:asciiTheme="minorHAnsi" w:eastAsiaTheme="minorHAnsi" w:hAnsiTheme="minorHAnsi" w:cstheme="minorBidi"/>
      <w:sz w:val="22"/>
      <w:szCs w:val="22"/>
    </w:rPr>
  </w:style>
  <w:style w:type="paragraph" w:styleId="TOC6">
    <w:name w:val="toc 6"/>
    <w:basedOn w:val="Normal"/>
    <w:next w:val="Normal"/>
    <w:autoRedefine/>
    <w:uiPriority w:val="39"/>
    <w:unhideWhenUsed/>
    <w:rsid w:val="003B6C9C"/>
    <w:pPr>
      <w:spacing w:before="0" w:after="100" w:line="259"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3B6C9C"/>
    <w:pPr>
      <w:spacing w:before="0" w:after="100" w:line="259"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3B6C9C"/>
    <w:pPr>
      <w:spacing w:before="0" w:after="100" w:line="259"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3B6C9C"/>
    <w:pPr>
      <w:spacing w:before="0" w:after="100" w:line="259" w:lineRule="auto"/>
      <w:ind w:left="1760"/>
    </w:pPr>
    <w:rPr>
      <w:rFonts w:asciiTheme="minorHAnsi" w:eastAsiaTheme="minorEastAsia" w:hAnsiTheme="minorHAnsi" w:cstheme="minorBidi"/>
      <w:sz w:val="22"/>
      <w:szCs w:val="22"/>
      <w:lang w:eastAsia="en-AU"/>
    </w:rPr>
  </w:style>
  <w:style w:type="numbering" w:customStyle="1" w:styleId="NoList1">
    <w:name w:val="No List1"/>
    <w:next w:val="NoList"/>
    <w:uiPriority w:val="99"/>
    <w:semiHidden/>
    <w:unhideWhenUsed/>
    <w:rsid w:val="003B6C9C"/>
  </w:style>
  <w:style w:type="character" w:customStyle="1" w:styleId="veryhardreadability">
    <w:name w:val="veryhardreadability"/>
    <w:basedOn w:val="DefaultParagraphFont"/>
    <w:rsid w:val="007C27F7"/>
  </w:style>
  <w:style w:type="character" w:customStyle="1" w:styleId="passivevoice">
    <w:name w:val="passivevoice"/>
    <w:basedOn w:val="DefaultParagraphFont"/>
    <w:rsid w:val="007C27F7"/>
  </w:style>
  <w:style w:type="character" w:customStyle="1" w:styleId="hardreadability">
    <w:name w:val="hardreadability"/>
    <w:basedOn w:val="DefaultParagraphFont"/>
    <w:rsid w:val="007C27F7"/>
  </w:style>
  <w:style w:type="character" w:customStyle="1" w:styleId="complexword">
    <w:name w:val="complexword"/>
    <w:basedOn w:val="DefaultParagraphFont"/>
    <w:rsid w:val="00346945"/>
  </w:style>
  <w:style w:type="character" w:customStyle="1" w:styleId="adverb">
    <w:name w:val="adverb"/>
    <w:basedOn w:val="DefaultParagraphFont"/>
    <w:rsid w:val="000C7457"/>
  </w:style>
  <w:style w:type="character" w:customStyle="1" w:styleId="ui-provider">
    <w:name w:val="ui-provider"/>
    <w:basedOn w:val="DefaultParagraphFont"/>
    <w:rsid w:val="0014462E"/>
  </w:style>
  <w:style w:type="character" w:customStyle="1" w:styleId="HeaderChar">
    <w:name w:val="Header Char"/>
    <w:basedOn w:val="DefaultParagraphFont"/>
    <w:link w:val="Header"/>
    <w:uiPriority w:val="99"/>
    <w:rsid w:val="005C23BD"/>
  </w:style>
  <w:style w:type="paragraph" w:customStyle="1" w:styleId="Tablebody">
    <w:name w:val="Table body"/>
    <w:basedOn w:val="Normal"/>
    <w:link w:val="TablebodyChar"/>
    <w:uiPriority w:val="11"/>
    <w:qFormat/>
    <w:rsid w:val="00920ADD"/>
    <w:pPr>
      <w:spacing w:before="60" w:after="60" w:line="264" w:lineRule="auto"/>
    </w:pPr>
    <w:rPr>
      <w:rFonts w:asciiTheme="minorHAnsi" w:eastAsiaTheme="minorHAnsi" w:hAnsiTheme="minorHAnsi" w:cstheme="minorBidi"/>
      <w:color w:val="262626" w:themeColor="text1" w:themeTint="D9"/>
    </w:rPr>
  </w:style>
  <w:style w:type="character" w:customStyle="1" w:styleId="TablebodyChar">
    <w:name w:val="Table body Char"/>
    <w:basedOn w:val="DefaultParagraphFont"/>
    <w:link w:val="Tablebody"/>
    <w:uiPriority w:val="11"/>
    <w:rsid w:val="00920ADD"/>
    <w:rPr>
      <w:rFonts w:asciiTheme="minorHAnsi" w:eastAsiaTheme="minorHAnsi" w:hAnsiTheme="minorHAnsi" w:cstheme="minorBidi"/>
      <w:color w:val="262626" w:themeColor="text1" w:themeTint="D9"/>
    </w:rPr>
  </w:style>
  <w:style w:type="table" w:customStyle="1" w:styleId="NIAADefaultTableStyle">
    <w:name w:val="NIAA Default Table Style"/>
    <w:basedOn w:val="TableNormal"/>
    <w:uiPriority w:val="99"/>
    <w:rsid w:val="003A2B88"/>
    <w:pPr>
      <w:spacing w:before="60" w:after="60" w:line="264" w:lineRule="auto"/>
    </w:pPr>
    <w:rPr>
      <w:rFonts w:asciiTheme="minorHAnsi" w:eastAsiaTheme="minorHAnsi" w:hAnsiTheme="minorHAnsi" w:cstheme="minorBidi"/>
      <w:color w:val="262626" w:themeColor="text1" w:themeTint="D9"/>
      <w:sz w:val="18"/>
    </w:rPr>
    <w:tblPr>
      <w:tblStyleRowBandSize w:val="1"/>
      <w:tblBorders>
        <w:bottom w:val="single" w:sz="18" w:space="0" w:color="EEECE1" w:themeColor="background2"/>
        <w:insideH w:val="single" w:sz="4" w:space="0" w:color="EEECE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EEECE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Title">
    <w:name w:val="Title"/>
    <w:basedOn w:val="Normal"/>
    <w:next w:val="Normal"/>
    <w:link w:val="TitleChar"/>
    <w:qFormat/>
    <w:rsid w:val="009250D3"/>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250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9250D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250D3"/>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933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75584954">
      <w:bodyDiv w:val="1"/>
      <w:marLeft w:val="0"/>
      <w:marRight w:val="0"/>
      <w:marTop w:val="0"/>
      <w:marBottom w:val="0"/>
      <w:divBdr>
        <w:top w:val="none" w:sz="0" w:space="0" w:color="auto"/>
        <w:left w:val="none" w:sz="0" w:space="0" w:color="auto"/>
        <w:bottom w:val="none" w:sz="0" w:space="0" w:color="auto"/>
        <w:right w:val="none" w:sz="0" w:space="0" w:color="auto"/>
      </w:divBdr>
    </w:div>
    <w:div w:id="189605961">
      <w:bodyDiv w:val="1"/>
      <w:marLeft w:val="0"/>
      <w:marRight w:val="0"/>
      <w:marTop w:val="0"/>
      <w:marBottom w:val="0"/>
      <w:divBdr>
        <w:top w:val="none" w:sz="0" w:space="0" w:color="auto"/>
        <w:left w:val="none" w:sz="0" w:space="0" w:color="auto"/>
        <w:bottom w:val="none" w:sz="0" w:space="0" w:color="auto"/>
        <w:right w:val="none" w:sz="0" w:space="0" w:color="auto"/>
      </w:divBdr>
    </w:div>
    <w:div w:id="201672178">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2992992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77509769">
      <w:bodyDiv w:val="1"/>
      <w:marLeft w:val="0"/>
      <w:marRight w:val="0"/>
      <w:marTop w:val="0"/>
      <w:marBottom w:val="0"/>
      <w:divBdr>
        <w:top w:val="none" w:sz="0" w:space="0" w:color="auto"/>
        <w:left w:val="none" w:sz="0" w:space="0" w:color="auto"/>
        <w:bottom w:val="none" w:sz="0" w:space="0" w:color="auto"/>
        <w:right w:val="none" w:sz="0" w:space="0" w:color="auto"/>
      </w:divBdr>
      <w:divsChild>
        <w:div w:id="526018024">
          <w:marLeft w:val="0"/>
          <w:marRight w:val="0"/>
          <w:marTop w:val="0"/>
          <w:marBottom w:val="0"/>
          <w:divBdr>
            <w:top w:val="none" w:sz="0" w:space="0" w:color="auto"/>
            <w:left w:val="none" w:sz="0" w:space="0" w:color="auto"/>
            <w:bottom w:val="none" w:sz="0" w:space="0" w:color="auto"/>
            <w:right w:val="none" w:sz="0" w:space="0" w:color="auto"/>
          </w:divBdr>
        </w:div>
        <w:div w:id="1391539602">
          <w:marLeft w:val="0"/>
          <w:marRight w:val="0"/>
          <w:marTop w:val="0"/>
          <w:marBottom w:val="0"/>
          <w:divBdr>
            <w:top w:val="none" w:sz="0" w:space="0" w:color="auto"/>
            <w:left w:val="none" w:sz="0" w:space="0" w:color="auto"/>
            <w:bottom w:val="none" w:sz="0" w:space="0" w:color="auto"/>
            <w:right w:val="none" w:sz="0" w:space="0" w:color="auto"/>
          </w:divBdr>
        </w:div>
      </w:divsChild>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13286200">
      <w:bodyDiv w:val="1"/>
      <w:marLeft w:val="0"/>
      <w:marRight w:val="0"/>
      <w:marTop w:val="0"/>
      <w:marBottom w:val="0"/>
      <w:divBdr>
        <w:top w:val="none" w:sz="0" w:space="0" w:color="auto"/>
        <w:left w:val="none" w:sz="0" w:space="0" w:color="auto"/>
        <w:bottom w:val="none" w:sz="0" w:space="0" w:color="auto"/>
        <w:right w:val="none" w:sz="0" w:space="0" w:color="auto"/>
      </w:divBdr>
    </w:div>
    <w:div w:id="492915894">
      <w:bodyDiv w:val="1"/>
      <w:marLeft w:val="0"/>
      <w:marRight w:val="0"/>
      <w:marTop w:val="0"/>
      <w:marBottom w:val="0"/>
      <w:divBdr>
        <w:top w:val="none" w:sz="0" w:space="0" w:color="auto"/>
        <w:left w:val="none" w:sz="0" w:space="0" w:color="auto"/>
        <w:bottom w:val="none" w:sz="0" w:space="0" w:color="auto"/>
        <w:right w:val="none" w:sz="0" w:space="0" w:color="auto"/>
      </w:divBdr>
      <w:divsChild>
        <w:div w:id="576592194">
          <w:marLeft w:val="0"/>
          <w:marRight w:val="0"/>
          <w:marTop w:val="0"/>
          <w:marBottom w:val="0"/>
          <w:divBdr>
            <w:top w:val="none" w:sz="0" w:space="0" w:color="auto"/>
            <w:left w:val="none" w:sz="0" w:space="0" w:color="auto"/>
            <w:bottom w:val="none" w:sz="0" w:space="0" w:color="auto"/>
            <w:right w:val="none" w:sz="0" w:space="0" w:color="auto"/>
          </w:divBdr>
        </w:div>
      </w:divsChild>
    </w:div>
    <w:div w:id="536432537">
      <w:bodyDiv w:val="1"/>
      <w:marLeft w:val="0"/>
      <w:marRight w:val="0"/>
      <w:marTop w:val="0"/>
      <w:marBottom w:val="0"/>
      <w:divBdr>
        <w:top w:val="none" w:sz="0" w:space="0" w:color="auto"/>
        <w:left w:val="none" w:sz="0" w:space="0" w:color="auto"/>
        <w:bottom w:val="none" w:sz="0" w:space="0" w:color="auto"/>
        <w:right w:val="none" w:sz="0" w:space="0" w:color="auto"/>
      </w:divBdr>
      <w:divsChild>
        <w:div w:id="489491858">
          <w:marLeft w:val="0"/>
          <w:marRight w:val="0"/>
          <w:marTop w:val="0"/>
          <w:marBottom w:val="0"/>
          <w:divBdr>
            <w:top w:val="none" w:sz="0" w:space="0" w:color="auto"/>
            <w:left w:val="none" w:sz="0" w:space="0" w:color="auto"/>
            <w:bottom w:val="none" w:sz="0" w:space="0" w:color="auto"/>
            <w:right w:val="none" w:sz="0" w:space="0" w:color="auto"/>
          </w:divBdr>
        </w:div>
        <w:div w:id="1367097816">
          <w:marLeft w:val="0"/>
          <w:marRight w:val="0"/>
          <w:marTop w:val="0"/>
          <w:marBottom w:val="0"/>
          <w:divBdr>
            <w:top w:val="none" w:sz="0" w:space="0" w:color="auto"/>
            <w:left w:val="none" w:sz="0" w:space="0" w:color="auto"/>
            <w:bottom w:val="none" w:sz="0" w:space="0" w:color="auto"/>
            <w:right w:val="none" w:sz="0" w:space="0" w:color="auto"/>
          </w:divBdr>
        </w:div>
      </w:divsChild>
    </w:div>
    <w:div w:id="578514850">
      <w:bodyDiv w:val="1"/>
      <w:marLeft w:val="0"/>
      <w:marRight w:val="0"/>
      <w:marTop w:val="0"/>
      <w:marBottom w:val="0"/>
      <w:divBdr>
        <w:top w:val="none" w:sz="0" w:space="0" w:color="auto"/>
        <w:left w:val="none" w:sz="0" w:space="0" w:color="auto"/>
        <w:bottom w:val="none" w:sz="0" w:space="0" w:color="auto"/>
        <w:right w:val="none" w:sz="0" w:space="0" w:color="auto"/>
      </w:divBdr>
      <w:divsChild>
        <w:div w:id="1193809239">
          <w:marLeft w:val="0"/>
          <w:marRight w:val="0"/>
          <w:marTop w:val="0"/>
          <w:marBottom w:val="0"/>
          <w:divBdr>
            <w:top w:val="none" w:sz="0" w:space="0" w:color="auto"/>
            <w:left w:val="none" w:sz="0" w:space="0" w:color="auto"/>
            <w:bottom w:val="none" w:sz="0" w:space="0" w:color="auto"/>
            <w:right w:val="none" w:sz="0" w:space="0" w:color="auto"/>
          </w:divBdr>
        </w:div>
      </w:divsChild>
    </w:div>
    <w:div w:id="750470597">
      <w:bodyDiv w:val="1"/>
      <w:marLeft w:val="0"/>
      <w:marRight w:val="0"/>
      <w:marTop w:val="0"/>
      <w:marBottom w:val="0"/>
      <w:divBdr>
        <w:top w:val="none" w:sz="0" w:space="0" w:color="auto"/>
        <w:left w:val="none" w:sz="0" w:space="0" w:color="auto"/>
        <w:bottom w:val="none" w:sz="0" w:space="0" w:color="auto"/>
        <w:right w:val="none" w:sz="0" w:space="0" w:color="auto"/>
      </w:divBdr>
      <w:divsChild>
        <w:div w:id="541020003">
          <w:marLeft w:val="0"/>
          <w:marRight w:val="0"/>
          <w:marTop w:val="0"/>
          <w:marBottom w:val="0"/>
          <w:divBdr>
            <w:top w:val="none" w:sz="0" w:space="0" w:color="auto"/>
            <w:left w:val="none" w:sz="0" w:space="0" w:color="auto"/>
            <w:bottom w:val="none" w:sz="0" w:space="0" w:color="auto"/>
            <w:right w:val="none" w:sz="0" w:space="0" w:color="auto"/>
          </w:divBdr>
        </w:div>
        <w:div w:id="723873925">
          <w:marLeft w:val="0"/>
          <w:marRight w:val="0"/>
          <w:marTop w:val="0"/>
          <w:marBottom w:val="0"/>
          <w:divBdr>
            <w:top w:val="none" w:sz="0" w:space="0" w:color="auto"/>
            <w:left w:val="none" w:sz="0" w:space="0" w:color="auto"/>
            <w:bottom w:val="none" w:sz="0" w:space="0" w:color="auto"/>
            <w:right w:val="none" w:sz="0" w:space="0" w:color="auto"/>
          </w:divBdr>
        </w:div>
        <w:div w:id="1481924238">
          <w:marLeft w:val="0"/>
          <w:marRight w:val="0"/>
          <w:marTop w:val="0"/>
          <w:marBottom w:val="0"/>
          <w:divBdr>
            <w:top w:val="none" w:sz="0" w:space="0" w:color="auto"/>
            <w:left w:val="none" w:sz="0" w:space="0" w:color="auto"/>
            <w:bottom w:val="none" w:sz="0" w:space="0" w:color="auto"/>
            <w:right w:val="none" w:sz="0" w:space="0" w:color="auto"/>
          </w:divBdr>
        </w:div>
      </w:divsChild>
    </w:div>
    <w:div w:id="775514852">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47672208">
      <w:bodyDiv w:val="1"/>
      <w:marLeft w:val="0"/>
      <w:marRight w:val="0"/>
      <w:marTop w:val="0"/>
      <w:marBottom w:val="0"/>
      <w:divBdr>
        <w:top w:val="none" w:sz="0" w:space="0" w:color="auto"/>
        <w:left w:val="none" w:sz="0" w:space="0" w:color="auto"/>
        <w:bottom w:val="none" w:sz="0" w:space="0" w:color="auto"/>
        <w:right w:val="none" w:sz="0" w:space="0" w:color="auto"/>
      </w:divBdr>
      <w:divsChild>
        <w:div w:id="165825579">
          <w:marLeft w:val="547"/>
          <w:marRight w:val="0"/>
          <w:marTop w:val="0"/>
          <w:marBottom w:val="0"/>
          <w:divBdr>
            <w:top w:val="none" w:sz="0" w:space="0" w:color="auto"/>
            <w:left w:val="none" w:sz="0" w:space="0" w:color="auto"/>
            <w:bottom w:val="none" w:sz="0" w:space="0" w:color="auto"/>
            <w:right w:val="none" w:sz="0" w:space="0" w:color="auto"/>
          </w:divBdr>
        </w:div>
      </w:divsChild>
    </w:div>
    <w:div w:id="927076827">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271921">
      <w:bodyDiv w:val="1"/>
      <w:marLeft w:val="0"/>
      <w:marRight w:val="0"/>
      <w:marTop w:val="0"/>
      <w:marBottom w:val="0"/>
      <w:divBdr>
        <w:top w:val="none" w:sz="0" w:space="0" w:color="auto"/>
        <w:left w:val="none" w:sz="0" w:space="0" w:color="auto"/>
        <w:bottom w:val="none" w:sz="0" w:space="0" w:color="auto"/>
        <w:right w:val="none" w:sz="0" w:space="0" w:color="auto"/>
      </w:divBdr>
      <w:divsChild>
        <w:div w:id="1682318693">
          <w:marLeft w:val="0"/>
          <w:marRight w:val="0"/>
          <w:marTop w:val="0"/>
          <w:marBottom w:val="0"/>
          <w:divBdr>
            <w:top w:val="none" w:sz="0" w:space="0" w:color="auto"/>
            <w:left w:val="none" w:sz="0" w:space="0" w:color="auto"/>
            <w:bottom w:val="none" w:sz="0" w:space="0" w:color="auto"/>
            <w:right w:val="none" w:sz="0" w:space="0" w:color="auto"/>
          </w:divBdr>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110514018">
      <w:bodyDiv w:val="1"/>
      <w:marLeft w:val="0"/>
      <w:marRight w:val="0"/>
      <w:marTop w:val="0"/>
      <w:marBottom w:val="0"/>
      <w:divBdr>
        <w:top w:val="none" w:sz="0" w:space="0" w:color="auto"/>
        <w:left w:val="none" w:sz="0" w:space="0" w:color="auto"/>
        <w:bottom w:val="none" w:sz="0" w:space="0" w:color="auto"/>
        <w:right w:val="none" w:sz="0" w:space="0" w:color="auto"/>
      </w:divBdr>
    </w:div>
    <w:div w:id="1118523134">
      <w:bodyDiv w:val="1"/>
      <w:marLeft w:val="0"/>
      <w:marRight w:val="0"/>
      <w:marTop w:val="0"/>
      <w:marBottom w:val="0"/>
      <w:divBdr>
        <w:top w:val="none" w:sz="0" w:space="0" w:color="auto"/>
        <w:left w:val="none" w:sz="0" w:space="0" w:color="auto"/>
        <w:bottom w:val="none" w:sz="0" w:space="0" w:color="auto"/>
        <w:right w:val="none" w:sz="0" w:space="0" w:color="auto"/>
      </w:divBdr>
      <w:divsChild>
        <w:div w:id="1694459304">
          <w:marLeft w:val="0"/>
          <w:marRight w:val="0"/>
          <w:marTop w:val="0"/>
          <w:marBottom w:val="0"/>
          <w:divBdr>
            <w:top w:val="none" w:sz="0" w:space="0" w:color="auto"/>
            <w:left w:val="none" w:sz="0" w:space="0" w:color="auto"/>
            <w:bottom w:val="none" w:sz="0" w:space="0" w:color="auto"/>
            <w:right w:val="none" w:sz="0" w:space="0" w:color="auto"/>
          </w:divBdr>
        </w:div>
      </w:divsChild>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259749996">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47904867">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12193871">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79630439">
      <w:bodyDiv w:val="1"/>
      <w:marLeft w:val="0"/>
      <w:marRight w:val="0"/>
      <w:marTop w:val="0"/>
      <w:marBottom w:val="0"/>
      <w:divBdr>
        <w:top w:val="none" w:sz="0" w:space="0" w:color="auto"/>
        <w:left w:val="none" w:sz="0" w:space="0" w:color="auto"/>
        <w:bottom w:val="none" w:sz="0" w:space="0" w:color="auto"/>
        <w:right w:val="none" w:sz="0" w:space="0" w:color="auto"/>
      </w:divBdr>
    </w:div>
    <w:div w:id="1630550952">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704596015">
      <w:bodyDiv w:val="1"/>
      <w:marLeft w:val="0"/>
      <w:marRight w:val="0"/>
      <w:marTop w:val="0"/>
      <w:marBottom w:val="0"/>
      <w:divBdr>
        <w:top w:val="none" w:sz="0" w:space="0" w:color="auto"/>
        <w:left w:val="none" w:sz="0" w:space="0" w:color="auto"/>
        <w:bottom w:val="none" w:sz="0" w:space="0" w:color="auto"/>
        <w:right w:val="none" w:sz="0" w:space="0" w:color="auto"/>
      </w:divBdr>
      <w:divsChild>
        <w:div w:id="791094978">
          <w:marLeft w:val="547"/>
          <w:marRight w:val="0"/>
          <w:marTop w:val="0"/>
          <w:marBottom w:val="0"/>
          <w:divBdr>
            <w:top w:val="none" w:sz="0" w:space="0" w:color="auto"/>
            <w:left w:val="none" w:sz="0" w:space="0" w:color="auto"/>
            <w:bottom w:val="none" w:sz="0" w:space="0" w:color="auto"/>
            <w:right w:val="none" w:sz="0" w:space="0" w:color="auto"/>
          </w:divBdr>
        </w:div>
      </w:divsChild>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17895530">
      <w:bodyDiv w:val="1"/>
      <w:marLeft w:val="0"/>
      <w:marRight w:val="0"/>
      <w:marTop w:val="0"/>
      <w:marBottom w:val="0"/>
      <w:divBdr>
        <w:top w:val="none" w:sz="0" w:space="0" w:color="auto"/>
        <w:left w:val="none" w:sz="0" w:space="0" w:color="auto"/>
        <w:bottom w:val="none" w:sz="0" w:space="0" w:color="auto"/>
        <w:right w:val="none" w:sz="0" w:space="0" w:color="auto"/>
      </w:divBdr>
      <w:divsChild>
        <w:div w:id="1924561867">
          <w:marLeft w:val="0"/>
          <w:marRight w:val="0"/>
          <w:marTop w:val="0"/>
          <w:marBottom w:val="0"/>
          <w:divBdr>
            <w:top w:val="none" w:sz="0" w:space="0" w:color="auto"/>
            <w:left w:val="none" w:sz="0" w:space="0" w:color="auto"/>
            <w:bottom w:val="none" w:sz="0" w:space="0" w:color="auto"/>
            <w:right w:val="none" w:sz="0" w:space="0" w:color="auto"/>
          </w:divBdr>
        </w:div>
      </w:divsChild>
    </w:div>
    <w:div w:id="1772237862">
      <w:bodyDiv w:val="1"/>
      <w:marLeft w:val="0"/>
      <w:marRight w:val="0"/>
      <w:marTop w:val="0"/>
      <w:marBottom w:val="0"/>
      <w:divBdr>
        <w:top w:val="none" w:sz="0" w:space="0" w:color="auto"/>
        <w:left w:val="none" w:sz="0" w:space="0" w:color="auto"/>
        <w:bottom w:val="none" w:sz="0" w:space="0" w:color="auto"/>
        <w:right w:val="none" w:sz="0" w:space="0" w:color="auto"/>
      </w:divBdr>
    </w:div>
    <w:div w:id="1793741521">
      <w:bodyDiv w:val="1"/>
      <w:marLeft w:val="0"/>
      <w:marRight w:val="0"/>
      <w:marTop w:val="0"/>
      <w:marBottom w:val="0"/>
      <w:divBdr>
        <w:top w:val="none" w:sz="0" w:space="0" w:color="auto"/>
        <w:left w:val="none" w:sz="0" w:space="0" w:color="auto"/>
        <w:bottom w:val="none" w:sz="0" w:space="0" w:color="auto"/>
        <w:right w:val="none" w:sz="0" w:space="0" w:color="auto"/>
      </w:divBdr>
      <w:divsChild>
        <w:div w:id="1422530100">
          <w:marLeft w:val="0"/>
          <w:marRight w:val="0"/>
          <w:marTop w:val="0"/>
          <w:marBottom w:val="0"/>
          <w:divBdr>
            <w:top w:val="none" w:sz="0" w:space="0" w:color="auto"/>
            <w:left w:val="none" w:sz="0" w:space="0" w:color="auto"/>
            <w:bottom w:val="none" w:sz="0" w:space="0" w:color="auto"/>
            <w:right w:val="none" w:sz="0" w:space="0" w:color="auto"/>
          </w:divBdr>
        </w:div>
      </w:divsChild>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54552080">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2490924">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inance.gov.au/government/commonwealth-grants/commonwealth-grants-rules-and-guidelines" TargetMode="External"/><Relationship Id="rId21" Type="http://schemas.openxmlformats.org/officeDocument/2006/relationships/footer" Target="footer4.xml"/><Relationship Id="rId42" Type="http://schemas.openxmlformats.org/officeDocument/2006/relationships/hyperlink" Target="http://www.grants.gov.au/" TargetMode="External"/><Relationship Id="rId47" Type="http://schemas.openxmlformats.org/officeDocument/2006/relationships/hyperlink" Target="http://www8.austlii.edu.au/cgi-bin/viewdoc/au/legis/cth/consol_act/cca1995115/sch1.html" TargetMode="External"/><Relationship Id="rId63" Type="http://schemas.openxmlformats.org/officeDocument/2006/relationships/hyperlink" Target="https://help.grants.gov.au/" TargetMode="External"/><Relationship Id="rId68" Type="http://schemas.openxmlformats.org/officeDocument/2006/relationships/hyperlink" Target="http://www.ombudsman.gov.au" TargetMode="External"/><Relationship Id="rId84" Type="http://schemas.openxmlformats.org/officeDocument/2006/relationships/hyperlink" Target="https://www.finance.gov.au/resource-management/pgpa-glossary/consolidated-revenue-fund/" TargetMode="External"/><Relationship Id="rId89"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niaa.gov.au/about-niaa/contact-us/regional-offices-around-australia" TargetMode="External"/><Relationship Id="rId107" Type="http://schemas.openxmlformats.org/officeDocument/2006/relationships/header" Target="header11.xml"/><Relationship Id="rId11" Type="http://schemas.openxmlformats.org/officeDocument/2006/relationships/endnotes" Target="endnotes.xml"/><Relationship Id="rId24" Type="http://schemas.openxmlformats.org/officeDocument/2006/relationships/hyperlink" Target="https://www.grants.gov.au/" TargetMode="External"/><Relationship Id="rId32" Type="http://schemas.openxmlformats.org/officeDocument/2006/relationships/hyperlink" Target="https://www.nationalredress.gov.au/" TargetMode="External"/><Relationship Id="rId37" Type="http://schemas.openxmlformats.org/officeDocument/2006/relationships/hyperlink" Target="https://www.legislation.gov.au/C2006A00124/latest/text" TargetMode="External"/><Relationship Id="rId40" Type="http://schemas.openxmlformats.org/officeDocument/2006/relationships/hyperlink" Target="https://www.niaa.gov.au/resource-centre/community-development-program-cdp-regions" TargetMode="External"/><Relationship Id="rId45" Type="http://schemas.openxmlformats.org/officeDocument/2006/relationships/hyperlink" Target="http://www.grants.gov.au/" TargetMode="External"/><Relationship Id="rId53" Type="http://schemas.openxmlformats.org/officeDocument/2006/relationships/hyperlink" Target="https://www.grants.gov.au/?event=public.GO.list" TargetMode="External"/><Relationship Id="rId58" Type="http://schemas.openxmlformats.org/officeDocument/2006/relationships/hyperlink" Target="https://www.ato.gov.au/forms-and-instructions/recipient-created-tax-invoices" TargetMode="External"/><Relationship Id="rId66" Type="http://schemas.openxmlformats.org/officeDocument/2006/relationships/hyperlink" Target="http://www.ombudsman.gov.au/" TargetMode="External"/><Relationship Id="rId74" Type="http://schemas.openxmlformats.org/officeDocument/2006/relationships/hyperlink" Target="https://www.oaic.gov.au/privacy-law/privacy-act/australian-privacy-principles" TargetMode="External"/><Relationship Id="rId79" Type="http://schemas.openxmlformats.org/officeDocument/2006/relationships/hyperlink" Target="https://www.finance.gov.au/sites/default/files/commonwealth-grants-rules-and-guidelines.pdf" TargetMode="External"/><Relationship Id="rId87" Type="http://schemas.openxmlformats.org/officeDocument/2006/relationships/hyperlink" Target="https://www.abs.gov.au/websitedbs/D3310114.nsf/home/remoteness+structure" TargetMode="External"/><Relationship Id="rId102" Type="http://schemas.openxmlformats.org/officeDocument/2006/relationships/hyperlink" Target="https://www.niaa.gov.au/our-work/grants-and-funding" TargetMode="External"/><Relationship Id="rId5" Type="http://schemas.openxmlformats.org/officeDocument/2006/relationships/customXml" Target="../customXml/item5.xml"/><Relationship Id="rId61" Type="http://schemas.openxmlformats.org/officeDocument/2006/relationships/hyperlink" Target="http://cgrgs/" TargetMode="External"/><Relationship Id="rId82" Type="http://schemas.openxmlformats.org/officeDocument/2006/relationships/hyperlink" Target="http://www.oric.gov.au" TargetMode="External"/><Relationship Id="rId90" Type="http://schemas.openxmlformats.org/officeDocument/2006/relationships/header" Target="header8.xml"/><Relationship Id="rId95" Type="http://schemas.openxmlformats.org/officeDocument/2006/relationships/hyperlink" Target="https://www.legislation.gov.au/Series/C2004A00818" TargetMode="External"/><Relationship Id="rId19" Type="http://schemas.openxmlformats.org/officeDocument/2006/relationships/footer" Target="footer3.xml"/><Relationship Id="rId14" Type="http://schemas.openxmlformats.org/officeDocument/2006/relationships/footer" Target="footer1.xml"/><Relationship Id="rId22" Type="http://schemas.openxmlformats.org/officeDocument/2006/relationships/hyperlink" Target="https://www.finance.gov.au/sites/default/files/commonwealth-grants-rules-and-guidelines.pdf" TargetMode="External"/><Relationship Id="rId27" Type="http://schemas.openxmlformats.org/officeDocument/2006/relationships/hyperlink" Target="https://www.niaa.gov.au/sites/default/files/documents/publications/Community%20Development%20Program%20Regions%20List%20and%20Map%20-%20Aug%202023.pdf" TargetMode="External"/><Relationship Id="rId30" Type="http://schemas.openxmlformats.org/officeDocument/2006/relationships/hyperlink" Target="https://www.grants.gov.au/" TargetMode="External"/><Relationship Id="rId35" Type="http://schemas.openxmlformats.org/officeDocument/2006/relationships/hyperlink" Target="https://www.legislation.gov.au/Series/C2004A00818" TargetMode="External"/><Relationship Id="rId43" Type="http://schemas.openxmlformats.org/officeDocument/2006/relationships/hyperlink" Target="http://www.grants.gov.au/" TargetMode="External"/><Relationship Id="rId48" Type="http://schemas.openxmlformats.org/officeDocument/2006/relationships/hyperlink" Target="https://www.niaa.gov.au/about-niaa/contact-us/regional-offices-around-australia" TargetMode="External"/><Relationship Id="rId56" Type="http://schemas.openxmlformats.org/officeDocument/2006/relationships/hyperlink" Target="https://www.niaa.gov.au/about-niaa/contact-us/regional-offices-around-australia" TargetMode="External"/><Relationship Id="rId64" Type="http://schemas.openxmlformats.org/officeDocument/2006/relationships/hyperlink" Target="https://www.niaa.gov.au/about-niaa/contact-us/regional-offices-around-australia" TargetMode="External"/><Relationship Id="rId69" Type="http://schemas.openxmlformats.org/officeDocument/2006/relationships/hyperlink" Target="http://www.apsc.gov.au/publications-and-media/current-publications/aps-values-and-code-of-conduct-in-practice/conflict-of-interest" TargetMode="External"/><Relationship Id="rId77" Type="http://schemas.openxmlformats.org/officeDocument/2006/relationships/hyperlink" Target="mailto:foi@niaa.gov.au" TargetMode="External"/><Relationship Id="rId100" Type="http://schemas.openxmlformats.org/officeDocument/2006/relationships/hyperlink" Target="https://www.legislation.gov.au/Series/C2004A00818" TargetMode="External"/><Relationship Id="rId105" Type="http://schemas.openxmlformats.org/officeDocument/2006/relationships/header" Target="header10.xml"/><Relationship Id="rId8" Type="http://schemas.openxmlformats.org/officeDocument/2006/relationships/settings" Target="settings.xml"/><Relationship Id="rId51" Type="http://schemas.openxmlformats.org/officeDocument/2006/relationships/hyperlink" Target="https://www.grants.gov.au/" TargetMode="External"/><Relationship Id="rId72" Type="http://schemas.openxmlformats.org/officeDocument/2006/relationships/hyperlink" Target="https://www.legislation.gov.au/Series/C2004A00538" TargetMode="External"/><Relationship Id="rId80" Type="http://schemas.openxmlformats.org/officeDocument/2006/relationships/hyperlink" Target="https://asic.gov.au/" TargetMode="External"/><Relationship Id="rId85" Type="http://schemas.openxmlformats.org/officeDocument/2006/relationships/hyperlink" Target="http://www.grants.gov.au/" TargetMode="External"/><Relationship Id="rId93" Type="http://schemas.openxmlformats.org/officeDocument/2006/relationships/hyperlink" Target="https://www.legislation.gov.au/Series/C2006A00124" TargetMode="External"/><Relationship Id="rId98" Type="http://schemas.openxmlformats.org/officeDocument/2006/relationships/hyperlink" Target="https://www.legislation.gov.au/Series/C2006A00124" TargetMode="External"/><Relationship Id="rId3" Type="http://schemas.openxmlformats.org/officeDocument/2006/relationships/customXml" Target="../customXml/item3.xml"/><Relationship Id="rId12" Type="http://schemas.openxmlformats.org/officeDocument/2006/relationships/hyperlink" Target="https://www.grants.gov.au/" TargetMode="External"/><Relationship Id="rId17" Type="http://schemas.openxmlformats.org/officeDocument/2006/relationships/header" Target="header3.xml"/><Relationship Id="rId25" Type="http://schemas.openxmlformats.org/officeDocument/2006/relationships/hyperlink" Target="https://www.closingthegap.gov.au/national-agreement/targets" TargetMode="External"/><Relationship Id="rId33" Type="http://schemas.openxmlformats.org/officeDocument/2006/relationships/hyperlink" Target="https://www.legislation.gov.au/C2004A03332/latest/text" TargetMode="External"/><Relationship Id="rId38" Type="http://schemas.openxmlformats.org/officeDocument/2006/relationships/hyperlink" Target="https://www.ombudsman.gov.au/__data/assets/pdf_file/0014/35600/Commonwealth-Ombudsman-Fact-Sheet-Use-of-intepreters-With-edits-from-Director-SST.pdf" TargetMode="External"/><Relationship Id="rId46" Type="http://schemas.openxmlformats.org/officeDocument/2006/relationships/hyperlink" Target="mailto:IASAMO@niaa.gov.au" TargetMode="External"/><Relationship Id="rId59" Type="http://schemas.openxmlformats.org/officeDocument/2006/relationships/hyperlink" Target="https://www.ato.gov.au/" TargetMode="External"/><Relationship Id="rId67" Type="http://schemas.openxmlformats.org/officeDocument/2006/relationships/hyperlink" Target="mailto:ombudsman@ombudsman.gov.au" TargetMode="External"/><Relationship Id="rId103" Type="http://schemas.openxmlformats.org/officeDocument/2006/relationships/hyperlink" Target="http://www.ato.gov.au/" TargetMode="External"/><Relationship Id="rId108" Type="http://schemas.openxmlformats.org/officeDocument/2006/relationships/fontTable" Target="fontTable.xml"/><Relationship Id="rId20" Type="http://schemas.openxmlformats.org/officeDocument/2006/relationships/header" Target="header5.xml"/><Relationship Id="rId41" Type="http://schemas.openxmlformats.org/officeDocument/2006/relationships/hyperlink" Target="http://www.grants.gov.au/" TargetMode="External"/><Relationship Id="rId54" Type="http://schemas.openxmlformats.org/officeDocument/2006/relationships/hyperlink" Target="https://www.legislation.gov.au/Details/C2018C00293" TargetMode="External"/><Relationship Id="rId62" Type="http://schemas.openxmlformats.org/officeDocument/2006/relationships/hyperlink" Target="file://prod.protected.ind/User/user03/LLau2/insert%20link%20here" TargetMode="External"/><Relationship Id="rId70" Type="http://schemas.openxmlformats.org/officeDocument/2006/relationships/hyperlink" Target="http://www.apsc.gov.au/publications-and-media/current-publications/aps-values-and-code-of-conduct-in-practice/conflict-of-interest" TargetMode="External"/><Relationship Id="rId75" Type="http://schemas.openxmlformats.org/officeDocument/2006/relationships/hyperlink" Target="https://www.niaa.gov.au/pmc/who-we-are/accountability-and-reporting/privacy-policy" TargetMode="External"/><Relationship Id="rId83" Type="http://schemas.openxmlformats.org/officeDocument/2006/relationships/hyperlink" Target="https://www.niaa.gov.au/indigenous-affairs/empowered-communities" TargetMode="External"/><Relationship Id="rId88" Type="http://schemas.openxmlformats.org/officeDocument/2006/relationships/header" Target="header6.xml"/><Relationship Id="rId91" Type="http://schemas.openxmlformats.org/officeDocument/2006/relationships/hyperlink" Target="https://www.legislation.gov.au/Details/C2019C00054" TargetMode="External"/><Relationship Id="rId96" Type="http://schemas.openxmlformats.org/officeDocument/2006/relationships/hyperlink" Target="https://www.legislation.gov.au/Series/C2006A00124"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grants.gov.au/" TargetMode="External"/><Relationship Id="rId28" Type="http://schemas.openxmlformats.org/officeDocument/2006/relationships/hyperlink" Target="https://www.closingthegap.gov.au/national-agreement/targets" TargetMode="External"/><Relationship Id="rId36" Type="http://schemas.openxmlformats.org/officeDocument/2006/relationships/hyperlink" Target="https://www.legislation.gov.au/Series/C2004A00818" TargetMode="External"/><Relationship Id="rId49" Type="http://schemas.openxmlformats.org/officeDocument/2006/relationships/hyperlink" Target="https://www.ato.gov.au/Forms/Statement-by-a-supplier-not-quoting-an-ABN/" TargetMode="External"/><Relationship Id="rId57" Type="http://schemas.openxmlformats.org/officeDocument/2006/relationships/hyperlink" Target="https://www.ato.gov.au/Business/GST/Registering-for-GST/" TargetMode="External"/><Relationship Id="rId106" Type="http://schemas.openxmlformats.org/officeDocument/2006/relationships/footer" Target="footer5.xml"/><Relationship Id="rId10" Type="http://schemas.openxmlformats.org/officeDocument/2006/relationships/footnotes" Target="footnotes.xml"/><Relationship Id="rId31" Type="http://schemas.openxmlformats.org/officeDocument/2006/relationships/hyperlink" Target="https://www.legislation.gov.au/Series/C2006A00124" TargetMode="External"/><Relationship Id="rId44" Type="http://schemas.openxmlformats.org/officeDocument/2006/relationships/hyperlink" Target="http://www.grants.gov.au/" TargetMode="External"/><Relationship Id="rId52" Type="http://schemas.openxmlformats.org/officeDocument/2006/relationships/hyperlink" Target="https://www.finance.gov.au/government/commonwealth-grants/commonwealth-grants-rules-and-guidelines" TargetMode="External"/><Relationship Id="rId60" Type="http://schemas.openxmlformats.org/officeDocument/2006/relationships/hyperlink" Target="https://www.grants.gov.au/?event=public.GO.list" TargetMode="External"/><Relationship Id="rId65" Type="http://schemas.openxmlformats.org/officeDocument/2006/relationships/hyperlink" Target="mailto:complaints@niaa.gov.au" TargetMode="External"/><Relationship Id="rId73" Type="http://schemas.openxmlformats.org/officeDocument/2006/relationships/hyperlink" Target="https://www.legislation.gov.au/Details/C2014C00076" TargetMode="External"/><Relationship Id="rId78" Type="http://schemas.openxmlformats.org/officeDocument/2006/relationships/hyperlink" Target="http://www.finance.gov.au/resource-management/pgpa-legislation-rules-and-associated-instruments/" TargetMode="External"/><Relationship Id="rId81" Type="http://schemas.openxmlformats.org/officeDocument/2006/relationships/hyperlink" Target="https://www.legislation.gov.au/Series/C2006A00124" TargetMode="External"/><Relationship Id="rId86" Type="http://schemas.openxmlformats.org/officeDocument/2006/relationships/hyperlink" Target="https://www.budget.gov.au/2018-19/content/pbs/index.html" TargetMode="External"/><Relationship Id="rId94" Type="http://schemas.openxmlformats.org/officeDocument/2006/relationships/hyperlink" Target="https://www.legislation.gov.au/Series/C2004A00818" TargetMode="External"/><Relationship Id="rId99" Type="http://schemas.openxmlformats.org/officeDocument/2006/relationships/hyperlink" Target="https://www.legislation.gov.au/Series/C2006A00124" TargetMode="External"/><Relationship Id="rId101" Type="http://schemas.openxmlformats.org/officeDocument/2006/relationships/hyperlink" Target="http://www.niaa.gov.au"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9" Type="http://schemas.openxmlformats.org/officeDocument/2006/relationships/hyperlink" Target="https://www.dss.gov.au/disability-and-australias-disability-strategy-2021-2031" TargetMode="External"/><Relationship Id="rId109" Type="http://schemas.openxmlformats.org/officeDocument/2006/relationships/theme" Target="theme/theme1.xml"/><Relationship Id="rId34" Type="http://schemas.openxmlformats.org/officeDocument/2006/relationships/hyperlink" Target="https://www.legislation.gov.au/C2006A00124/latest/text" TargetMode="External"/><Relationship Id="rId50" Type="http://schemas.openxmlformats.org/officeDocument/2006/relationships/hyperlink" Target="https://www.niaa.gov.au/contact-us/regional-network-addresses" TargetMode="External"/><Relationship Id="rId55" Type="http://schemas.openxmlformats.org/officeDocument/2006/relationships/hyperlink" Target="https://www.legislation.gov.au/Series/C2004A03712" TargetMode="External"/><Relationship Id="rId76" Type="http://schemas.openxmlformats.org/officeDocument/2006/relationships/hyperlink" Target="https://www.legislation.gov.au/Series/C2004A02562" TargetMode="External"/><Relationship Id="rId97" Type="http://schemas.openxmlformats.org/officeDocument/2006/relationships/hyperlink" Target="http://www.dpmc.gov.au/indigenous-affairs/incorporation-requirements" TargetMode="External"/><Relationship Id="rId104" Type="http://schemas.openxmlformats.org/officeDocument/2006/relationships/header" Target="header9.xml"/><Relationship Id="rId7" Type="http://schemas.openxmlformats.org/officeDocument/2006/relationships/styles" Target="styles.xml"/><Relationship Id="rId71" Type="http://schemas.openxmlformats.org/officeDocument/2006/relationships/hyperlink" Target="http://www8.austlii.edu.au/cgi-bin/viewdoc/au/legis/cth/consol_act/psa1999152/s13.html" TargetMode="External"/><Relationship Id="rId92" Type="http://schemas.openxmlformats.org/officeDocument/2006/relationships/hyperlink" Target="https://www.grants.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to.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C0318A2FA23948AE8CAE9DCB0EDA23" ma:contentTypeVersion="0" ma:contentTypeDescription="Create a new document." ma:contentTypeScope="" ma:versionID="f5698517a8af1ccb0f0c1e8598e4f68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FB93F321-44F9-4470-99DB-8EAACAA4E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6CD72F2-7E69-4DA2-8BB5-BF40B7F2B4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DDB4F3-F915-4D4F-AA71-F7BE3E8E2986}">
  <ds:schemaRefs>
    <ds:schemaRef ds:uri="http://schemas.microsoft.com/sharepoint/v3/contenttype/forms"/>
  </ds:schemaRefs>
</ds:datastoreItem>
</file>

<file path=customXml/itemProps5.xml><?xml version="1.0" encoding="utf-8"?>
<ds:datastoreItem xmlns:ds="http://schemas.openxmlformats.org/officeDocument/2006/customXml" ds:itemID="{1E9FE86A-A8EC-4D08-B4B8-49DB688AC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16694</Words>
  <Characters>95159</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111630</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2024-07-01T00:42:00Z</dcterms:created>
  <dcterms:modified xsi:type="dcterms:W3CDTF">2024-07-10T06:52:00Z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0x010100C9C0318A2FA23948AE8CAE9DCB0EDA23</vt:lpwstr>
  </property>
  <property fmtid="{D5CDD505-2E9C-101B-9397-08002B2CF9AE}" pid="3" name="HPRMSecurityLevel">
    <vt:lpwstr>1;#OFFICIAL|11463c70-78df-4e3b-b0ff-f66cd3cb26ec</vt:lpwstr>
  </property>
  <property fmtid="{D5CDD505-2E9C-101B-9397-08002B2CF9AE}" pid="4" name="HPRMSecurityCaveat">
    <vt:lpwstr/>
  </property>
  <property fmtid="{D5CDD505-2E9C-101B-9397-08002B2CF9AE}" pid="5" name="mc5611b894cf49d8aeeb8ebf39dc09bc">
    <vt:lpwstr>OFFICIAL|11463c70-78df-4e3b-b0ff-f66cd3cb26ec</vt:lpwstr>
  </property>
  <property fmtid="{D5CDD505-2E9C-101B-9397-08002B2CF9AE}" pid="6" name="jd1c641577414dfdab1686c9d5d0dbd0">
    <vt:lpwstr/>
  </property>
  <property fmtid="{D5CDD505-2E9C-101B-9397-08002B2CF9AE}" pid="7" name="ShareHubID">
    <vt:lpwstr>PDOC24-100373</vt:lpwstr>
  </property>
  <property fmtid="{D5CDD505-2E9C-101B-9397-08002B2CF9AE}" pid="8" name="TaxCatchAll">
    <vt:lpwstr>1;#OFFICIAL|11463c70-78df-4e3b-b0ff-f66cd3cb26ec</vt:lpwstr>
  </property>
</Properties>
</file>