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bookmarkStart w:id="1" w:name="_GoBack" w:displacedByCustomXml="prev"/>
        <w:bookmarkEnd w:id="1" w:displacedByCustomXml="prev"/>
        <w:p w14:paraId="027C0F44" w14:textId="0914036A" w:rsidR="00733692" w:rsidRPr="00733692" w:rsidRDefault="00733692" w:rsidP="00733692">
          <w:pPr>
            <w:pStyle w:val="Title"/>
          </w:pPr>
          <w:r w:rsidRPr="00733692">
            <w:t xml:space="preserve">Community Development Program (CDP) </w:t>
          </w:r>
          <w:r w:rsidR="004A78CB">
            <w:t>March 2024</w:t>
          </w:r>
          <w:r w:rsidR="00201D23">
            <w:t xml:space="preserve"> </w:t>
          </w:r>
          <w:r w:rsidRPr="00733692">
            <w:t>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534C06">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4022870A" w14:textId="04EB8511" w:rsidR="00A835FD" w:rsidRDefault="00534C06">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07A36753" w14:textId="6A60AFA3" w:rsidR="00A835FD" w:rsidRPr="00A835FD" w:rsidRDefault="00534C06">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2BF82B7" w14:textId="135D5207" w:rsidR="00A835FD" w:rsidRPr="00A835FD" w:rsidRDefault="00534C06">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8067CBA" w14:textId="776C0B95" w:rsidR="00A835FD" w:rsidRDefault="00534C06">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1BEBA1AC" w14:textId="58192416" w:rsidR="00A835FD" w:rsidRDefault="00534C06">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39A5FC81" w14:textId="5714808E" w:rsidR="00A835FD" w:rsidRDefault="00534C06">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FD4C378" w14:textId="4E60BD7C" w:rsidR="00A835FD" w:rsidRDefault="00534C06">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105BADEF" w14:textId="18376D4C" w:rsidR="00A835FD" w:rsidRDefault="00534C06">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82C6D69" w14:textId="7038477A" w:rsidR="00A835FD" w:rsidRPr="00A835FD" w:rsidRDefault="00534C06">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4B6E28D7" w14:textId="31EBF289" w:rsidR="00A835FD" w:rsidRPr="00A835FD" w:rsidRDefault="00534C06">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C2195D2" w14:textId="7BDDAB4B" w:rsidR="00A835FD" w:rsidRPr="00A835FD" w:rsidRDefault="00534C06">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F7D91B4" w14:textId="2CD3D5D0" w:rsidR="00A835FD" w:rsidRPr="00A835FD" w:rsidRDefault="00534C06">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5F4B55E5" w14:textId="62FCE77D" w:rsidR="00A835FD" w:rsidRDefault="00534C06">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4A78CB">
              <w:rPr>
                <w:rStyle w:val="Hyperlink"/>
                <w:noProof/>
              </w:rPr>
              <w:t>31 March 2024</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682B122C" w14:textId="4333E084" w:rsidR="00A835FD" w:rsidRDefault="00534C06">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576515F9" w14:textId="46F091F6" w:rsidR="00A835FD" w:rsidRDefault="00534C06">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5C08D230" w14:textId="243C8EBB" w:rsidR="00A835FD" w:rsidRPr="00A835FD" w:rsidRDefault="00534C06">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9746862" w14:textId="79F3A689" w:rsidR="00A835FD" w:rsidRPr="00A835FD" w:rsidRDefault="00534C06">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61D5557C" w14:textId="4C046535" w:rsidR="00A835FD" w:rsidRDefault="00534C06">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03D66BD" w14:textId="7FE8DD89" w:rsidR="00A835FD" w:rsidRDefault="00534C06">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5E9B41B1" w14:textId="5CCF9966" w:rsidR="00A835FD" w:rsidRDefault="00534C06">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053405C3" w14:textId="34A6BBBE" w:rsidR="00A835FD" w:rsidRPr="00A835FD" w:rsidRDefault="00534C06">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37CDB0E1" w14:textId="0BF07404" w:rsidR="00A835FD" w:rsidRPr="00A835FD" w:rsidRDefault="00534C06">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9077390" w14:textId="5C348FAE" w:rsidR="00A835FD" w:rsidRPr="00A835FD" w:rsidRDefault="00534C06">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DE9549F" w14:textId="25434CDC" w:rsidR="00A835FD" w:rsidRPr="00A835FD" w:rsidRDefault="00534C06">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5B603486" w14:textId="5D23DA71" w:rsidR="00A835FD" w:rsidRDefault="00534C06">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14CBCD94" w14:textId="698BC8C1" w:rsidR="00A835FD" w:rsidRPr="00A835FD" w:rsidRDefault="00534C06">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99A5286" w14:textId="7B567E02" w:rsidR="00A835FD" w:rsidRPr="00A835FD" w:rsidRDefault="00534C06">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5CBB84" w14:textId="1CA3818E" w:rsidR="00A835FD" w:rsidRPr="00A835FD" w:rsidRDefault="00534C06">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9292D0" w14:textId="75043B70" w:rsidR="00A835FD" w:rsidRPr="00A835FD" w:rsidRDefault="00534C06">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721729EC" w14:textId="6FDED001" w:rsidR="00A835FD" w:rsidRDefault="00534C06">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7DB0464E" w14:textId="61C38357" w:rsidR="00A835FD" w:rsidRPr="00A835FD" w:rsidRDefault="00534C06">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6E861D0A" w14:textId="24C33E51" w:rsidR="00A835FD" w:rsidRPr="00A835FD" w:rsidRDefault="00534C06">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A14E878" w14:textId="6B5D89CC" w:rsidR="00A835FD" w:rsidRPr="00A835FD" w:rsidRDefault="00534C06">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F27035B" w14:textId="01120220" w:rsidR="00A835FD" w:rsidRPr="00A835FD" w:rsidRDefault="00534C06">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6B8AA01" w14:textId="1D9BA6A6" w:rsidR="00A835FD" w:rsidRPr="00A835FD" w:rsidRDefault="00534C06">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55EAA3A" w14:textId="2BFFD3CE" w:rsidR="00A835FD" w:rsidRDefault="00534C06"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BB53FF2" w14:textId="4F84CB60" w:rsidR="00A835FD" w:rsidRPr="00A835FD" w:rsidRDefault="00534C06"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3630EB0" w14:textId="6F4F23A5" w:rsidR="00A835FD" w:rsidRPr="00A835FD" w:rsidRDefault="00534C06"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1A3765BC" w14:textId="7F93333D" w:rsidR="00A835FD" w:rsidRPr="00A835FD" w:rsidRDefault="00534C06"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5A469112" w14:textId="3CFE851B" w:rsidR="00A835FD" w:rsidRDefault="00534C06">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384D15" w14:textId="1DEED506" w:rsidR="00A835FD" w:rsidRPr="00A835FD" w:rsidRDefault="00534C06">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AF20DE5" w14:textId="32F76C2E" w:rsidR="00A835FD" w:rsidRPr="00A835FD" w:rsidRDefault="00534C06">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30C0047" w14:textId="1E1537DA" w:rsidR="00A835FD" w:rsidRPr="00A835FD" w:rsidRDefault="00534C06">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5E7387D2" w14:textId="09A4D878" w:rsidR="00A835FD" w:rsidRPr="00A835FD" w:rsidRDefault="00534C06">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4A78CB">
              <w:rPr>
                <w:rStyle w:val="Hyperlink"/>
                <w:noProof/>
              </w:rPr>
              <w:t>1 January</w:t>
            </w:r>
            <w:r w:rsidR="002B0AA9">
              <w:rPr>
                <w:rStyle w:val="Hyperlink"/>
                <w:noProof/>
              </w:rPr>
              <w:t xml:space="preserve"> to </w:t>
            </w:r>
            <w:r w:rsidR="004A78CB">
              <w:rPr>
                <w:rStyle w:val="Hyperlink"/>
                <w:noProof/>
              </w:rPr>
              <w:t>31 March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112E6FF0" w14:textId="422B0F82" w:rsidR="00A835FD" w:rsidRDefault="00534C06">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1B840FF2"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w:t>
      </w:r>
      <w:r w:rsidRPr="00D3672D">
        <w:rPr>
          <w:b/>
          <w:bCs/>
        </w:rPr>
        <w:lastRenderedPageBreak/>
        <w:t>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2" w:name="_Toc30005435"/>
      <w:r w:rsidRPr="00325EF7">
        <w:t>Part A</w:t>
      </w:r>
      <w:bookmarkEnd w:id="2"/>
      <w:bookmarkEnd w:id="0"/>
    </w:p>
    <w:p w14:paraId="00FBB707" w14:textId="5C703A45"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4A78CB">
        <w:t>31 March 2024</w:t>
      </w:r>
    </w:p>
    <w:tbl>
      <w:tblPr>
        <w:tblStyle w:val="TableGrid"/>
        <w:tblpPr w:leftFromText="180" w:rightFromText="180" w:vertAnchor="text" w:tblpY="1"/>
        <w:tblW w:w="4956" w:type="pct"/>
        <w:tblLook w:val="04A0" w:firstRow="1" w:lastRow="0" w:firstColumn="1" w:lastColumn="0" w:noHBand="0" w:noVBand="1"/>
        <w:tblCaption w:val="1. Number of active job seekers and job seekers with a vulnerability indicator as at 31 March 2024"/>
        <w:tblDescription w:val="Active CDP job seekers&#10;Number of CDP job seekers with a vulnerability indicator&#10;% of all CDP job seekers with a vulnerability indicator&#10;"/>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05D15439" w:rsidR="008947F9" w:rsidRDefault="00860272" w:rsidP="00C26F02">
            <w:pPr>
              <w:jc w:val="center"/>
            </w:pPr>
            <w:r>
              <w:t>38,302</w:t>
            </w:r>
          </w:p>
        </w:tc>
        <w:tc>
          <w:tcPr>
            <w:tcW w:w="1855" w:type="pct"/>
            <w:vAlign w:val="center"/>
          </w:tcPr>
          <w:p w14:paraId="41BB90B8" w14:textId="0A4693F2" w:rsidR="008947F9" w:rsidRDefault="00860272" w:rsidP="00C26F02">
            <w:pPr>
              <w:jc w:val="center"/>
            </w:pPr>
            <w:r>
              <w:t>3,259</w:t>
            </w:r>
          </w:p>
        </w:tc>
        <w:tc>
          <w:tcPr>
            <w:tcW w:w="1693" w:type="pct"/>
            <w:vAlign w:val="center"/>
          </w:tcPr>
          <w:p w14:paraId="53ABBDE1" w14:textId="50A666DB" w:rsidR="008947F9" w:rsidRDefault="00860272" w:rsidP="00C26F02">
            <w:pPr>
              <w:jc w:val="center"/>
            </w:pPr>
            <w:r>
              <w:t>9</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356BDC31" w14:textId="2E6FFBCD" w:rsidR="005412A2"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8B109E">
        <w:rPr>
          <w:rFonts w:ascii="Arial" w:hAnsi="Arial" w:cs="Arial"/>
          <w:i/>
        </w:rPr>
        <w:t xml:space="preserve">- </w:t>
      </w:r>
      <w:r w:rsidR="008B109E" w:rsidRPr="008B109E">
        <w:rPr>
          <w:rFonts w:ascii="Arial" w:hAnsi="Arial" w:cs="Arial"/>
          <w:i/>
        </w:rPr>
        <w:t>1 January 2024 to 31 March 2024</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07E0CD" w14:textId="43352E32" w:rsidR="002B0AA9" w:rsidRDefault="004A78CB" w:rsidP="005412A2">
            <w:pPr>
              <w:pStyle w:val="Heading2"/>
              <w:numPr>
                <w:ilvl w:val="0"/>
                <w:numId w:val="0"/>
              </w:numPr>
              <w:spacing w:before="120" w:after="120"/>
              <w:jc w:val="center"/>
              <w:outlineLvl w:val="1"/>
              <w:rPr>
                <w:rFonts w:ascii="Gill Sans MT" w:hAnsi="Gill Sans MT"/>
              </w:rPr>
            </w:pPr>
            <w:r>
              <w:rPr>
                <w:rFonts w:cs="Arial"/>
                <w:i/>
              </w:rPr>
              <w:t>1 January 2024</w:t>
            </w:r>
            <w:r w:rsidR="002B0AA9">
              <w:rPr>
                <w:rFonts w:cs="Arial"/>
                <w:i/>
              </w:rPr>
              <w:t xml:space="preserve"> to </w:t>
            </w:r>
            <w:r>
              <w:rPr>
                <w:rFonts w:cs="Arial"/>
                <w:i/>
              </w:rPr>
              <w:t>31 March 2024</w:t>
            </w:r>
          </w:p>
        </w:tc>
      </w:tr>
      <w:tr w:rsidR="002B0AA9" w14:paraId="41DC3F46" w14:textId="77777777" w:rsidTr="00E6058C">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tcBorders>
              <w:bottom w:val="single" w:sz="4" w:space="0" w:color="auto"/>
            </w:tcBorders>
            <w:vAlign w:val="center"/>
          </w:tcPr>
          <w:p w14:paraId="34CE04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tcBorders>
              <w:bottom w:val="single" w:sz="4" w:space="0" w:color="auto"/>
            </w:tcBorders>
            <w:vAlign w:val="center"/>
          </w:tcPr>
          <w:p w14:paraId="5E803D53"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860272" w14:paraId="1D2F7F2F" w14:textId="77777777" w:rsidTr="00AA3A36">
        <w:trPr>
          <w:trHeight w:val="450"/>
        </w:trPr>
        <w:tc>
          <w:tcPr>
            <w:tcW w:w="5837" w:type="dxa"/>
          </w:tcPr>
          <w:p w14:paraId="3974279D"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tcBorders>
              <w:top w:val="single" w:sz="4" w:space="0" w:color="auto"/>
              <w:left w:val="nil"/>
              <w:bottom w:val="single" w:sz="4" w:space="0" w:color="auto"/>
              <w:right w:val="single" w:sz="4" w:space="0" w:color="auto"/>
            </w:tcBorders>
            <w:shd w:val="clear" w:color="auto" w:fill="auto"/>
          </w:tcPr>
          <w:p w14:paraId="38207AF1" w14:textId="3F6DD1EE"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73,478</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1193F46" w14:textId="004C17D6"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50.5%</w:t>
            </w:r>
          </w:p>
        </w:tc>
      </w:tr>
      <w:tr w:rsidR="00860272" w14:paraId="586DB653" w14:textId="77777777" w:rsidTr="00AA3A36">
        <w:trPr>
          <w:trHeight w:val="464"/>
        </w:trPr>
        <w:tc>
          <w:tcPr>
            <w:tcW w:w="5837" w:type="dxa"/>
          </w:tcPr>
          <w:p w14:paraId="422EE286"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tcBorders>
              <w:top w:val="single" w:sz="4" w:space="0" w:color="auto"/>
              <w:left w:val="nil"/>
              <w:bottom w:val="single" w:sz="4" w:space="0" w:color="auto"/>
              <w:right w:val="single" w:sz="4" w:space="0" w:color="auto"/>
            </w:tcBorders>
            <w:shd w:val="clear" w:color="auto" w:fill="auto"/>
          </w:tcPr>
          <w:p w14:paraId="1BB50E37" w14:textId="023B211F"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30,176</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BEF1E2A" w14:textId="0A1F35E9"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20.7%</w:t>
            </w:r>
          </w:p>
        </w:tc>
      </w:tr>
      <w:tr w:rsidR="00860272" w14:paraId="563074DA" w14:textId="77777777" w:rsidTr="00AA3A36">
        <w:trPr>
          <w:trHeight w:val="464"/>
        </w:trPr>
        <w:tc>
          <w:tcPr>
            <w:tcW w:w="5837" w:type="dxa"/>
          </w:tcPr>
          <w:p w14:paraId="03F86107"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tcBorders>
              <w:top w:val="single" w:sz="4" w:space="0" w:color="auto"/>
              <w:left w:val="nil"/>
              <w:bottom w:val="single" w:sz="4" w:space="0" w:color="auto"/>
              <w:right w:val="single" w:sz="4" w:space="0" w:color="auto"/>
            </w:tcBorders>
            <w:shd w:val="clear" w:color="auto" w:fill="auto"/>
          </w:tcPr>
          <w:p w14:paraId="6AAEF8F8" w14:textId="6A63D351"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37,746</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5924179" w14:textId="54C77979"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25.9%</w:t>
            </w:r>
          </w:p>
        </w:tc>
      </w:tr>
      <w:tr w:rsidR="00860272" w14:paraId="41B80A8E" w14:textId="77777777" w:rsidTr="00AA3A36">
        <w:trPr>
          <w:trHeight w:val="450"/>
        </w:trPr>
        <w:tc>
          <w:tcPr>
            <w:tcW w:w="5837" w:type="dxa"/>
          </w:tcPr>
          <w:p w14:paraId="1BFFC1B0"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tcBorders>
              <w:top w:val="single" w:sz="4" w:space="0" w:color="auto"/>
              <w:left w:val="nil"/>
              <w:bottom w:val="single" w:sz="4" w:space="0" w:color="auto"/>
              <w:right w:val="single" w:sz="4" w:space="0" w:color="auto"/>
            </w:tcBorders>
            <w:shd w:val="clear" w:color="auto" w:fill="auto"/>
          </w:tcPr>
          <w:p w14:paraId="3DB64565" w14:textId="038BE736"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4,135</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1490FFF9" w14:textId="707A470A"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2.8%</w:t>
            </w:r>
          </w:p>
        </w:tc>
      </w:tr>
      <w:tr w:rsidR="00860272" w:rsidRPr="00116BAB" w14:paraId="016DFDE8" w14:textId="77777777" w:rsidTr="00AA3A36">
        <w:trPr>
          <w:trHeight w:val="464"/>
        </w:trPr>
        <w:tc>
          <w:tcPr>
            <w:tcW w:w="5837" w:type="dxa"/>
          </w:tcPr>
          <w:p w14:paraId="4C79CCF1"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Borders>
              <w:top w:val="single" w:sz="4" w:space="0" w:color="auto"/>
              <w:left w:val="nil"/>
              <w:bottom w:val="single" w:sz="4" w:space="0" w:color="auto"/>
              <w:right w:val="single" w:sz="4" w:space="0" w:color="auto"/>
            </w:tcBorders>
            <w:shd w:val="clear" w:color="auto" w:fill="auto"/>
          </w:tcPr>
          <w:p w14:paraId="77B80DD8" w14:textId="1E0435A2"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72,057</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AF7FE91" w14:textId="2E463DD7"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Gill Sans MT"/>
                <w:b w:val="0"/>
                <w:bCs w:val="0"/>
                <w:color w:val="000000"/>
                <w:szCs w:val="22"/>
              </w:rPr>
              <w:t>49.5%</w:t>
            </w:r>
          </w:p>
        </w:tc>
      </w:tr>
      <w:tr w:rsidR="00860272" w:rsidRPr="00116BAB" w14:paraId="230B5C8D" w14:textId="77777777" w:rsidTr="00AA3A36">
        <w:trPr>
          <w:trHeight w:val="450"/>
        </w:trPr>
        <w:tc>
          <w:tcPr>
            <w:tcW w:w="5837" w:type="dxa"/>
          </w:tcPr>
          <w:p w14:paraId="73B26B65"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Borders>
              <w:top w:val="single" w:sz="4" w:space="0" w:color="auto"/>
              <w:left w:val="nil"/>
              <w:bottom w:val="single" w:sz="4" w:space="0" w:color="auto"/>
              <w:right w:val="single" w:sz="4" w:space="0" w:color="auto"/>
            </w:tcBorders>
            <w:shd w:val="clear" w:color="auto" w:fill="auto"/>
          </w:tcPr>
          <w:p w14:paraId="1ECEF1CA" w14:textId="57BF3865" w:rsidR="00860272" w:rsidRPr="00860272" w:rsidRDefault="00860272" w:rsidP="00860272">
            <w:pPr>
              <w:pStyle w:val="Heading2"/>
              <w:numPr>
                <w:ilvl w:val="0"/>
                <w:numId w:val="0"/>
              </w:numPr>
              <w:spacing w:before="120" w:after="120"/>
              <w:jc w:val="center"/>
              <w:outlineLvl w:val="1"/>
              <w:rPr>
                <w:rFonts w:ascii="Gill Sans MT" w:hAnsi="Gill Sans MT"/>
                <w:szCs w:val="22"/>
              </w:rPr>
            </w:pPr>
            <w:r w:rsidRPr="00860272">
              <w:rPr>
                <w:rFonts w:ascii="Gill Sans MT" w:hAnsi="Gill Sans MT" w:cs="Gill Sans MT"/>
                <w:color w:val="000000"/>
                <w:szCs w:val="22"/>
              </w:rPr>
              <w:t>145,535</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041E8736" w14:textId="78B26E99" w:rsidR="00860272" w:rsidRPr="00860272" w:rsidRDefault="00860272" w:rsidP="00860272">
            <w:pPr>
              <w:pStyle w:val="Heading2"/>
              <w:numPr>
                <w:ilvl w:val="0"/>
                <w:numId w:val="0"/>
              </w:numPr>
              <w:spacing w:before="120" w:after="120"/>
              <w:jc w:val="center"/>
              <w:outlineLvl w:val="1"/>
              <w:rPr>
                <w:rFonts w:ascii="Gill Sans MT" w:hAnsi="Gill Sans MT"/>
                <w:szCs w:val="22"/>
              </w:rPr>
            </w:pPr>
            <w:r w:rsidRPr="00860272">
              <w:rPr>
                <w:rFonts w:ascii="Gill Sans MT" w:hAnsi="Gill Sans MT" w:cs="Gill Sans MT"/>
                <w:color w:val="000000"/>
                <w:szCs w:val="22"/>
              </w:rPr>
              <w:t>100%</w:t>
            </w:r>
          </w:p>
        </w:tc>
      </w:tr>
    </w:tbl>
    <w:p w14:paraId="79DAE400" w14:textId="22C16A43" w:rsidR="005412A2"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8B109E">
        <w:rPr>
          <w:rFonts w:ascii="Arial" w:hAnsi="Arial" w:cs="Arial"/>
          <w:i/>
        </w:rPr>
        <w:t xml:space="preserve">- </w:t>
      </w:r>
      <w:r w:rsidR="008B109E" w:rsidRPr="008B109E">
        <w:rPr>
          <w:rFonts w:ascii="Arial" w:hAnsi="Arial" w:cs="Arial"/>
          <w:i/>
        </w:rPr>
        <w:t>1 January 2024 to 31 March 2024</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3E3E34D0" w14:textId="29F4E3B3" w:rsidR="002B0AA9" w:rsidRDefault="004A78CB" w:rsidP="005412A2">
            <w:pPr>
              <w:pStyle w:val="Heading2"/>
              <w:numPr>
                <w:ilvl w:val="0"/>
                <w:numId w:val="0"/>
              </w:numPr>
              <w:spacing w:before="120" w:after="120"/>
              <w:jc w:val="center"/>
              <w:outlineLvl w:val="1"/>
              <w:rPr>
                <w:rFonts w:ascii="Gill Sans MT" w:hAnsi="Gill Sans MT"/>
              </w:rPr>
            </w:pPr>
            <w:r>
              <w:rPr>
                <w:rFonts w:cs="Arial"/>
                <w:i/>
              </w:rPr>
              <w:t>1 January 2024</w:t>
            </w:r>
            <w:r w:rsidR="002B0AA9">
              <w:rPr>
                <w:rFonts w:cs="Arial"/>
                <w:i/>
              </w:rPr>
              <w:t xml:space="preserve"> to </w:t>
            </w:r>
            <w:r>
              <w:rPr>
                <w:rFonts w:cs="Arial"/>
                <w:i/>
              </w:rPr>
              <w:t>31 March 2024</w:t>
            </w:r>
          </w:p>
        </w:tc>
      </w:tr>
      <w:tr w:rsidR="002B0AA9" w14:paraId="00D8609C" w14:textId="77777777" w:rsidTr="00E6058C">
        <w:trPr>
          <w:tblHeader/>
        </w:trPr>
        <w:tc>
          <w:tcPr>
            <w:tcW w:w="4120" w:type="dxa"/>
          </w:tcPr>
          <w:p w14:paraId="71E48BDD"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tcBorders>
              <w:bottom w:val="single" w:sz="4" w:space="0" w:color="auto"/>
            </w:tcBorders>
            <w:vAlign w:val="center"/>
          </w:tcPr>
          <w:p w14:paraId="67D68AF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tcBorders>
              <w:bottom w:val="single" w:sz="4" w:space="0" w:color="auto"/>
            </w:tcBorders>
            <w:vAlign w:val="center"/>
          </w:tcPr>
          <w:p w14:paraId="2C9E960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860272" w14:paraId="2739F5A9" w14:textId="77777777" w:rsidTr="00AA3A36">
        <w:tc>
          <w:tcPr>
            <w:tcW w:w="4120" w:type="dxa"/>
          </w:tcPr>
          <w:p w14:paraId="07FEFFD7"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single" w:sz="4" w:space="0" w:color="auto"/>
              <w:left w:val="nil"/>
              <w:bottom w:val="single" w:sz="4" w:space="0" w:color="auto"/>
              <w:right w:val="single" w:sz="4" w:space="0" w:color="auto"/>
            </w:tcBorders>
            <w:shd w:val="clear" w:color="auto" w:fill="auto"/>
          </w:tcPr>
          <w:p w14:paraId="5CA9934D" w14:textId="74172E71"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21,124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084DF27" w14:textId="7A1851B0"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89.1%</w:t>
            </w:r>
          </w:p>
        </w:tc>
      </w:tr>
      <w:tr w:rsidR="00860272" w14:paraId="718D2281" w14:textId="77777777" w:rsidTr="00AA3A36">
        <w:tc>
          <w:tcPr>
            <w:tcW w:w="4120" w:type="dxa"/>
          </w:tcPr>
          <w:p w14:paraId="7592234B" w14:textId="77777777" w:rsidR="00860272" w:rsidRPr="00116BAB" w:rsidRDefault="00860272" w:rsidP="00860272">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Borders>
              <w:top w:val="single" w:sz="4" w:space="0" w:color="auto"/>
              <w:left w:val="nil"/>
              <w:bottom w:val="single" w:sz="4" w:space="0" w:color="auto"/>
              <w:right w:val="single" w:sz="4" w:space="0" w:color="auto"/>
            </w:tcBorders>
            <w:shd w:val="clear" w:color="auto" w:fill="auto"/>
          </w:tcPr>
          <w:p w14:paraId="0260D85B" w14:textId="1202BC6F"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884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858C1F2" w14:textId="3E00F486"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3.7%</w:t>
            </w:r>
          </w:p>
        </w:tc>
      </w:tr>
      <w:tr w:rsidR="00860272" w14:paraId="391C379D" w14:textId="77777777" w:rsidTr="00AA3A36">
        <w:tc>
          <w:tcPr>
            <w:tcW w:w="4120" w:type="dxa"/>
          </w:tcPr>
          <w:p w14:paraId="4E71B1FD" w14:textId="77777777" w:rsidR="00860272" w:rsidRPr="0046777C"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Borders>
              <w:top w:val="single" w:sz="4" w:space="0" w:color="auto"/>
              <w:left w:val="nil"/>
              <w:bottom w:val="single" w:sz="4" w:space="0" w:color="auto"/>
              <w:right w:val="single" w:sz="4" w:space="0" w:color="auto"/>
            </w:tcBorders>
            <w:shd w:val="clear" w:color="auto" w:fill="auto"/>
          </w:tcPr>
          <w:p w14:paraId="7AC60BF3" w14:textId="45B18016"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1,700</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C56FB4" w14:textId="19FE0733"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7.2%</w:t>
            </w:r>
          </w:p>
        </w:tc>
      </w:tr>
      <w:tr w:rsidR="00860272" w:rsidRPr="00116BAB" w14:paraId="181037B3" w14:textId="77777777" w:rsidTr="00AA3A36">
        <w:tc>
          <w:tcPr>
            <w:tcW w:w="4120" w:type="dxa"/>
          </w:tcPr>
          <w:p w14:paraId="0A8E5D3A"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Borders>
              <w:top w:val="single" w:sz="4" w:space="0" w:color="auto"/>
              <w:left w:val="nil"/>
              <w:bottom w:val="single" w:sz="4" w:space="0" w:color="auto"/>
              <w:right w:val="single" w:sz="4" w:space="0" w:color="auto"/>
            </w:tcBorders>
            <w:shd w:val="clear" w:color="auto" w:fill="auto"/>
          </w:tcPr>
          <w:p w14:paraId="129B2FB9" w14:textId="4166EE51"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2,584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68281C7" w14:textId="137BFB27" w:rsidR="00860272" w:rsidRPr="00860272" w:rsidRDefault="00860272" w:rsidP="00860272">
            <w:pPr>
              <w:pStyle w:val="Heading2"/>
              <w:numPr>
                <w:ilvl w:val="0"/>
                <w:numId w:val="0"/>
              </w:numPr>
              <w:spacing w:before="120" w:after="120"/>
              <w:jc w:val="center"/>
              <w:outlineLvl w:val="1"/>
              <w:rPr>
                <w:rFonts w:ascii="Gill Sans MT" w:hAnsi="Gill Sans MT"/>
                <w:b w:val="0"/>
                <w:bCs w:val="0"/>
                <w:szCs w:val="22"/>
              </w:rPr>
            </w:pPr>
            <w:r w:rsidRPr="00860272">
              <w:rPr>
                <w:rFonts w:ascii="Gill Sans MT" w:hAnsi="Gill Sans MT" w:cs="Arial"/>
                <w:b w:val="0"/>
                <w:bCs w:val="0"/>
                <w:color w:val="000000"/>
                <w:szCs w:val="22"/>
              </w:rPr>
              <w:t>10.9%</w:t>
            </w:r>
          </w:p>
        </w:tc>
      </w:tr>
      <w:tr w:rsidR="00860272" w:rsidRPr="00116BAB" w14:paraId="5A75F26F" w14:textId="77777777" w:rsidTr="00AA3A36">
        <w:tc>
          <w:tcPr>
            <w:tcW w:w="4120" w:type="dxa"/>
          </w:tcPr>
          <w:p w14:paraId="413583E7" w14:textId="77777777" w:rsidR="00860272" w:rsidRPr="00116BAB" w:rsidRDefault="00860272" w:rsidP="00860272">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Borders>
              <w:top w:val="single" w:sz="4" w:space="0" w:color="auto"/>
              <w:left w:val="nil"/>
              <w:bottom w:val="single" w:sz="4" w:space="0" w:color="auto"/>
              <w:right w:val="single" w:sz="4" w:space="0" w:color="auto"/>
            </w:tcBorders>
            <w:shd w:val="clear" w:color="auto" w:fill="auto"/>
          </w:tcPr>
          <w:p w14:paraId="3D11FF66" w14:textId="165EC13E" w:rsidR="00860272" w:rsidRPr="00860272" w:rsidRDefault="00860272" w:rsidP="00860272">
            <w:pPr>
              <w:pStyle w:val="Heading2"/>
              <w:numPr>
                <w:ilvl w:val="0"/>
                <w:numId w:val="0"/>
              </w:numPr>
              <w:spacing w:before="120" w:after="120"/>
              <w:jc w:val="center"/>
              <w:outlineLvl w:val="1"/>
              <w:rPr>
                <w:rFonts w:ascii="Gill Sans MT" w:hAnsi="Gill Sans MT"/>
                <w:szCs w:val="22"/>
              </w:rPr>
            </w:pPr>
            <w:r w:rsidRPr="00860272">
              <w:rPr>
                <w:rFonts w:ascii="Gill Sans MT" w:hAnsi="Gill Sans MT" w:cs="Arial"/>
                <w:color w:val="000000"/>
                <w:szCs w:val="22"/>
              </w:rPr>
              <w:t>23,708</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67FB4A8" w14:textId="38504FCE" w:rsidR="00860272" w:rsidRPr="00860272" w:rsidRDefault="00860272" w:rsidP="00860272">
            <w:pPr>
              <w:pStyle w:val="Heading2"/>
              <w:numPr>
                <w:ilvl w:val="0"/>
                <w:numId w:val="0"/>
              </w:numPr>
              <w:spacing w:before="120" w:after="120"/>
              <w:jc w:val="center"/>
              <w:outlineLvl w:val="1"/>
              <w:rPr>
                <w:rFonts w:ascii="Gill Sans MT" w:hAnsi="Gill Sans MT"/>
                <w:szCs w:val="22"/>
              </w:rPr>
            </w:pPr>
            <w:r w:rsidRPr="00860272">
              <w:rPr>
                <w:rFonts w:ascii="Gill Sans MT" w:hAnsi="Gill Sans MT" w:cs="Arial"/>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Number of income support payment suspensions for job seekers missing appointment with their provider or third party &#10;Number of income support payment suspensions for job seekers following disengagement from an activity &#10;Total Income Support Payment Suspensions"/>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73286DE8" w:rsidR="008D181C" w:rsidRPr="00C26F02" w:rsidRDefault="004A78CB" w:rsidP="008D181C">
            <w:pPr>
              <w:spacing w:before="0"/>
              <w:ind w:left="-142" w:firstLine="142"/>
              <w:rPr>
                <w:rFonts w:ascii="Arial" w:hAnsi="Arial" w:cs="Arial"/>
                <w:i/>
              </w:rPr>
            </w:pPr>
            <w:r>
              <w:rPr>
                <w:rFonts w:ascii="Arial" w:hAnsi="Arial" w:cs="Arial"/>
                <w:i/>
              </w:rPr>
              <w:t>1 January 2024</w:t>
            </w:r>
            <w:r w:rsidR="002B0AA9" w:rsidRPr="00C26F02">
              <w:rPr>
                <w:rFonts w:ascii="Arial" w:hAnsi="Arial" w:cs="Arial"/>
                <w:i/>
              </w:rPr>
              <w:t xml:space="preserve"> to </w:t>
            </w:r>
            <w:r>
              <w:rPr>
                <w:rFonts w:ascii="Arial" w:hAnsi="Arial" w:cs="Arial"/>
                <w:i/>
              </w:rPr>
              <w:t>31 March 2024</w:t>
            </w:r>
          </w:p>
        </w:tc>
        <w:tc>
          <w:tcPr>
            <w:tcW w:w="1163" w:type="pct"/>
            <w:vAlign w:val="center"/>
          </w:tcPr>
          <w:p w14:paraId="794490AB" w14:textId="4F0279D4" w:rsidR="008D181C" w:rsidRPr="00C26F02" w:rsidRDefault="0086027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33,935</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42C4E023" w:rsidR="008D181C" w:rsidRPr="00C26F02" w:rsidRDefault="0086027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33,935</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p>
    <w:tbl>
      <w:tblPr>
        <w:tblStyle w:val="CenterAlignTable"/>
        <w:tblW w:w="5000" w:type="pct"/>
        <w:tblInd w:w="0" w:type="dxa"/>
        <w:tblLook w:val="04A0" w:firstRow="1" w:lastRow="0" w:firstColumn="1" w:lastColumn="0" w:noHBand="0" w:noVBand="1"/>
        <w:tblCaption w:val="4. Number of Non-Attendance Reports, Participation Reports and Provider Appointment Reports"/>
        <w:tblDescription w:val="Number of Non-Attendance Reports &#10;Number of Non-Attendance Reports as a % of non-attended appointments without a valid reason&#10;Number of Participation Reports and Provider Appointment Reports &#10;"/>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291E6BEA" w:rsidR="00A67E67" w:rsidRDefault="004A78CB" w:rsidP="00296DD8">
            <w:pPr>
              <w:autoSpaceDE w:val="0"/>
              <w:autoSpaceDN w:val="0"/>
              <w:adjustRightInd w:val="0"/>
              <w:spacing w:before="0"/>
              <w:ind w:left="0"/>
              <w:rPr>
                <w:rFonts w:ascii="Arial" w:hAnsi="Arial" w:cs="Arial"/>
                <w:i/>
              </w:rPr>
            </w:pPr>
            <w:r>
              <w:rPr>
                <w:rFonts w:ascii="Arial" w:hAnsi="Arial" w:cs="Arial"/>
                <w:i/>
              </w:rPr>
              <w:t>1 January 2024</w:t>
            </w:r>
            <w:r w:rsidR="002B0AA9">
              <w:rPr>
                <w:rFonts w:ascii="Arial" w:hAnsi="Arial" w:cs="Arial"/>
                <w:i/>
              </w:rPr>
              <w:t xml:space="preserve"> to </w:t>
            </w:r>
            <w:r>
              <w:rPr>
                <w:rFonts w:ascii="Arial" w:hAnsi="Arial" w:cs="Arial"/>
                <w:i/>
              </w:rPr>
              <w:t>31 March 2024</w:t>
            </w:r>
          </w:p>
        </w:tc>
        <w:tc>
          <w:tcPr>
            <w:tcW w:w="1160" w:type="pct"/>
            <w:vAlign w:val="center"/>
          </w:tcPr>
          <w:p w14:paraId="348D6897" w14:textId="18D4FB1D" w:rsidR="00A67E67" w:rsidRPr="00C26F02" w:rsidRDefault="0086027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36,916</w:t>
            </w:r>
          </w:p>
        </w:tc>
        <w:tc>
          <w:tcPr>
            <w:tcW w:w="1577" w:type="pct"/>
            <w:vAlign w:val="center"/>
          </w:tcPr>
          <w:p w14:paraId="2FF22B65" w14:textId="3FD42B90" w:rsidR="00A67E67" w:rsidRPr="00A67E67" w:rsidRDefault="0086027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88.1</w:t>
            </w:r>
            <w:r w:rsidR="00C26F02">
              <w:rPr>
                <w:rFonts w:cs="Gill Sans MT"/>
                <w:color w:val="000000"/>
              </w:rPr>
              <w:t>%</w:t>
            </w:r>
          </w:p>
        </w:tc>
        <w:tc>
          <w:tcPr>
            <w:tcW w:w="1103" w:type="pct"/>
            <w:vAlign w:val="center"/>
          </w:tcPr>
          <w:p w14:paraId="7877808E" w14:textId="12C9E698" w:rsidR="00A67E67" w:rsidRPr="00A67E67" w:rsidRDefault="00AA3A36"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6E92CBC9" w:rsidR="00D1085F" w:rsidRDefault="00456F16" w:rsidP="00366AB0">
      <w:pPr>
        <w:pStyle w:val="Heading2"/>
        <w:spacing w:after="240"/>
        <w:ind w:left="-142" w:firstLine="142"/>
      </w:pPr>
      <w:bookmarkStart w:id="9" w:name="_Toc30005442"/>
      <w:r w:rsidRPr="00325EF7">
        <w:t xml:space="preserve">Reasons for providers reporting non-compliance to </w:t>
      </w:r>
      <w:r w:rsidR="00284489">
        <w:t>Services Australia</w:t>
      </w:r>
      <w:bookmarkEnd w:id="9"/>
      <w:r w:rsidR="008B109E">
        <w:t xml:space="preserve"> - </w:t>
      </w:r>
      <w:r w:rsidR="008B109E" w:rsidRPr="008B109E">
        <w:rPr>
          <w:rFonts w:cs="Arial"/>
        </w:rPr>
        <w:t>1 January 2024 to 31 March 2024</w:t>
      </w:r>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3FBF927B" w14:textId="2AE79EDE" w:rsidR="002B0AA9" w:rsidRDefault="004A78CB" w:rsidP="005412A2">
            <w:pPr>
              <w:pStyle w:val="Heading2"/>
              <w:numPr>
                <w:ilvl w:val="0"/>
                <w:numId w:val="0"/>
              </w:numPr>
              <w:spacing w:before="120" w:after="120"/>
              <w:jc w:val="center"/>
              <w:outlineLvl w:val="1"/>
              <w:rPr>
                <w:rFonts w:ascii="Gill Sans MT" w:hAnsi="Gill Sans MT"/>
              </w:rPr>
            </w:pPr>
            <w:r>
              <w:rPr>
                <w:rFonts w:cs="Arial"/>
                <w:i/>
              </w:rPr>
              <w:t>1 January 2024</w:t>
            </w:r>
            <w:r w:rsidR="002B0AA9">
              <w:rPr>
                <w:rFonts w:cs="Arial"/>
                <w:i/>
              </w:rPr>
              <w:t xml:space="preserve"> to </w:t>
            </w:r>
            <w:r>
              <w:rPr>
                <w:rFonts w:cs="Arial"/>
                <w:i/>
              </w:rPr>
              <w:t>31 March 2024</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038EC646" w:rsidR="002B0AA9" w:rsidRPr="000C0C08" w:rsidRDefault="00860272" w:rsidP="00C26F02">
            <w:pPr>
              <w:pStyle w:val="Heading2"/>
              <w:numPr>
                <w:ilvl w:val="0"/>
                <w:numId w:val="0"/>
              </w:numPr>
              <w:spacing w:before="120" w:after="120"/>
              <w:jc w:val="center"/>
              <w:outlineLvl w:val="1"/>
              <w:rPr>
                <w:rFonts w:ascii="Gill Sans MT" w:hAnsi="Gill Sans MT"/>
                <w:b w:val="0"/>
              </w:rPr>
            </w:pPr>
            <w:r>
              <w:rPr>
                <w:rFonts w:ascii="Gill Sans MT" w:hAnsi="Gill Sans MT"/>
                <w:b w:val="0"/>
              </w:rPr>
              <w:t>36,926</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17591B9D" w:rsidR="002B0AA9" w:rsidRPr="00C02E78" w:rsidRDefault="0086027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295442AA" w14:textId="239A8642" w:rsidR="002B0AA9" w:rsidRPr="002B27F7" w:rsidRDefault="00860272" w:rsidP="005412A2">
            <w:pPr>
              <w:pStyle w:val="Heading2"/>
              <w:numPr>
                <w:ilvl w:val="0"/>
                <w:numId w:val="0"/>
              </w:numPr>
              <w:spacing w:before="120" w:after="120"/>
              <w:jc w:val="center"/>
              <w:outlineLvl w:val="1"/>
              <w:rPr>
                <w:rFonts w:ascii="Gill Sans MT" w:hAnsi="Gill Sans MT"/>
              </w:rPr>
            </w:pPr>
            <w:r>
              <w:rPr>
                <w:rFonts w:ascii="Gill Sans MT" w:hAnsi="Gill Sans MT"/>
              </w:rPr>
              <w:t>36,926</w:t>
            </w:r>
          </w:p>
        </w:tc>
        <w:tc>
          <w:tcPr>
            <w:tcW w:w="2938" w:type="dxa"/>
            <w:vAlign w:val="center"/>
          </w:tcPr>
          <w:p w14:paraId="208E498E" w14:textId="234DCE09" w:rsidR="002B0AA9" w:rsidRPr="002B27F7" w:rsidRDefault="00C26F02" w:rsidP="005412A2">
            <w:pPr>
              <w:pStyle w:val="Heading2"/>
              <w:numPr>
                <w:ilvl w:val="0"/>
                <w:numId w:val="0"/>
              </w:numPr>
              <w:spacing w:before="120" w:after="120"/>
              <w:jc w:val="center"/>
              <w:outlineLvl w:val="1"/>
              <w:rPr>
                <w:rFonts w:ascii="Gill Sans MT" w:hAnsi="Gill Sans MT"/>
              </w:rPr>
            </w:pPr>
            <w:r w:rsidRPr="002B27F7">
              <w:rPr>
                <w:rFonts w:ascii="Gill Sans MT" w:hAnsi="Gill Sans MT"/>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20CFC91B" w14:textId="60D53CDC" w:rsidR="005412A2"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B109E">
        <w:rPr>
          <w:rFonts w:ascii="Arial" w:hAnsi="Arial" w:cs="Arial"/>
          <w:i/>
        </w:rPr>
        <w:t xml:space="preserve"> - </w:t>
      </w:r>
      <w:r w:rsidR="008B109E" w:rsidRPr="008B109E">
        <w:rPr>
          <w:rFonts w:ascii="Arial" w:hAnsi="Arial" w:cs="Arial"/>
          <w:i/>
        </w:rPr>
        <w:t>1 January 2024 to 31 March 2024</w:t>
      </w:r>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10E275BC" w14:textId="63938F91" w:rsidR="002B0AA9" w:rsidRDefault="004A78CB" w:rsidP="005412A2">
            <w:pPr>
              <w:pStyle w:val="Heading2"/>
              <w:numPr>
                <w:ilvl w:val="0"/>
                <w:numId w:val="0"/>
              </w:numPr>
              <w:spacing w:before="120" w:after="120"/>
              <w:jc w:val="center"/>
              <w:outlineLvl w:val="1"/>
              <w:rPr>
                <w:rFonts w:ascii="Gill Sans MT" w:hAnsi="Gill Sans MT"/>
              </w:rPr>
            </w:pPr>
            <w:r>
              <w:rPr>
                <w:rFonts w:cs="Arial"/>
                <w:i/>
              </w:rPr>
              <w:t>1 January 2024</w:t>
            </w:r>
            <w:r w:rsidR="002B0AA9">
              <w:rPr>
                <w:rFonts w:cs="Arial"/>
                <w:i/>
              </w:rPr>
              <w:t xml:space="preserve"> to </w:t>
            </w:r>
            <w:r>
              <w:rPr>
                <w:rFonts w:cs="Arial"/>
                <w:i/>
              </w:rPr>
              <w:t>31 March 2024</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42CD8B3" w14:textId="38D1CED5" w:rsidR="002B0AA9" w:rsidRPr="002619C1" w:rsidRDefault="0092491E"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378210B6" w14:textId="3CA91ADB" w:rsidR="002B0AA9" w:rsidRPr="002619C1" w:rsidRDefault="0092491E" w:rsidP="00E6058C">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7F41AF84" w:rsidR="002B0AA9" w:rsidRPr="002619C1" w:rsidRDefault="0092491E"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E4E6222" w14:textId="2836EB38" w:rsidR="002B0AA9" w:rsidRPr="002619C1" w:rsidRDefault="0092491E"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33F29F9D" w:rsidR="002B0AA9" w:rsidRPr="002B27F7" w:rsidRDefault="0092491E" w:rsidP="005412A2">
            <w:pPr>
              <w:pStyle w:val="Heading2"/>
              <w:numPr>
                <w:ilvl w:val="0"/>
                <w:numId w:val="0"/>
              </w:numPr>
              <w:spacing w:before="120" w:after="120"/>
              <w:jc w:val="center"/>
              <w:outlineLvl w:val="1"/>
              <w:rPr>
                <w:rFonts w:ascii="Gill Sans MT" w:hAnsi="Gill Sans MT"/>
                <w:szCs w:val="22"/>
              </w:rPr>
            </w:pPr>
            <w:r>
              <w:rPr>
                <w:rFonts w:ascii="Gill Sans MT" w:hAnsi="Gill Sans MT"/>
                <w:szCs w:val="22"/>
              </w:rPr>
              <w:t>&lt;20</w:t>
            </w:r>
          </w:p>
        </w:tc>
        <w:tc>
          <w:tcPr>
            <w:tcW w:w="2931" w:type="dxa"/>
            <w:vAlign w:val="center"/>
          </w:tcPr>
          <w:p w14:paraId="4AB438CB" w14:textId="415C7A3A" w:rsidR="002B0AA9" w:rsidRPr="002B27F7" w:rsidRDefault="0092491E" w:rsidP="005412A2">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r w:rsidR="00C26F02" w:rsidRPr="002B27F7">
              <w:rPr>
                <w:rFonts w:ascii="Gill Sans MT" w:hAnsi="Gill Sans MT"/>
                <w:szCs w:val="22"/>
              </w:rPr>
              <w:t>%</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28B667A0" w14:textId="7E251F59" w:rsidR="005412A2" w:rsidRPr="00325EF7" w:rsidRDefault="00954B8A" w:rsidP="005412A2">
      <w:pPr>
        <w:pStyle w:val="Heading3"/>
        <w:numPr>
          <w:ilvl w:val="0"/>
          <w:numId w:val="0"/>
        </w:num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r w:rsidR="001053D0" w:rsidRPr="001053D0">
        <w:rPr>
          <w:rFonts w:ascii="Arial" w:hAnsi="Arial" w:cs="Arial"/>
          <w:i/>
        </w:rPr>
        <w:br/>
      </w:r>
    </w:p>
    <w:tbl>
      <w:tblPr>
        <w:tblStyle w:val="TableGrid1"/>
        <w:tblW w:w="15031" w:type="dxa"/>
        <w:tblLayout w:type="fixed"/>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8B109E">
        <w:trPr>
          <w:trHeight w:hRule="exact" w:val="353"/>
          <w:tblHeader/>
        </w:trPr>
        <w:tc>
          <w:tcPr>
            <w:tcW w:w="6071" w:type="dxa"/>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8B109E">
        <w:trPr>
          <w:trHeight w:hRule="exact" w:val="343"/>
        </w:trPr>
        <w:tc>
          <w:tcPr>
            <w:tcW w:w="6071" w:type="dxa"/>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8B109E">
        <w:trPr>
          <w:trHeight w:hRule="exact" w:val="353"/>
        </w:trPr>
        <w:tc>
          <w:tcPr>
            <w:tcW w:w="6071" w:type="dxa"/>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8B109E">
        <w:trPr>
          <w:trHeight w:hRule="exact" w:val="355"/>
        </w:trPr>
        <w:tc>
          <w:tcPr>
            <w:tcW w:w="6071" w:type="dxa"/>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8B109E">
        <w:trPr>
          <w:trHeight w:hRule="exact" w:val="341"/>
        </w:trPr>
        <w:tc>
          <w:tcPr>
            <w:tcW w:w="6071" w:type="dxa"/>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8B109E">
        <w:trPr>
          <w:trHeight w:hRule="exact" w:val="355"/>
        </w:trPr>
        <w:tc>
          <w:tcPr>
            <w:tcW w:w="6071" w:type="dxa"/>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8B109E">
        <w:trPr>
          <w:trHeight w:hRule="exact" w:val="353"/>
        </w:trPr>
        <w:tc>
          <w:tcPr>
            <w:tcW w:w="6071" w:type="dxa"/>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8B109E">
        <w:trPr>
          <w:trHeight w:hRule="exact" w:val="358"/>
        </w:trPr>
        <w:tc>
          <w:tcPr>
            <w:tcW w:w="6071" w:type="dxa"/>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8B109E">
        <w:trPr>
          <w:trHeight w:hRule="exact" w:val="353"/>
        </w:trPr>
        <w:tc>
          <w:tcPr>
            <w:tcW w:w="6071" w:type="dxa"/>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8B109E">
        <w:trPr>
          <w:trHeight w:hRule="exact" w:val="355"/>
        </w:trPr>
        <w:tc>
          <w:tcPr>
            <w:tcW w:w="6071" w:type="dxa"/>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8B109E">
        <w:trPr>
          <w:trHeight w:hRule="exact" w:val="341"/>
        </w:trPr>
        <w:tc>
          <w:tcPr>
            <w:tcW w:w="6071" w:type="dxa"/>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8B109E">
        <w:trPr>
          <w:trHeight w:hRule="exact" w:val="355"/>
        </w:trPr>
        <w:tc>
          <w:tcPr>
            <w:tcW w:w="6071" w:type="dxa"/>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Pr>
          <w:p w14:paraId="38F21573" w14:textId="7DA9E4F5" w:rsidR="00C26F02" w:rsidRPr="00023622" w:rsidRDefault="0092491E"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Pr>
          <w:p w14:paraId="3A2DAADA" w14:textId="410B34C2" w:rsidR="00C26F02" w:rsidRPr="00023622" w:rsidRDefault="0092491E" w:rsidP="00E6058C">
            <w:pPr>
              <w:pStyle w:val="TableParagraph"/>
              <w:spacing w:before="22"/>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2279E4D7" w14:textId="77777777" w:rsidTr="008B109E">
        <w:trPr>
          <w:trHeight w:hRule="exact" w:val="353"/>
        </w:trPr>
        <w:tc>
          <w:tcPr>
            <w:tcW w:w="6071" w:type="dxa"/>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Pr>
          <w:p w14:paraId="162A0CDB" w14:textId="7C40F95F" w:rsidR="00C26F02" w:rsidRPr="00023622" w:rsidRDefault="0092491E"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Pr>
          <w:p w14:paraId="663BE2D5" w14:textId="32E2DA4A" w:rsidR="00C26F02" w:rsidRPr="00023622" w:rsidRDefault="0092491E" w:rsidP="00E6058C">
            <w:pPr>
              <w:pStyle w:val="TableParagraph"/>
              <w:spacing w:before="20"/>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02C22C18" w14:textId="77777777" w:rsidTr="008B109E">
        <w:trPr>
          <w:trHeight w:hRule="exact" w:val="343"/>
        </w:trPr>
        <w:tc>
          <w:tcPr>
            <w:tcW w:w="6071" w:type="dxa"/>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Pr>
          <w:p w14:paraId="52BA2DA4" w14:textId="7C083047" w:rsidR="00C26F02" w:rsidRPr="002B27F7" w:rsidRDefault="0092491E" w:rsidP="00C26F02">
            <w:pPr>
              <w:pStyle w:val="TableParagraph"/>
              <w:spacing w:before="15"/>
              <w:ind w:left="5"/>
              <w:jc w:val="center"/>
              <w:rPr>
                <w:rFonts w:ascii="Gill Sans MT" w:eastAsia="Gill Sans MT" w:hAnsi="Gill Sans MT" w:cs="Gill Sans MT"/>
                <w:b/>
              </w:rPr>
            </w:pPr>
            <w:r>
              <w:rPr>
                <w:rFonts w:ascii="Gill Sans MT" w:eastAsia="Gill Sans MT" w:hAnsi="Gill Sans MT" w:cs="Gill Sans MT"/>
                <w:b/>
              </w:rPr>
              <w:t>&lt;20</w:t>
            </w:r>
          </w:p>
        </w:tc>
        <w:tc>
          <w:tcPr>
            <w:tcW w:w="4913" w:type="dxa"/>
          </w:tcPr>
          <w:p w14:paraId="4B75D6E7" w14:textId="3D2221D8" w:rsidR="00C26F02" w:rsidRPr="002B27F7" w:rsidRDefault="0092491E" w:rsidP="00C26F02">
            <w:pPr>
              <w:pStyle w:val="TableParagraph"/>
              <w:spacing w:before="15"/>
              <w:ind w:left="6"/>
              <w:jc w:val="center"/>
              <w:rPr>
                <w:rFonts w:ascii="Gill Sans MT" w:eastAsia="Gill Sans MT" w:hAnsi="Gill Sans MT" w:cs="Gill Sans MT"/>
                <w:b/>
              </w:rPr>
            </w:pPr>
            <w:r>
              <w:rPr>
                <w:rFonts w:ascii="Gill Sans MT" w:eastAsia="Gill Sans MT" w:hAnsi="Gill Sans MT" w:cs="Gill Sans MT"/>
                <w:b/>
              </w:rPr>
              <w:t>100%</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3A025529" w:rsidR="005412A2"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8B109E">
        <w:rPr>
          <w:rFonts w:ascii="Arial" w:hAnsi="Arial" w:cs="Arial"/>
          <w:i/>
        </w:rPr>
        <w:t xml:space="preserve"> - </w:t>
      </w:r>
      <w:r w:rsidR="008B109E" w:rsidRPr="008B109E">
        <w:rPr>
          <w:rFonts w:ascii="Arial" w:hAnsi="Arial" w:cs="Arial"/>
          <w:i/>
        </w:rPr>
        <w:t>1 January 2024 to 31 March 2024</w:t>
      </w:r>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137E1A60" w14:textId="69336354" w:rsidR="002B0AA9" w:rsidRDefault="004A78CB" w:rsidP="005412A2">
            <w:pPr>
              <w:pStyle w:val="Heading2"/>
              <w:numPr>
                <w:ilvl w:val="0"/>
                <w:numId w:val="0"/>
              </w:numPr>
              <w:spacing w:before="120" w:after="120"/>
              <w:jc w:val="center"/>
              <w:outlineLvl w:val="1"/>
              <w:rPr>
                <w:rFonts w:ascii="Gill Sans MT" w:hAnsi="Gill Sans MT"/>
              </w:rPr>
            </w:pPr>
            <w:r>
              <w:rPr>
                <w:rFonts w:cs="Arial"/>
                <w:i/>
              </w:rPr>
              <w:t>1 January 2024</w:t>
            </w:r>
            <w:r w:rsidR="002B0AA9">
              <w:rPr>
                <w:rFonts w:cs="Arial"/>
                <w:i/>
              </w:rPr>
              <w:t xml:space="preserve"> to </w:t>
            </w:r>
            <w:r>
              <w:rPr>
                <w:rFonts w:cs="Arial"/>
                <w:i/>
              </w:rPr>
              <w:t>31 March 2024</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05A99B77" w:rsidR="002B0AA9" w:rsidRPr="00992FCC" w:rsidRDefault="0092491E"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8CACE64" w14:textId="649A2CEC" w:rsidR="002B0AA9" w:rsidRPr="00992FCC" w:rsidRDefault="0092491E" w:rsidP="002B27F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68EE8988" w:rsidR="002B0AA9" w:rsidRPr="00992FCC" w:rsidRDefault="0086027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0D9CB6CE" w:rsidR="002B0AA9" w:rsidRPr="00992FCC" w:rsidRDefault="0092491E"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3A37AAB5" w:rsidR="002B0AA9" w:rsidRPr="00992FCC" w:rsidRDefault="0092491E" w:rsidP="002B27F7">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2B0AA9" w:rsidRPr="00116BAB" w14:paraId="6296D3A7" w14:textId="77777777" w:rsidTr="005412A2">
        <w:tc>
          <w:tcPr>
            <w:tcW w:w="3356" w:type="dxa"/>
          </w:tcPr>
          <w:p w14:paraId="6F45D784"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6569C3AF" w14:textId="290F0F09" w:rsidR="002B0AA9" w:rsidRPr="002B27F7" w:rsidRDefault="0092491E" w:rsidP="005412A2">
            <w:pPr>
              <w:pStyle w:val="Heading2"/>
              <w:numPr>
                <w:ilvl w:val="0"/>
                <w:numId w:val="0"/>
              </w:numPr>
              <w:spacing w:before="120" w:after="120"/>
              <w:jc w:val="center"/>
              <w:outlineLvl w:val="1"/>
              <w:rPr>
                <w:rFonts w:ascii="Gill Sans MT" w:hAnsi="Gill Sans MT"/>
              </w:rPr>
            </w:pPr>
            <w:r>
              <w:rPr>
                <w:rFonts w:ascii="Gill Sans MT" w:hAnsi="Gill Sans MT"/>
              </w:rPr>
              <w:t>&lt;20</w:t>
            </w:r>
          </w:p>
        </w:tc>
        <w:tc>
          <w:tcPr>
            <w:tcW w:w="2962" w:type="dxa"/>
            <w:vAlign w:val="center"/>
          </w:tcPr>
          <w:p w14:paraId="2584FD99" w14:textId="3B68D9C9" w:rsidR="002B0AA9" w:rsidRPr="002B27F7" w:rsidRDefault="00891413" w:rsidP="005412A2">
            <w:pPr>
              <w:pStyle w:val="Heading2"/>
              <w:numPr>
                <w:ilvl w:val="0"/>
                <w:numId w:val="0"/>
              </w:numPr>
              <w:spacing w:before="120" w:after="120"/>
              <w:jc w:val="center"/>
              <w:outlineLvl w:val="1"/>
              <w:rPr>
                <w:rFonts w:ascii="Gill Sans MT" w:hAnsi="Gill Sans MT"/>
              </w:rPr>
            </w:pPr>
            <w:r w:rsidRPr="002B27F7">
              <w:rPr>
                <w:rFonts w:ascii="Gill Sans MT" w:hAnsi="Gill Sans MT"/>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3DB7C8EC" w:rsidR="0096129B"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B109E">
        <w:rPr>
          <w:rFonts w:ascii="Arial" w:hAnsi="Arial" w:cs="Arial"/>
          <w:i/>
        </w:rPr>
        <w:t xml:space="preserve"> - </w:t>
      </w:r>
      <w:r w:rsidR="008B109E" w:rsidRPr="008B109E">
        <w:rPr>
          <w:rFonts w:ascii="Arial" w:hAnsi="Arial" w:cs="Arial"/>
          <w:i/>
        </w:rPr>
        <w:t>1 January 2024 to 31 March 2024</w:t>
      </w:r>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725C0AE3" w14:textId="25A92335" w:rsidR="002B0AA9" w:rsidRDefault="004A78CB" w:rsidP="0096129B">
            <w:pPr>
              <w:pStyle w:val="Heading2"/>
              <w:numPr>
                <w:ilvl w:val="0"/>
                <w:numId w:val="0"/>
              </w:numPr>
              <w:spacing w:before="120" w:after="120"/>
              <w:jc w:val="center"/>
              <w:outlineLvl w:val="1"/>
              <w:rPr>
                <w:rFonts w:ascii="Gill Sans MT" w:hAnsi="Gill Sans MT"/>
              </w:rPr>
            </w:pPr>
            <w:r>
              <w:rPr>
                <w:rFonts w:cs="Arial"/>
                <w:i/>
              </w:rPr>
              <w:t>1 January 2024</w:t>
            </w:r>
            <w:r w:rsidR="002B0AA9">
              <w:rPr>
                <w:rFonts w:cs="Arial"/>
                <w:i/>
              </w:rPr>
              <w:t xml:space="preserve"> to </w:t>
            </w:r>
            <w:r>
              <w:rPr>
                <w:rFonts w:cs="Arial"/>
                <w:i/>
              </w:rPr>
              <w:t>31 March 2024</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2DA8520F" w14:textId="64FF454A" w:rsidR="002B0AA9" w:rsidRPr="002619C1" w:rsidRDefault="0092491E"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D60D3A1" w14:textId="51767711" w:rsidR="002B0AA9" w:rsidRPr="002619C1" w:rsidRDefault="0092491E" w:rsidP="002839E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92491E" w:rsidRPr="00116BAB" w14:paraId="1503935B" w14:textId="77777777" w:rsidTr="0092491E">
        <w:tc>
          <w:tcPr>
            <w:tcW w:w="3532" w:type="dxa"/>
          </w:tcPr>
          <w:p w14:paraId="3CD0D011" w14:textId="77777777" w:rsidR="0092491E" w:rsidRPr="00FB0ECB" w:rsidRDefault="0092491E" w:rsidP="0092491E">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635702F5" w:rsidR="0092491E" w:rsidRPr="002619C1" w:rsidRDefault="0092491E" w:rsidP="0092491E">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52BCE415" w14:textId="79F72EAC" w:rsidR="0092491E" w:rsidRPr="002619C1" w:rsidRDefault="0092491E" w:rsidP="0092491E">
            <w:pPr>
              <w:pStyle w:val="Heading2"/>
              <w:numPr>
                <w:ilvl w:val="0"/>
                <w:numId w:val="0"/>
              </w:numPr>
              <w:spacing w:before="120" w:after="120"/>
              <w:jc w:val="center"/>
              <w:outlineLvl w:val="1"/>
              <w:rPr>
                <w:rFonts w:ascii="Gill Sans MT" w:hAnsi="Gill Sans MT"/>
                <w:b w:val="0"/>
                <w:szCs w:val="22"/>
              </w:rPr>
            </w:pPr>
            <w:r w:rsidRPr="00070A1C">
              <w:rPr>
                <w:rFonts w:ascii="Gill Sans MT" w:hAnsi="Gill Sans MT"/>
                <w:b w:val="0"/>
                <w:szCs w:val="22"/>
              </w:rPr>
              <w:t>NP</w:t>
            </w:r>
          </w:p>
        </w:tc>
      </w:tr>
      <w:tr w:rsidR="0092491E" w:rsidRPr="00116BAB" w14:paraId="579A8DB7" w14:textId="77777777" w:rsidTr="0092491E">
        <w:tc>
          <w:tcPr>
            <w:tcW w:w="3532" w:type="dxa"/>
          </w:tcPr>
          <w:p w14:paraId="4538D80F" w14:textId="77777777" w:rsidR="0092491E" w:rsidRPr="00116BAB" w:rsidRDefault="0092491E" w:rsidP="0092491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2D6F7180" w:rsidR="0092491E" w:rsidRPr="002619C1" w:rsidRDefault="0092491E" w:rsidP="0092491E">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6E4EFBD" w14:textId="1AC681A2" w:rsidR="0092491E" w:rsidRPr="002619C1" w:rsidRDefault="0092491E" w:rsidP="0092491E">
            <w:pPr>
              <w:pStyle w:val="Heading2"/>
              <w:numPr>
                <w:ilvl w:val="0"/>
                <w:numId w:val="0"/>
              </w:numPr>
              <w:spacing w:before="120" w:after="120"/>
              <w:jc w:val="center"/>
              <w:outlineLvl w:val="1"/>
              <w:rPr>
                <w:rFonts w:ascii="Gill Sans MT" w:hAnsi="Gill Sans MT"/>
                <w:b w:val="0"/>
                <w:szCs w:val="22"/>
              </w:rPr>
            </w:pPr>
            <w:r w:rsidRPr="00070A1C">
              <w:rPr>
                <w:rFonts w:ascii="Gill Sans MT" w:hAnsi="Gill Sans MT"/>
                <w:b w:val="0"/>
                <w:szCs w:val="22"/>
              </w:rPr>
              <w:t>NP</w:t>
            </w:r>
          </w:p>
        </w:tc>
      </w:tr>
      <w:tr w:rsidR="0092491E" w:rsidRPr="00116BAB" w14:paraId="748BDC77" w14:textId="77777777" w:rsidTr="0092491E">
        <w:tc>
          <w:tcPr>
            <w:tcW w:w="3532" w:type="dxa"/>
          </w:tcPr>
          <w:p w14:paraId="5F3B914D" w14:textId="77777777" w:rsidR="0092491E" w:rsidRPr="00346E3B" w:rsidRDefault="0092491E" w:rsidP="0092491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51CD5570" w:rsidR="0092491E" w:rsidRPr="002619C1" w:rsidRDefault="0092491E" w:rsidP="0092491E">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2BC5405" w14:textId="4C67F526" w:rsidR="0092491E" w:rsidRPr="002619C1" w:rsidRDefault="0092491E" w:rsidP="0092491E">
            <w:pPr>
              <w:pStyle w:val="Heading2"/>
              <w:numPr>
                <w:ilvl w:val="0"/>
                <w:numId w:val="0"/>
              </w:numPr>
              <w:spacing w:before="120" w:after="120"/>
              <w:jc w:val="center"/>
              <w:outlineLvl w:val="1"/>
              <w:rPr>
                <w:rFonts w:ascii="Gill Sans MT" w:hAnsi="Gill Sans MT"/>
                <w:b w:val="0"/>
                <w:szCs w:val="22"/>
              </w:rPr>
            </w:pPr>
            <w:r w:rsidRPr="00070A1C">
              <w:rPr>
                <w:rFonts w:ascii="Gill Sans MT" w:hAnsi="Gill Sans MT"/>
                <w:b w:val="0"/>
                <w:szCs w:val="22"/>
              </w:rPr>
              <w:t>NP</w:t>
            </w:r>
          </w:p>
        </w:tc>
      </w:tr>
      <w:tr w:rsidR="0092491E" w:rsidRPr="00116BAB" w14:paraId="2EBDC68D" w14:textId="77777777" w:rsidTr="0092491E">
        <w:tc>
          <w:tcPr>
            <w:tcW w:w="3532" w:type="dxa"/>
          </w:tcPr>
          <w:p w14:paraId="3495B49F" w14:textId="77777777" w:rsidR="0092491E" w:rsidRPr="00346E3B" w:rsidRDefault="0092491E" w:rsidP="0092491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35198489" w:rsidR="0092491E" w:rsidRPr="002619C1" w:rsidRDefault="0092491E" w:rsidP="0092491E">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300A4BA" w14:textId="4B348FB7" w:rsidR="0092491E" w:rsidRPr="002619C1" w:rsidRDefault="0092491E" w:rsidP="0092491E">
            <w:pPr>
              <w:pStyle w:val="Heading2"/>
              <w:numPr>
                <w:ilvl w:val="0"/>
                <w:numId w:val="0"/>
              </w:numPr>
              <w:spacing w:before="120" w:after="120"/>
              <w:jc w:val="center"/>
              <w:outlineLvl w:val="1"/>
              <w:rPr>
                <w:rFonts w:ascii="Gill Sans MT" w:hAnsi="Gill Sans MT"/>
                <w:b w:val="0"/>
                <w:szCs w:val="22"/>
              </w:rPr>
            </w:pPr>
            <w:r w:rsidRPr="00070A1C">
              <w:rPr>
                <w:rFonts w:ascii="Gill Sans MT" w:hAnsi="Gill Sans MT"/>
                <w:b w:val="0"/>
                <w:szCs w:val="22"/>
              </w:rPr>
              <w:t>NP</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07A475D6" w14:textId="0DC57E7B" w:rsidR="002B0AA9" w:rsidRPr="0092491E" w:rsidRDefault="0092491E" w:rsidP="00C3663B">
            <w:pPr>
              <w:pStyle w:val="Heading2"/>
              <w:numPr>
                <w:ilvl w:val="0"/>
                <w:numId w:val="0"/>
              </w:numPr>
              <w:spacing w:before="120" w:after="120"/>
              <w:jc w:val="center"/>
              <w:outlineLvl w:val="1"/>
              <w:rPr>
                <w:rFonts w:ascii="Gill Sans MT" w:hAnsi="Gill Sans MT"/>
                <w:szCs w:val="22"/>
              </w:rPr>
            </w:pPr>
            <w:r w:rsidRPr="0092491E">
              <w:rPr>
                <w:rFonts w:ascii="Gill Sans MT" w:hAnsi="Gill Sans MT"/>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633F765" w14:textId="13C5B704" w:rsidR="002B0AA9" w:rsidRPr="00AF49AF" w:rsidRDefault="004A78CB"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January 2024</w:t>
            </w:r>
            <w:r w:rsidR="002B0AA9">
              <w:rPr>
                <w:rFonts w:cs="Arial"/>
                <w:i/>
              </w:rPr>
              <w:t xml:space="preserve"> to </w:t>
            </w:r>
            <w:r>
              <w:rPr>
                <w:rFonts w:cs="Arial"/>
                <w:i/>
              </w:rPr>
              <w:t>31 March 2024</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495A45F2" w:rsidR="00891413" w:rsidRPr="00BE13E8" w:rsidRDefault="00E2265E"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0F549BBC" w:rsidR="00891413" w:rsidRPr="00AF49AF" w:rsidRDefault="00E2265E"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40.0</w:t>
            </w:r>
            <w:r w:rsidR="00891413">
              <w:rPr>
                <w:rFonts w:ascii="Gill Sans MT" w:hAnsi="Gill Sans MT"/>
                <w:b w:val="0"/>
              </w:rPr>
              <w:t>%</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3BE73B10" w:rsidR="00891413" w:rsidRPr="00AF49AF" w:rsidRDefault="00E2265E"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w:t>
            </w:r>
            <w:r w:rsidR="00891413">
              <w:rPr>
                <w:rFonts w:ascii="Gill Sans MT" w:hAnsi="Gill Sans MT"/>
                <w:b w:val="0"/>
              </w:rPr>
              <w:t>%</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30E09135"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058D3FC2"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0B6ABAAF" w:rsidR="00891413" w:rsidRPr="00AF49AF" w:rsidRDefault="00FD2D60"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7171F7D9"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4A78CB">
        <w:t>31 March 2024</w:t>
      </w:r>
      <w:r w:rsidR="00C93A2C">
        <w:t>)</w:t>
      </w:r>
      <w:bookmarkEnd w:id="18"/>
    </w:p>
    <w:tbl>
      <w:tblPr>
        <w:tblStyle w:val="CenterAlignTable"/>
        <w:tblW w:w="5000" w:type="pct"/>
        <w:tblInd w:w="0" w:type="dxa"/>
        <w:tblLook w:val="04E0" w:firstRow="1" w:lastRow="1" w:firstColumn="1" w:lastColumn="0" w:noHBand="0" w:noVBand="1"/>
        <w:tblCaption w:val="Number of Compliance Reports Submitted per job seeker over past 12 months (as at 31 March 2024)"/>
        <w:tblDescription w:val="Number of PRs, NARs or PARs per job seeker&#10;Number of all job seekers&#10;% of all job seekers % of PRs, NARs or PARs "/>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E2265E" w:rsidRPr="00325EF7" w14:paraId="7573C0F0" w14:textId="77777777" w:rsidTr="00AA3A36">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E2265E" w:rsidRPr="004741B6" w:rsidRDefault="00E2265E" w:rsidP="00E2265E">
            <w:pPr>
              <w:spacing w:line="276" w:lineRule="auto"/>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355B98" w14:textId="49BED997"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9,254</w:t>
            </w:r>
          </w:p>
        </w:tc>
        <w:tc>
          <w:tcPr>
            <w:tcW w:w="1049" w:type="pct"/>
            <w:tcBorders>
              <w:top w:val="single" w:sz="4" w:space="0" w:color="auto"/>
              <w:left w:val="nil"/>
              <w:bottom w:val="single" w:sz="4" w:space="0" w:color="auto"/>
              <w:right w:val="single" w:sz="4" w:space="0" w:color="auto"/>
            </w:tcBorders>
            <w:shd w:val="clear" w:color="auto" w:fill="auto"/>
          </w:tcPr>
          <w:p w14:paraId="4F07A019" w14:textId="6F792E3B"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24.2%</w:t>
            </w:r>
          </w:p>
        </w:tc>
        <w:tc>
          <w:tcPr>
            <w:tcW w:w="1013" w:type="pct"/>
            <w:tcBorders>
              <w:top w:val="single" w:sz="4" w:space="0" w:color="auto"/>
              <w:left w:val="nil"/>
              <w:bottom w:val="single" w:sz="4" w:space="0" w:color="auto"/>
              <w:right w:val="single" w:sz="4" w:space="0" w:color="auto"/>
            </w:tcBorders>
            <w:shd w:val="clear" w:color="auto" w:fill="auto"/>
          </w:tcPr>
          <w:p w14:paraId="7295BCAA" w14:textId="7BB55F04"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N/A</w:t>
            </w:r>
          </w:p>
        </w:tc>
      </w:tr>
      <w:tr w:rsidR="00E2265E" w:rsidRPr="00325EF7" w14:paraId="20EE191C" w14:textId="77777777" w:rsidTr="00AA3A36">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E2265E" w:rsidRPr="004741B6" w:rsidRDefault="00E2265E" w:rsidP="00E2265E">
            <w:pPr>
              <w:spacing w:line="276" w:lineRule="auto"/>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2AFDE26D" w14:textId="780B0DBE"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5,563</w:t>
            </w:r>
          </w:p>
        </w:tc>
        <w:tc>
          <w:tcPr>
            <w:tcW w:w="1049" w:type="pct"/>
            <w:tcBorders>
              <w:top w:val="nil"/>
              <w:left w:val="nil"/>
              <w:bottom w:val="single" w:sz="4" w:space="0" w:color="auto"/>
              <w:right w:val="single" w:sz="4" w:space="0" w:color="auto"/>
            </w:tcBorders>
            <w:shd w:val="clear" w:color="auto" w:fill="auto"/>
          </w:tcPr>
          <w:p w14:paraId="68E42BC3" w14:textId="3B51C49D"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14.5%</w:t>
            </w:r>
          </w:p>
        </w:tc>
        <w:tc>
          <w:tcPr>
            <w:tcW w:w="1013" w:type="pct"/>
            <w:tcBorders>
              <w:top w:val="nil"/>
              <w:left w:val="nil"/>
              <w:bottom w:val="single" w:sz="4" w:space="0" w:color="auto"/>
              <w:right w:val="single" w:sz="4" w:space="0" w:color="auto"/>
            </w:tcBorders>
            <w:shd w:val="clear" w:color="auto" w:fill="auto"/>
          </w:tcPr>
          <w:p w14:paraId="146FD293" w14:textId="0A2D4B51"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4.6%</w:t>
            </w:r>
          </w:p>
        </w:tc>
      </w:tr>
      <w:tr w:rsidR="00E2265E" w:rsidRPr="00325EF7" w14:paraId="7314461E" w14:textId="77777777" w:rsidTr="00AA3A36">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E2265E" w:rsidRPr="004741B6" w:rsidRDefault="00E2265E" w:rsidP="00E2265E">
            <w:pPr>
              <w:spacing w:line="276" w:lineRule="auto"/>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41732D03" w14:textId="06AF2A5C"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4,493</w:t>
            </w:r>
          </w:p>
        </w:tc>
        <w:tc>
          <w:tcPr>
            <w:tcW w:w="1049" w:type="pct"/>
            <w:tcBorders>
              <w:top w:val="nil"/>
              <w:left w:val="nil"/>
              <w:bottom w:val="single" w:sz="4" w:space="0" w:color="auto"/>
              <w:right w:val="single" w:sz="4" w:space="0" w:color="auto"/>
            </w:tcBorders>
            <w:shd w:val="clear" w:color="auto" w:fill="auto"/>
          </w:tcPr>
          <w:p w14:paraId="7A92B2BD" w14:textId="4BE83665"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11.7%</w:t>
            </w:r>
          </w:p>
        </w:tc>
        <w:tc>
          <w:tcPr>
            <w:tcW w:w="1013" w:type="pct"/>
            <w:tcBorders>
              <w:top w:val="nil"/>
              <w:left w:val="nil"/>
              <w:bottom w:val="single" w:sz="4" w:space="0" w:color="auto"/>
              <w:right w:val="single" w:sz="4" w:space="0" w:color="auto"/>
            </w:tcBorders>
            <w:shd w:val="clear" w:color="auto" w:fill="auto"/>
          </w:tcPr>
          <w:p w14:paraId="68DFF704" w14:textId="70FACD05"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7.4%</w:t>
            </w:r>
          </w:p>
        </w:tc>
      </w:tr>
      <w:tr w:rsidR="00E2265E" w:rsidRPr="00325EF7" w14:paraId="18516A94" w14:textId="77777777" w:rsidTr="00AA3A36">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E2265E" w:rsidRPr="004741B6" w:rsidRDefault="00E2265E" w:rsidP="00E2265E">
            <w:pPr>
              <w:spacing w:line="276" w:lineRule="auto"/>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346CDFF" w14:textId="60983951"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3,965</w:t>
            </w:r>
          </w:p>
        </w:tc>
        <w:tc>
          <w:tcPr>
            <w:tcW w:w="1049" w:type="pct"/>
            <w:tcBorders>
              <w:top w:val="nil"/>
              <w:left w:val="nil"/>
              <w:bottom w:val="single" w:sz="4" w:space="0" w:color="auto"/>
              <w:right w:val="single" w:sz="4" w:space="0" w:color="auto"/>
            </w:tcBorders>
            <w:shd w:val="clear" w:color="auto" w:fill="auto"/>
          </w:tcPr>
          <w:p w14:paraId="1E595B9F" w14:textId="6C498A3B"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10.4%</w:t>
            </w:r>
          </w:p>
        </w:tc>
        <w:tc>
          <w:tcPr>
            <w:tcW w:w="1013" w:type="pct"/>
            <w:tcBorders>
              <w:top w:val="nil"/>
              <w:left w:val="nil"/>
              <w:bottom w:val="single" w:sz="4" w:space="0" w:color="auto"/>
              <w:right w:val="single" w:sz="4" w:space="0" w:color="auto"/>
            </w:tcBorders>
            <w:shd w:val="clear" w:color="auto" w:fill="auto"/>
          </w:tcPr>
          <w:p w14:paraId="651CAE23" w14:textId="747B8C88"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9.8%</w:t>
            </w:r>
          </w:p>
        </w:tc>
      </w:tr>
      <w:tr w:rsidR="00E2265E" w:rsidRPr="00325EF7" w14:paraId="4E417537" w14:textId="77777777" w:rsidTr="00AA3A36">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E2265E" w:rsidRPr="004741B6" w:rsidRDefault="00E2265E" w:rsidP="00E2265E">
            <w:pPr>
              <w:spacing w:line="276" w:lineRule="auto"/>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717AC379" w14:textId="42CB2D80"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3,513</w:t>
            </w:r>
          </w:p>
        </w:tc>
        <w:tc>
          <w:tcPr>
            <w:tcW w:w="1049" w:type="pct"/>
            <w:tcBorders>
              <w:top w:val="nil"/>
              <w:left w:val="nil"/>
              <w:bottom w:val="single" w:sz="4" w:space="0" w:color="auto"/>
              <w:right w:val="single" w:sz="4" w:space="0" w:color="auto"/>
            </w:tcBorders>
            <w:shd w:val="clear" w:color="auto" w:fill="auto"/>
          </w:tcPr>
          <w:p w14:paraId="0DA9E036" w14:textId="3A2529DE"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9.2%</w:t>
            </w:r>
          </w:p>
        </w:tc>
        <w:tc>
          <w:tcPr>
            <w:tcW w:w="1013" w:type="pct"/>
            <w:tcBorders>
              <w:top w:val="nil"/>
              <w:left w:val="nil"/>
              <w:bottom w:val="single" w:sz="4" w:space="0" w:color="auto"/>
              <w:right w:val="single" w:sz="4" w:space="0" w:color="auto"/>
            </w:tcBorders>
            <w:shd w:val="clear" w:color="auto" w:fill="auto"/>
          </w:tcPr>
          <w:p w14:paraId="490B36C8" w14:textId="7E767EB8"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11.5%</w:t>
            </w:r>
          </w:p>
        </w:tc>
      </w:tr>
      <w:tr w:rsidR="00E2265E" w:rsidRPr="00325EF7" w14:paraId="650AD5D5" w14:textId="77777777" w:rsidTr="00AA3A36">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E2265E" w:rsidRPr="004741B6" w:rsidRDefault="00E2265E" w:rsidP="00E2265E">
            <w:pPr>
              <w:spacing w:line="276" w:lineRule="auto"/>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458B2B4" w14:textId="22E85D8B"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11,514</w:t>
            </w:r>
          </w:p>
        </w:tc>
        <w:tc>
          <w:tcPr>
            <w:tcW w:w="1049" w:type="pct"/>
            <w:tcBorders>
              <w:top w:val="nil"/>
              <w:left w:val="nil"/>
              <w:bottom w:val="single" w:sz="4" w:space="0" w:color="auto"/>
              <w:right w:val="single" w:sz="4" w:space="0" w:color="auto"/>
            </w:tcBorders>
            <w:shd w:val="clear" w:color="auto" w:fill="auto"/>
          </w:tcPr>
          <w:p w14:paraId="79CC62DA" w14:textId="4C78049B"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30.1%</w:t>
            </w:r>
          </w:p>
        </w:tc>
        <w:tc>
          <w:tcPr>
            <w:tcW w:w="1013" w:type="pct"/>
            <w:tcBorders>
              <w:top w:val="nil"/>
              <w:left w:val="nil"/>
              <w:bottom w:val="single" w:sz="4" w:space="0" w:color="auto"/>
              <w:right w:val="single" w:sz="4" w:space="0" w:color="auto"/>
            </w:tcBorders>
            <w:shd w:val="clear" w:color="auto" w:fill="auto"/>
          </w:tcPr>
          <w:p w14:paraId="30F93FA1" w14:textId="74579FD6" w:rsidR="00E2265E" w:rsidRPr="00E2265E" w:rsidRDefault="00E2265E" w:rsidP="00E2265E">
            <w:pPr>
              <w:spacing w:line="276" w:lineRule="auto"/>
              <w:ind w:left="-142" w:firstLine="142"/>
              <w:cnfStyle w:val="000000000000" w:firstRow="0" w:lastRow="0" w:firstColumn="0" w:lastColumn="0" w:oddVBand="0" w:evenVBand="0" w:oddHBand="0" w:evenHBand="0" w:firstRowFirstColumn="0" w:firstRowLastColumn="0" w:lastRowFirstColumn="0" w:lastRowLastColumn="0"/>
              <w:rPr>
                <w:noProof/>
              </w:rPr>
            </w:pPr>
            <w:r w:rsidRPr="00E2265E">
              <w:rPr>
                <w:rFonts w:cs="Gill Sans MT"/>
                <w:color w:val="000000"/>
              </w:rPr>
              <w:t>66.8%</w:t>
            </w:r>
          </w:p>
        </w:tc>
      </w:tr>
      <w:tr w:rsidR="00E2265E" w:rsidRPr="00325EF7" w14:paraId="4C60D304" w14:textId="77777777" w:rsidTr="00AA3A36">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E2265E" w:rsidRPr="004741B6" w:rsidRDefault="00E2265E" w:rsidP="00E2265E">
            <w:pPr>
              <w:spacing w:line="276" w:lineRule="auto"/>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2EDFAC2" w14:textId="609BBADE" w:rsidR="00E2265E" w:rsidRPr="00E2265E" w:rsidRDefault="00E2265E" w:rsidP="00E2265E">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E2265E">
              <w:rPr>
                <w:rFonts w:cs="Gill Sans MT"/>
                <w:color w:val="000000"/>
              </w:rPr>
              <w:t>38,302</w:t>
            </w:r>
          </w:p>
        </w:tc>
        <w:tc>
          <w:tcPr>
            <w:tcW w:w="1049" w:type="pct"/>
            <w:tcBorders>
              <w:top w:val="nil"/>
              <w:left w:val="nil"/>
              <w:bottom w:val="single" w:sz="4" w:space="0" w:color="auto"/>
              <w:right w:val="single" w:sz="4" w:space="0" w:color="auto"/>
            </w:tcBorders>
            <w:shd w:val="clear" w:color="auto" w:fill="auto"/>
          </w:tcPr>
          <w:p w14:paraId="5EB9DA0A" w14:textId="6F3E56CD" w:rsidR="00E2265E" w:rsidRPr="00E2265E" w:rsidRDefault="00E2265E" w:rsidP="00E2265E">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E2265E">
              <w:rPr>
                <w:rFonts w:cs="Gill Sans MT"/>
                <w:color w:val="000000"/>
              </w:rPr>
              <w:t>100%</w:t>
            </w:r>
          </w:p>
        </w:tc>
        <w:tc>
          <w:tcPr>
            <w:tcW w:w="1013" w:type="pct"/>
            <w:tcBorders>
              <w:top w:val="nil"/>
              <w:left w:val="nil"/>
              <w:bottom w:val="single" w:sz="4" w:space="0" w:color="auto"/>
              <w:right w:val="single" w:sz="4" w:space="0" w:color="auto"/>
            </w:tcBorders>
            <w:shd w:val="clear" w:color="auto" w:fill="auto"/>
          </w:tcPr>
          <w:p w14:paraId="1AEE8B40" w14:textId="7A221222" w:rsidR="00E2265E" w:rsidRPr="00E2265E" w:rsidRDefault="00E2265E" w:rsidP="00E2265E">
            <w:pPr>
              <w:spacing w:line="276" w:lineRule="auto"/>
              <w:ind w:left="-142" w:firstLine="142"/>
              <w:cnfStyle w:val="010000000000" w:firstRow="0" w:lastRow="1" w:firstColumn="0" w:lastColumn="0" w:oddVBand="0" w:evenVBand="0" w:oddHBand="0" w:evenHBand="0" w:firstRowFirstColumn="0" w:firstRowLastColumn="0" w:lastRowFirstColumn="0" w:lastRowLastColumn="0"/>
              <w:rPr>
                <w:noProof/>
              </w:rPr>
            </w:pPr>
            <w:r w:rsidRPr="00E2265E">
              <w:rPr>
                <w:rFonts w:cs="Gill Sans MT"/>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405B700E"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383C49">
        <w:t xml:space="preserve">31 </w:t>
      </w:r>
      <w:r w:rsidR="004A78CB">
        <w:t xml:space="preserve">March 2024 </w:t>
      </w:r>
      <w:r w:rsidRPr="00325EF7">
        <w:t>who received the specified number of Participation Reports, Provider Appointment Reports and/or Non-Attendance Reports over the preceding twelve months.</w:t>
      </w:r>
    </w:p>
    <w:p w14:paraId="26AB274F" w14:textId="72BFFF72"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383C49">
        <w:t xml:space="preserve">31 </w:t>
      </w:r>
      <w:r w:rsidR="004A78CB">
        <w:t>March 2024</w:t>
      </w:r>
      <w:r w:rsidR="00684F0A">
        <w:t xml:space="preserve"> </w:t>
      </w:r>
      <w:r w:rsidRPr="00325EF7">
        <w:t xml:space="preserve">during the preceding twelve </w:t>
      </w:r>
      <w:r w:rsidRPr="00287925">
        <w:t>month period (e.g</w:t>
      </w:r>
      <w:r w:rsidRPr="00724DAA">
        <w:t>.</w:t>
      </w:r>
      <w:r w:rsidR="00135D0E" w:rsidRPr="00724DAA">
        <w:t xml:space="preserve"> </w:t>
      </w:r>
      <w:r w:rsidR="00E2265E">
        <w:t>66.8</w:t>
      </w:r>
      <w:r w:rsidR="008D1F89" w:rsidRPr="00724DAA">
        <w:t xml:space="preserve"> </w:t>
      </w:r>
      <w:r w:rsidRPr="00724DAA">
        <w:t>per cent</w:t>
      </w:r>
      <w:r w:rsidRPr="00287925">
        <w:t xml:space="preserve"> of all compliance reports submitted between </w:t>
      </w:r>
      <w:r w:rsidRPr="00287925">
        <w:br/>
      </w:r>
      <w:r w:rsidR="004A78CB">
        <w:t>1 April 2023</w:t>
      </w:r>
      <w:r w:rsidR="008D1F89" w:rsidRPr="00D8728B">
        <w:t xml:space="preserve"> and </w:t>
      </w:r>
      <w:r w:rsidR="00383C49">
        <w:t xml:space="preserve">31 </w:t>
      </w:r>
      <w:r w:rsidR="004A78CB">
        <w:t xml:space="preserve">March 2024 </w:t>
      </w:r>
      <w:r w:rsidRPr="00287925">
        <w:t xml:space="preserve">were submitted in relation to those job seekers who, as at </w:t>
      </w:r>
      <w:r w:rsidR="004A78CB">
        <w:t>31 March 2024</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Caption w:val="8. Number of Participation Failures Applied "/>
        <w:tblDescription w:val="Number of Participation Failures 1 January to 31 March 2024&#10;Number of job seekers with a Participation Failure applied in past 12 months, as at 31 March 2024 &#10;% of activity tested job seekers at 31 March 2024 with a Participation Failure in past 12 months&#10;"/>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7A3AD2F8" w:rsidR="00687E2D" w:rsidRPr="004741B6" w:rsidRDefault="004A78CB" w:rsidP="00981F68">
            <w:pPr>
              <w:spacing w:before="0"/>
              <w:ind w:left="-142" w:firstLine="142"/>
              <w:rPr>
                <w:noProof/>
              </w:rPr>
            </w:pPr>
            <w:r>
              <w:t>1 January</w:t>
            </w:r>
            <w:r w:rsidR="002B0AA9">
              <w:t xml:space="preserve"> to </w:t>
            </w:r>
            <w:r>
              <w:t>31 March 2024</w:t>
            </w:r>
          </w:p>
        </w:tc>
        <w:tc>
          <w:tcPr>
            <w:tcW w:w="1826" w:type="pct"/>
            <w:vAlign w:val="center"/>
          </w:tcPr>
          <w:p w14:paraId="74C1F676" w14:textId="7F73540C"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4A78CB">
              <w:rPr>
                <w:noProof/>
              </w:rPr>
              <w:t>31 March 2024</w:t>
            </w:r>
          </w:p>
        </w:tc>
        <w:tc>
          <w:tcPr>
            <w:tcW w:w="1768" w:type="pct"/>
            <w:vAlign w:val="center"/>
          </w:tcPr>
          <w:p w14:paraId="501912D7" w14:textId="0EE6B283"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383C49">
              <w:rPr>
                <w:noProof/>
              </w:rPr>
              <w:t xml:space="preserve">31 </w:t>
            </w:r>
            <w:r w:rsidR="004A78CB">
              <w:rPr>
                <w:noProof/>
              </w:rPr>
              <w:t xml:space="preserve">March 2024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45FADE77" w:rsidR="008947F9" w:rsidRPr="001265B5" w:rsidRDefault="0092491E"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7BB3BD22" w:rsidR="008947F9" w:rsidRPr="00495540" w:rsidRDefault="00EB128B" w:rsidP="00FD2D60">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w:t>
            </w:r>
          </w:p>
        </w:tc>
        <w:tc>
          <w:tcPr>
            <w:tcW w:w="1768" w:type="pct"/>
            <w:vAlign w:val="center"/>
          </w:tcPr>
          <w:p w14:paraId="72B0BF9F" w14:textId="0E9BB7DC" w:rsidR="008947F9" w:rsidRPr="00495540" w:rsidRDefault="000140A4"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w:t>
            </w:r>
            <w:r w:rsidR="00891413">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634FBC6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383C49">
        <w:t xml:space="preserve">31 </w:t>
      </w:r>
      <w:r w:rsidR="004A78CB">
        <w:t xml:space="preserve">March 2024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05A60744"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4A78CB">
        <w:t>31 March 2024</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119F95D5"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668062C5" w:rsidR="0096129B" w:rsidRPr="00472729" w:rsidRDefault="004A78CB" w:rsidP="0096129B">
            <w:pPr>
              <w:ind w:left="-142" w:firstLine="142"/>
            </w:pPr>
            <w:r>
              <w:t>1 January 2024</w:t>
            </w:r>
            <w:r w:rsidR="002B0AA9">
              <w:t xml:space="preserve"> to </w:t>
            </w:r>
            <w:r>
              <w:t>31 March 2024</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65CBDFEC" w:rsidR="0096129B" w:rsidRPr="00463ED1" w:rsidRDefault="0092491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1D8500DF" w14:textId="707D3176" w:rsidR="0096129B" w:rsidRPr="00463ED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1" w:type="pct"/>
            <w:vAlign w:val="center"/>
          </w:tcPr>
          <w:p w14:paraId="127F2156" w14:textId="2870BF8F" w:rsidR="0096129B" w:rsidRPr="00463ED1" w:rsidRDefault="0092491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7" w:type="pct"/>
            <w:vAlign w:val="center"/>
          </w:tcPr>
          <w:p w14:paraId="322EAE2B" w14:textId="1EC7C6EB" w:rsidR="0096129B" w:rsidRPr="00463ED1" w:rsidRDefault="00EB128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00" w:type="pct"/>
            <w:vAlign w:val="center"/>
          </w:tcPr>
          <w:p w14:paraId="43DC7DDD" w14:textId="077D5355" w:rsidR="0096129B" w:rsidRPr="00463ED1" w:rsidRDefault="00FD2D6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15" w:type="pct"/>
            <w:vAlign w:val="center"/>
          </w:tcPr>
          <w:p w14:paraId="7CD563BE" w14:textId="1DE45455" w:rsidR="0096129B" w:rsidRPr="00463ED1" w:rsidRDefault="0092491E"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7546B449"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8B109E">
        <w:rPr>
          <w:rFonts w:cs="Arial"/>
          <w:i/>
          <w:szCs w:val="22"/>
        </w:rPr>
        <w:t xml:space="preserve"> - ‘Number’</w:t>
      </w:r>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26B04636" w:rsidR="0096129B" w:rsidRPr="004741B6" w:rsidRDefault="004A78CB" w:rsidP="00296DD8">
            <w:pPr>
              <w:ind w:left="-142" w:firstLine="142"/>
            </w:pPr>
            <w:r>
              <w:t>1 January 2024</w:t>
            </w:r>
            <w:r w:rsidR="002B0AA9">
              <w:t xml:space="preserve"> to </w:t>
            </w:r>
            <w:r>
              <w:t>31 March 2024</w:t>
            </w:r>
          </w:p>
        </w:tc>
        <w:tc>
          <w:tcPr>
            <w:tcW w:w="1417" w:type="dxa"/>
            <w:vAlign w:val="center"/>
          </w:tcPr>
          <w:p w14:paraId="2AB3BB4D" w14:textId="43BB7E9F" w:rsidR="0096129B" w:rsidRPr="00FD0F4F" w:rsidRDefault="00FD2D60"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7DEF55DE"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8B109E">
        <w:t xml:space="preserve"> - </w:t>
      </w:r>
      <w:r w:rsidR="008B109E" w:rsidRPr="008B109E">
        <w:t>1 January 2024 to 31 March 2024</w:t>
      </w:r>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1329531" w14:textId="48C63D82" w:rsidR="00414C35" w:rsidRDefault="004A78CB" w:rsidP="0096129B">
            <w:pPr>
              <w:pStyle w:val="Heading2"/>
              <w:numPr>
                <w:ilvl w:val="0"/>
                <w:numId w:val="0"/>
              </w:numPr>
              <w:spacing w:before="120" w:after="120"/>
              <w:jc w:val="center"/>
              <w:outlineLvl w:val="1"/>
              <w:rPr>
                <w:rFonts w:ascii="Gill Sans MT" w:hAnsi="Gill Sans MT"/>
              </w:rPr>
            </w:pPr>
            <w:r>
              <w:rPr>
                <w:rFonts w:cs="Arial"/>
                <w:i/>
              </w:rPr>
              <w:t>1 January 2024</w:t>
            </w:r>
            <w:r w:rsidR="00414C35">
              <w:rPr>
                <w:rFonts w:cs="Arial"/>
                <w:i/>
              </w:rPr>
              <w:t xml:space="preserve"> to </w:t>
            </w:r>
            <w:r>
              <w:rPr>
                <w:rFonts w:cs="Arial"/>
                <w:i/>
              </w:rPr>
              <w:t>31 March 2024</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FF1C76F" w14:textId="0F75A8BB" w:rsidR="00414C35" w:rsidRPr="000C0C08" w:rsidRDefault="0092491E"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197CB196" w14:textId="47598D06" w:rsidR="00414C35" w:rsidRDefault="0092491E"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1E5E87E1" w:rsidR="00414C35" w:rsidRPr="000C0C08" w:rsidRDefault="00FD2D60"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2C380118" w:rsidR="00414C35" w:rsidRDefault="0092491E"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6BE7714A" w14:textId="0AF9A265" w:rsidR="00414C35" w:rsidRDefault="0092491E"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3940A785" w14:textId="1C8E2C98" w:rsidR="00414C35" w:rsidRPr="00B622A4" w:rsidRDefault="0092491E" w:rsidP="00C3663B">
            <w:pPr>
              <w:pStyle w:val="Heading2"/>
              <w:numPr>
                <w:ilvl w:val="0"/>
                <w:numId w:val="0"/>
              </w:numPr>
              <w:spacing w:before="120" w:after="120"/>
              <w:jc w:val="center"/>
              <w:outlineLvl w:val="1"/>
              <w:rPr>
                <w:rFonts w:ascii="Gill Sans MT" w:hAnsi="Gill Sans MT"/>
              </w:rPr>
            </w:pPr>
            <w:r>
              <w:rPr>
                <w:rFonts w:ascii="Gill Sans MT" w:hAnsi="Gill Sans MT"/>
              </w:rPr>
              <w:t>&lt;20</w:t>
            </w:r>
          </w:p>
        </w:tc>
        <w:tc>
          <w:tcPr>
            <w:tcW w:w="2951" w:type="dxa"/>
            <w:vAlign w:val="center"/>
          </w:tcPr>
          <w:p w14:paraId="00677DA6" w14:textId="1E9FC282" w:rsidR="00414C35" w:rsidRPr="00B622A4" w:rsidRDefault="00891413"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5F7DD141"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28"/>
      <w:r w:rsidR="001053D0">
        <w:rPr>
          <w:rFonts w:ascii="Arial" w:hAnsi="Arial" w:cs="Arial"/>
          <w:i/>
        </w:rPr>
        <w:br/>
      </w:r>
    </w:p>
    <w:tbl>
      <w:tblPr>
        <w:tblStyle w:val="LeftAlignTable"/>
        <w:tblW w:w="14898" w:type="dxa"/>
        <w:tblLook w:val="04E0" w:firstRow="1" w:lastRow="1" w:firstColumn="1" w:lastColumn="0" w:noHBand="0" w:noVBand="1"/>
        <w:tblCaption w:val="11a. Non Payment Periods (Serious and UNPPs) 1 January to 31 March 2024"/>
        <w:tblDescription w:val="Non Payment Periods (Serious and UNPPs)"/>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934A31" w:rsidRPr="00325EF7" w14:paraId="244A5F67" w14:textId="77777777" w:rsidTr="00934A31">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934A31" w:rsidRPr="00325EF7" w:rsidRDefault="00934A31" w:rsidP="00934A31">
            <w:pPr>
              <w:ind w:left="-142" w:firstLine="142"/>
            </w:pPr>
            <w:r w:rsidRPr="00325EF7">
              <w:t xml:space="preserve">Sub Total NPPs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A87C1" w14:textId="41CED69E"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tcBorders>
              <w:top w:val="single" w:sz="4" w:space="0" w:color="auto"/>
              <w:left w:val="nil"/>
              <w:bottom w:val="single" w:sz="4" w:space="0" w:color="auto"/>
              <w:right w:val="single" w:sz="4" w:space="0" w:color="auto"/>
            </w:tcBorders>
            <w:shd w:val="clear" w:color="auto" w:fill="auto"/>
            <w:vAlign w:val="center"/>
          </w:tcPr>
          <w:p w14:paraId="0956E004" w14:textId="09F10F67"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506" w:type="dxa"/>
            <w:tcBorders>
              <w:top w:val="single" w:sz="4" w:space="0" w:color="auto"/>
              <w:left w:val="nil"/>
              <w:bottom w:val="single" w:sz="4" w:space="0" w:color="auto"/>
              <w:right w:val="single" w:sz="4" w:space="0" w:color="auto"/>
            </w:tcBorders>
            <w:shd w:val="clear" w:color="auto" w:fill="auto"/>
            <w:vAlign w:val="center"/>
          </w:tcPr>
          <w:p w14:paraId="64DCB851" w14:textId="645909B5"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377" w:type="dxa"/>
            <w:tcBorders>
              <w:top w:val="single" w:sz="4" w:space="0" w:color="auto"/>
              <w:left w:val="nil"/>
              <w:bottom w:val="single" w:sz="4" w:space="0" w:color="auto"/>
              <w:right w:val="single" w:sz="4" w:space="0" w:color="auto"/>
            </w:tcBorders>
            <w:shd w:val="clear" w:color="auto" w:fill="auto"/>
            <w:vAlign w:val="center"/>
          </w:tcPr>
          <w:p w14:paraId="0297E47B" w14:textId="21252744"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354" w:type="dxa"/>
            <w:tcBorders>
              <w:top w:val="single" w:sz="4" w:space="0" w:color="auto"/>
              <w:left w:val="nil"/>
              <w:bottom w:val="single" w:sz="4" w:space="0" w:color="auto"/>
              <w:right w:val="single" w:sz="4" w:space="0" w:color="auto"/>
            </w:tcBorders>
            <w:shd w:val="clear" w:color="auto" w:fill="auto"/>
            <w:vAlign w:val="center"/>
          </w:tcPr>
          <w:p w14:paraId="1824E920" w14:textId="05F0F19B"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1" w:type="dxa"/>
            <w:tcBorders>
              <w:top w:val="single" w:sz="4" w:space="0" w:color="auto"/>
              <w:left w:val="nil"/>
              <w:bottom w:val="single" w:sz="4" w:space="0" w:color="auto"/>
              <w:right w:val="single" w:sz="4" w:space="0" w:color="auto"/>
            </w:tcBorders>
            <w:shd w:val="clear" w:color="auto" w:fill="auto"/>
            <w:vAlign w:val="center"/>
          </w:tcPr>
          <w:p w14:paraId="5B102B12" w14:textId="7D102085"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934A31">
              <w:rPr>
                <w:rFonts w:cs="Gill Sans MT"/>
                <w:b w:val="0"/>
                <w:bCs/>
                <w:color w:val="000000"/>
              </w:rPr>
              <w:t>100.00%</w:t>
            </w:r>
          </w:p>
        </w:tc>
        <w:tc>
          <w:tcPr>
            <w:tcW w:w="1287" w:type="dxa"/>
            <w:tcBorders>
              <w:top w:val="single" w:sz="4" w:space="0" w:color="auto"/>
              <w:left w:val="nil"/>
              <w:bottom w:val="single" w:sz="4" w:space="0" w:color="auto"/>
              <w:right w:val="single" w:sz="4" w:space="0" w:color="auto"/>
            </w:tcBorders>
            <w:shd w:val="clear" w:color="auto" w:fill="auto"/>
            <w:vAlign w:val="center"/>
          </w:tcPr>
          <w:p w14:paraId="16513618" w14:textId="6EBC9975"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934A31">
              <w:rPr>
                <w:rFonts w:cs="Gill Sans MT"/>
                <w:b w:val="0"/>
                <w:bCs/>
                <w:color w:val="000000"/>
              </w:rPr>
              <w:t>44</w:t>
            </w:r>
          </w:p>
        </w:tc>
        <w:tc>
          <w:tcPr>
            <w:tcW w:w="1287" w:type="dxa"/>
            <w:tcBorders>
              <w:top w:val="single" w:sz="4" w:space="0" w:color="auto"/>
              <w:left w:val="nil"/>
              <w:bottom w:val="single" w:sz="4" w:space="0" w:color="auto"/>
              <w:right w:val="single" w:sz="4" w:space="0" w:color="auto"/>
            </w:tcBorders>
            <w:shd w:val="clear" w:color="auto" w:fill="auto"/>
            <w:vAlign w:val="center"/>
          </w:tcPr>
          <w:p w14:paraId="4495076B" w14:textId="5458032E"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934A31">
              <w:rPr>
                <w:rFonts w:cs="Gill Sans MT"/>
                <w:b w:val="0"/>
                <w:bCs/>
                <w:color w:val="000000"/>
              </w:rPr>
              <w:t>100.00%</w:t>
            </w:r>
          </w:p>
        </w:tc>
      </w:tr>
    </w:tbl>
    <w:p w14:paraId="543AA97D" w14:textId="58068B5B"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29"/>
      <w:r w:rsidR="001053D0">
        <w:rPr>
          <w:rFonts w:ascii="Arial" w:hAnsi="Arial" w:cs="Arial"/>
          <w:i/>
        </w:rPr>
        <w:br/>
      </w:r>
    </w:p>
    <w:tbl>
      <w:tblPr>
        <w:tblStyle w:val="LeftAlignTable"/>
        <w:tblW w:w="14879" w:type="dxa"/>
        <w:tblLook w:val="04E0" w:firstRow="1" w:lastRow="1" w:firstColumn="1" w:lastColumn="0" w:noHBand="0" w:noVBand="1"/>
        <w:tblCaption w:val="11b.Short Term Financial Penalties 1 January to 31 March 2024"/>
        <w:tblDescription w:val="Short Term Financial Penalties (Non-Attendance, Reconnection and NSNP)"/>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34A31" w:rsidRPr="00325EF7" w14:paraId="5CEA1DE2" w14:textId="77777777" w:rsidTr="00934A3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934A31" w:rsidRPr="00E84EAF" w:rsidRDefault="00934A31" w:rsidP="00934A31">
            <w:pPr>
              <w:spacing w:before="60" w:after="60"/>
              <w:ind w:left="0"/>
              <w:rPr>
                <w:b w:val="0"/>
                <w:noProof/>
              </w:rPr>
            </w:pPr>
            <w:r w:rsidRPr="00E84EAF">
              <w:rPr>
                <w:noProof/>
              </w:rPr>
              <w:t>Sub Total Short Term Financial Penalties</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4BC3C6" w14:textId="4326ACB9"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A25A4C" w14:textId="41EA2C89"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NP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EE782" w14:textId="3906D182"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42E29" w14:textId="55A03C5F"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5B9CC1" w14:textId="2AAB5413"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998B5B" w14:textId="44368988"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3E39F" w14:textId="47256828"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02220" w14:textId="6DA20567"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4A31">
              <w:rPr>
                <w:b w:val="0"/>
                <w:bCs/>
              </w:rPr>
              <w:t>100.00%</w:t>
            </w:r>
          </w:p>
        </w:tc>
      </w:tr>
    </w:tbl>
    <w:p w14:paraId="1C895566" w14:textId="06553C8C"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0"/>
      <w:r w:rsidR="001053D0">
        <w:rPr>
          <w:rFonts w:ascii="Arial" w:hAnsi="Arial" w:cs="Arial"/>
          <w:i/>
        </w:rPr>
        <w:br/>
      </w:r>
    </w:p>
    <w:tbl>
      <w:tblPr>
        <w:tblStyle w:val="LeftAlignTable"/>
        <w:tblW w:w="10418" w:type="dxa"/>
        <w:tblLook w:val="04E0" w:firstRow="1" w:lastRow="1" w:firstColumn="1" w:lastColumn="0" w:noHBand="0" w:noVBand="1"/>
        <w:tblCaption w:val="Total Financial Penalties 1 January to 31 March 2024"/>
        <w:tblDescription w:val="Male and female ratio"/>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34A31" w:rsidRPr="00325EF7" w14:paraId="34D7857A" w14:textId="77777777" w:rsidTr="00934A3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D6D9B6F" w14:textId="2CE1A39B" w:rsidR="00934A31" w:rsidRPr="00934A31" w:rsidRDefault="0092491E" w:rsidP="00934A31">
            <w:pPr>
              <w:autoSpaceDE w:val="0"/>
              <w:autoSpaceDN w:val="0"/>
              <w:adjustRightInd w:val="0"/>
              <w:spacing w:before="0"/>
              <w:ind w:left="0"/>
              <w:jc w:val="center"/>
              <w:rPr>
                <w:rFonts w:cs="Gill Sans MT"/>
                <w:color w:val="000000"/>
              </w:rPr>
            </w:pPr>
            <w:r>
              <w:rPr>
                <w:rFonts w:cs="Gill Sans MT"/>
                <w:color w:val="000000"/>
              </w:rPr>
              <w:t>&lt;20</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F0E0AB" w14:textId="0BAB4B10"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12" w:type="dxa"/>
            <w:tcBorders>
              <w:top w:val="single" w:sz="4" w:space="0" w:color="auto"/>
              <w:left w:val="nil"/>
              <w:bottom w:val="single" w:sz="4" w:space="0" w:color="auto"/>
              <w:right w:val="single" w:sz="4" w:space="0" w:color="auto"/>
            </w:tcBorders>
            <w:shd w:val="clear" w:color="auto" w:fill="auto"/>
            <w:vAlign w:val="center"/>
          </w:tcPr>
          <w:p w14:paraId="63E7E25A" w14:textId="4375F605"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E375A1" w14:textId="5AB797F4"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43" w:type="dxa"/>
            <w:tcBorders>
              <w:top w:val="single" w:sz="4" w:space="0" w:color="auto"/>
              <w:left w:val="nil"/>
              <w:bottom w:val="single" w:sz="4" w:space="0" w:color="auto"/>
              <w:right w:val="single" w:sz="4" w:space="0" w:color="auto"/>
            </w:tcBorders>
            <w:shd w:val="clear" w:color="auto" w:fill="auto"/>
            <w:vAlign w:val="center"/>
          </w:tcPr>
          <w:p w14:paraId="1E2480A6" w14:textId="73AF2EA5" w:rsidR="00934A31" w:rsidRPr="00934A31" w:rsidRDefault="0092491E"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86" w:type="dxa"/>
            <w:tcBorders>
              <w:top w:val="single" w:sz="4" w:space="0" w:color="auto"/>
              <w:left w:val="nil"/>
              <w:bottom w:val="single" w:sz="4" w:space="0" w:color="auto"/>
              <w:right w:val="single" w:sz="4" w:space="0" w:color="auto"/>
            </w:tcBorders>
            <w:shd w:val="clear" w:color="auto" w:fill="auto"/>
            <w:vAlign w:val="center"/>
          </w:tcPr>
          <w:p w14:paraId="79682E01" w14:textId="0B4908B6"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34A31">
              <w:rPr>
                <w:rFonts w:cs="Gill Sans MT"/>
                <w:color w:val="000000"/>
              </w:rPr>
              <w:t>100.00%</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B9C411" w14:textId="28D8E7C2" w:rsidR="00934A31" w:rsidRPr="00934A31"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26" w:type="dxa"/>
            <w:tcBorders>
              <w:top w:val="single" w:sz="4" w:space="0" w:color="auto"/>
              <w:left w:val="nil"/>
              <w:bottom w:val="single" w:sz="4" w:space="0" w:color="auto"/>
              <w:right w:val="single" w:sz="4" w:space="0" w:color="auto"/>
            </w:tcBorders>
            <w:shd w:val="clear" w:color="auto" w:fill="auto"/>
            <w:vAlign w:val="center"/>
          </w:tcPr>
          <w:p w14:paraId="6DA382A2" w14:textId="297C2EC1" w:rsidR="00934A31" w:rsidRPr="00934A31"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34A31">
              <w:rPr>
                <w:rFonts w:cs="Gill Sans MT"/>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7513AF1B"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1"/>
      <w:r w:rsidR="001053D0">
        <w:br/>
      </w:r>
    </w:p>
    <w:tbl>
      <w:tblPr>
        <w:tblStyle w:val="LeftAlignTable"/>
        <w:tblW w:w="14879" w:type="dxa"/>
        <w:tblLook w:val="06A0" w:firstRow="1" w:lastRow="0" w:firstColumn="1" w:lastColumn="0" w:noHBand="1" w:noVBand="1"/>
        <w:tblCaption w:val="11d. Income Support Payment Suspensions 1 January to 31 March 2024"/>
        <w:tblDescription w:val="Income Support payment suspensions&#10;Income support payment suspension - non-attendance at appointment&#10;Income support payment suspension – disengagement from activity&#10;Total Income Support payment suspensions&#10;"/>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934A31" w:rsidRPr="00FB63AD" w14:paraId="03A296C1" w14:textId="77777777" w:rsidTr="00934A31">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934A31" w:rsidRPr="00FB63AD" w:rsidRDefault="00934A31" w:rsidP="00934A31">
            <w:pPr>
              <w:ind w:left="0"/>
            </w:pPr>
            <w:r w:rsidRPr="00FB63AD">
              <w:rPr>
                <w:bCs/>
              </w:rPr>
              <w:t xml:space="preserve">Income support payment suspension - </w:t>
            </w:r>
            <w:r>
              <w:rPr>
                <w:bCs/>
              </w:rPr>
              <w:br/>
            </w:r>
            <w:r w:rsidRPr="00FB63AD">
              <w:rPr>
                <w:bCs/>
              </w:rPr>
              <w:t>non-attendance at appointment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C5D6DFE" w14:textId="43C74491"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17A45" w14:textId="4E9E4C1C"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57.87%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CC9078" w14:textId="29DABB6B"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14,298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188C" w14:textId="4754CB44"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ED7B3D" w14:textId="1B06CFEA"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DBED5" w14:textId="6F63002C"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AECBF7" w14:textId="440A92B8"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88,472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3B3B8" w14:textId="64AB64B3"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934A31" w:rsidRPr="00FB63AD" w14:paraId="23176E53" w14:textId="77777777" w:rsidTr="00934A31">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934A31" w:rsidRPr="00FB63AD" w:rsidRDefault="00934A31" w:rsidP="00934A31">
            <w:pPr>
              <w:ind w:left="0"/>
            </w:pPr>
            <w:r w:rsidRPr="00FB63AD">
              <w:rPr>
                <w:bCs/>
              </w:rPr>
              <w:t>Income support payment suspension – disengagement from activity</w:t>
            </w:r>
          </w:p>
        </w:tc>
        <w:tc>
          <w:tcPr>
            <w:tcW w:w="1310" w:type="dxa"/>
            <w:tcBorders>
              <w:top w:val="nil"/>
              <w:left w:val="single" w:sz="4" w:space="0" w:color="auto"/>
              <w:bottom w:val="single" w:sz="4" w:space="0" w:color="auto"/>
              <w:right w:val="single" w:sz="4" w:space="0" w:color="auto"/>
            </w:tcBorders>
            <w:shd w:val="clear" w:color="auto" w:fill="auto"/>
            <w:vAlign w:val="center"/>
          </w:tcPr>
          <w:p w14:paraId="731708F9" w14:textId="1E430849"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tcBorders>
              <w:top w:val="nil"/>
              <w:left w:val="nil"/>
              <w:bottom w:val="single" w:sz="4" w:space="0" w:color="auto"/>
              <w:right w:val="single" w:sz="4" w:space="0" w:color="auto"/>
            </w:tcBorders>
            <w:shd w:val="clear" w:color="auto" w:fill="auto"/>
            <w:vAlign w:val="center"/>
          </w:tcPr>
          <w:p w14:paraId="55C03ECD" w14:textId="0CA1A985"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B363289" w14:textId="30F1145B"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93D9978" w14:textId="2BA6B403"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tcBorders>
              <w:top w:val="nil"/>
              <w:left w:val="nil"/>
              <w:bottom w:val="single" w:sz="4" w:space="0" w:color="auto"/>
              <w:right w:val="single" w:sz="4" w:space="0" w:color="auto"/>
            </w:tcBorders>
            <w:shd w:val="clear" w:color="auto" w:fill="auto"/>
            <w:vAlign w:val="center"/>
          </w:tcPr>
          <w:p w14:paraId="4B35796B" w14:textId="35549F79"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5D7FDC34" w14:textId="0A76AA45"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tcBorders>
              <w:top w:val="nil"/>
              <w:left w:val="nil"/>
              <w:bottom w:val="single" w:sz="4" w:space="0" w:color="auto"/>
              <w:right w:val="single" w:sz="4" w:space="0" w:color="auto"/>
            </w:tcBorders>
            <w:shd w:val="clear" w:color="auto" w:fill="auto"/>
            <w:vAlign w:val="center"/>
          </w:tcPr>
          <w:p w14:paraId="0D2FAB08" w14:textId="056ECD38"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8C11A35" w14:textId="06C3A102" w:rsidR="00934A31" w:rsidRPr="00FD2D60"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934A31" w:rsidRPr="00FB63AD" w14:paraId="59308EB7" w14:textId="77777777" w:rsidTr="00934A31">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934A31" w:rsidRPr="00FB63AD" w:rsidRDefault="00934A31" w:rsidP="00934A31">
            <w:pPr>
              <w:ind w:left="0"/>
              <w:rPr>
                <w:b/>
                <w:bCs/>
              </w:rPr>
            </w:pPr>
            <w:r w:rsidRPr="00FB63AD">
              <w:rPr>
                <w:b/>
                <w:bCs/>
              </w:rPr>
              <w:t>Total Income Support payment suspensions</w:t>
            </w:r>
          </w:p>
        </w:tc>
        <w:tc>
          <w:tcPr>
            <w:tcW w:w="1310" w:type="dxa"/>
            <w:tcBorders>
              <w:top w:val="nil"/>
              <w:left w:val="single" w:sz="4" w:space="0" w:color="auto"/>
              <w:bottom w:val="single" w:sz="4" w:space="0" w:color="auto"/>
              <w:right w:val="single" w:sz="4" w:space="0" w:color="auto"/>
            </w:tcBorders>
            <w:shd w:val="clear" w:color="auto" w:fill="auto"/>
            <w:vAlign w:val="center"/>
          </w:tcPr>
          <w:p w14:paraId="1ACBFEE3" w14:textId="1A047E07"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19,637</w:t>
            </w:r>
          </w:p>
        </w:tc>
        <w:tc>
          <w:tcPr>
            <w:tcW w:w="1134" w:type="dxa"/>
            <w:tcBorders>
              <w:top w:val="nil"/>
              <w:left w:val="nil"/>
              <w:bottom w:val="single" w:sz="4" w:space="0" w:color="auto"/>
              <w:right w:val="single" w:sz="4" w:space="0" w:color="auto"/>
            </w:tcBorders>
            <w:shd w:val="clear" w:color="auto" w:fill="auto"/>
            <w:vAlign w:val="center"/>
          </w:tcPr>
          <w:p w14:paraId="1EFE024A" w14:textId="3963A424"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57.87%</w:t>
            </w:r>
          </w:p>
        </w:tc>
        <w:tc>
          <w:tcPr>
            <w:tcW w:w="1559" w:type="dxa"/>
            <w:tcBorders>
              <w:top w:val="nil"/>
              <w:left w:val="nil"/>
              <w:bottom w:val="single" w:sz="4" w:space="0" w:color="auto"/>
              <w:right w:val="single" w:sz="4" w:space="0" w:color="auto"/>
            </w:tcBorders>
            <w:shd w:val="clear" w:color="auto" w:fill="auto"/>
            <w:vAlign w:val="center"/>
          </w:tcPr>
          <w:p w14:paraId="11AA90BA" w14:textId="3E9CCB80"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14,298</w:t>
            </w:r>
          </w:p>
        </w:tc>
        <w:tc>
          <w:tcPr>
            <w:tcW w:w="1276" w:type="dxa"/>
            <w:tcBorders>
              <w:top w:val="nil"/>
              <w:left w:val="nil"/>
              <w:bottom w:val="single" w:sz="4" w:space="0" w:color="auto"/>
              <w:right w:val="single" w:sz="4" w:space="0" w:color="auto"/>
            </w:tcBorders>
            <w:shd w:val="clear" w:color="auto" w:fill="auto"/>
            <w:vAlign w:val="center"/>
          </w:tcPr>
          <w:p w14:paraId="577ED9C1" w14:textId="2037BFD9"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42.13%</w:t>
            </w:r>
          </w:p>
        </w:tc>
        <w:tc>
          <w:tcPr>
            <w:tcW w:w="1417" w:type="dxa"/>
            <w:tcBorders>
              <w:top w:val="nil"/>
              <w:left w:val="nil"/>
              <w:bottom w:val="single" w:sz="4" w:space="0" w:color="auto"/>
              <w:right w:val="single" w:sz="4" w:space="0" w:color="auto"/>
            </w:tcBorders>
            <w:shd w:val="clear" w:color="auto" w:fill="auto"/>
            <w:vAlign w:val="center"/>
          </w:tcPr>
          <w:p w14:paraId="3874A512" w14:textId="15C7B336"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33,935</w:t>
            </w:r>
          </w:p>
        </w:tc>
        <w:tc>
          <w:tcPr>
            <w:tcW w:w="1276" w:type="dxa"/>
            <w:tcBorders>
              <w:top w:val="nil"/>
              <w:left w:val="nil"/>
              <w:bottom w:val="single" w:sz="4" w:space="0" w:color="auto"/>
              <w:right w:val="single" w:sz="4" w:space="0" w:color="auto"/>
            </w:tcBorders>
            <w:shd w:val="clear" w:color="auto" w:fill="auto"/>
            <w:vAlign w:val="center"/>
          </w:tcPr>
          <w:p w14:paraId="6DED62DA" w14:textId="2932EE1E"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100.00%</w:t>
            </w:r>
          </w:p>
        </w:tc>
        <w:tc>
          <w:tcPr>
            <w:tcW w:w="1276" w:type="dxa"/>
            <w:tcBorders>
              <w:top w:val="nil"/>
              <w:left w:val="nil"/>
              <w:bottom w:val="single" w:sz="4" w:space="0" w:color="auto"/>
              <w:right w:val="single" w:sz="4" w:space="0" w:color="auto"/>
            </w:tcBorders>
            <w:shd w:val="clear" w:color="auto" w:fill="auto"/>
            <w:vAlign w:val="center"/>
          </w:tcPr>
          <w:p w14:paraId="46F631B1" w14:textId="21E5C406"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88,472</w:t>
            </w:r>
          </w:p>
        </w:tc>
        <w:tc>
          <w:tcPr>
            <w:tcW w:w="1276" w:type="dxa"/>
            <w:tcBorders>
              <w:top w:val="nil"/>
              <w:left w:val="nil"/>
              <w:bottom w:val="single" w:sz="4" w:space="0" w:color="auto"/>
              <w:right w:val="single" w:sz="4" w:space="0" w:color="auto"/>
            </w:tcBorders>
            <w:shd w:val="clear" w:color="auto" w:fill="auto"/>
            <w:vAlign w:val="center"/>
          </w:tcPr>
          <w:p w14:paraId="6DDD2DBD" w14:textId="069DECD4" w:rsidR="00934A31" w:rsidRPr="00934A31" w:rsidRDefault="00934A31" w:rsidP="00934A3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934A31">
              <w:rPr>
                <w:rFonts w:cs="Gill Sans MT"/>
                <w:b/>
                <w:bCs/>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 xml:space="preserve">part of the </w:t>
      </w:r>
      <w:r w:rsidRPr="002B3DDA">
        <w:rPr>
          <w:noProof/>
        </w:rPr>
        <w:lastRenderedPageBreak/>
        <w:t>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31AA7726"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Caption w:val="12a. Non Payment Periods (Serious and UNPPs) 1 January to 31 March 2024"/>
        <w:tblDescription w:val="Non Payment Periods (Serious and UNPPs) by Indigenous status"/>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934A31" w:rsidRPr="00FB63AD" w14:paraId="776520BA" w14:textId="77777777" w:rsidTr="00934A3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934A31" w:rsidRPr="00FB63AD" w:rsidRDefault="00934A31" w:rsidP="00934A31">
            <w:pPr>
              <w:ind w:left="-142" w:firstLine="142"/>
            </w:pPr>
            <w:r w:rsidRPr="00FB63AD">
              <w:t xml:space="preserve">Sub Total NPPs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E6B8E" w14:textId="07FD746C"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B0FD21" w14:textId="033A666E"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BACF7" w14:textId="66E934B5"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72845" w14:textId="55EB53B6"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B09CCF" w14:textId="4F8568A6"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C7E74" w14:textId="15F96D86"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BE608" w14:textId="1CEB72FE"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w:t>
            </w:r>
          </w:p>
        </w:tc>
        <w:tc>
          <w:tcPr>
            <w:tcW w:w="1247" w:type="dxa"/>
            <w:tcBorders>
              <w:top w:val="single" w:sz="4" w:space="0" w:color="auto"/>
              <w:left w:val="nil"/>
              <w:bottom w:val="single" w:sz="4" w:space="0" w:color="auto"/>
              <w:right w:val="single" w:sz="4" w:space="0" w:color="auto"/>
            </w:tcBorders>
            <w:shd w:val="clear" w:color="auto" w:fill="auto"/>
            <w:vAlign w:val="center"/>
          </w:tcPr>
          <w:p w14:paraId="21849C19" w14:textId="0FA72E6D"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1DB289C2"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Caption w:val="12b. Short Term Financial Penalties 1 January to 31 March 2024"/>
        <w:tblDescription w:val=" Short Term Financial Penalties (Non-Attendance, Reconnection and NSNP)&#10;Sub Total Short Term Financial Penalties by Indgenous status"/>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934A31" w:rsidRPr="00FB63AD" w14:paraId="62A368B4" w14:textId="77777777" w:rsidTr="00934A3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934A31" w:rsidRPr="00FB63AD" w:rsidRDefault="00934A31" w:rsidP="00934A31">
            <w:pPr>
              <w:ind w:left="0"/>
            </w:pPr>
            <w:r w:rsidRPr="00FB63AD">
              <w:t>Sub Total Short Term Financial Penalties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1C2CF8" w14:textId="42F9AE47"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F60136" w14:textId="7F9FAF0F"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9234C" w14:textId="55F73552"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EBFAAB" w14:textId="5AEDF5D0"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FC46B7" w14:textId="6F283DFB"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31B718" w14:textId="622F3C56"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49DAAD" w14:textId="62E1998A" w:rsidR="00934A31" w:rsidRPr="00B622A4" w:rsidRDefault="002F6CCF"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tcBorders>
              <w:top w:val="single" w:sz="4" w:space="0" w:color="auto"/>
              <w:left w:val="nil"/>
              <w:bottom w:val="single" w:sz="4" w:space="0" w:color="auto"/>
              <w:right w:val="single" w:sz="4" w:space="0" w:color="auto"/>
            </w:tcBorders>
            <w:shd w:val="clear" w:color="auto" w:fill="auto"/>
            <w:vAlign w:val="center"/>
          </w:tcPr>
          <w:p w14:paraId="4B56F936" w14:textId="023B20E3" w:rsidR="00934A31" w:rsidRPr="00B622A4" w:rsidRDefault="00934A31" w:rsidP="00934A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7B9E1639"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5"/>
      <w:r w:rsidR="001053D0">
        <w:rPr>
          <w:rFonts w:ascii="Arial" w:hAnsi="Arial" w:cs="Arial"/>
          <w:i/>
        </w:rPr>
        <w:br/>
      </w:r>
    </w:p>
    <w:tbl>
      <w:tblPr>
        <w:tblStyle w:val="LeftAlignTable"/>
        <w:tblW w:w="10529" w:type="dxa"/>
        <w:tblLook w:val="04E0" w:firstRow="1" w:lastRow="1" w:firstColumn="1" w:lastColumn="0" w:noHBand="0" w:noVBand="1"/>
        <w:tblCaption w:val="12c. Total Financial Penalties 1 January to 31 March 2024"/>
        <w:tblDescription w:val="By Indigenous status"/>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392126D2" w14:textId="77777777" w:rsidTr="00B9289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4E9C0EB" w14:textId="5CEE2159" w:rsidR="00B92891" w:rsidRPr="00B92891" w:rsidRDefault="002F6CCF" w:rsidP="00B92891">
            <w:pPr>
              <w:autoSpaceDE w:val="0"/>
              <w:autoSpaceDN w:val="0"/>
              <w:adjustRightInd w:val="0"/>
              <w:spacing w:before="0"/>
              <w:ind w:left="0"/>
              <w:jc w:val="center"/>
              <w:rPr>
                <w:rFonts w:cs="Gill Sans MT"/>
                <w:color w:val="000000"/>
              </w:rPr>
            </w:pPr>
            <w:r>
              <w:rPr>
                <w:rFonts w:cs="Gill Sans MT"/>
                <w:color w:val="000000"/>
              </w:rPr>
              <w:t>&lt;20</w:t>
            </w:r>
          </w:p>
        </w:tc>
        <w:tc>
          <w:tcPr>
            <w:tcW w:w="1328" w:type="dxa"/>
            <w:tcBorders>
              <w:top w:val="single" w:sz="4" w:space="0" w:color="auto"/>
              <w:left w:val="nil"/>
              <w:bottom w:val="single" w:sz="4" w:space="0" w:color="auto"/>
              <w:right w:val="single" w:sz="4" w:space="0" w:color="auto"/>
            </w:tcBorders>
            <w:shd w:val="clear" w:color="auto" w:fill="auto"/>
            <w:vAlign w:val="center"/>
          </w:tcPr>
          <w:p w14:paraId="769AD315" w14:textId="4D106D0D"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08" w:type="dxa"/>
            <w:tcBorders>
              <w:top w:val="single" w:sz="4" w:space="0" w:color="auto"/>
              <w:left w:val="nil"/>
              <w:bottom w:val="single" w:sz="4" w:space="0" w:color="auto"/>
              <w:right w:val="single" w:sz="4" w:space="0" w:color="auto"/>
            </w:tcBorders>
            <w:shd w:val="clear" w:color="auto" w:fill="auto"/>
            <w:vAlign w:val="center"/>
          </w:tcPr>
          <w:p w14:paraId="2CA0B30F" w14:textId="6B44CCFB"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86" w:type="dxa"/>
            <w:tcBorders>
              <w:top w:val="single" w:sz="4" w:space="0" w:color="auto"/>
              <w:left w:val="nil"/>
              <w:bottom w:val="single" w:sz="4" w:space="0" w:color="auto"/>
              <w:right w:val="single" w:sz="4" w:space="0" w:color="auto"/>
            </w:tcBorders>
            <w:shd w:val="clear" w:color="auto" w:fill="auto"/>
            <w:vAlign w:val="center"/>
          </w:tcPr>
          <w:p w14:paraId="2C02059E" w14:textId="6F9FF105"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25" w:type="dxa"/>
            <w:tcBorders>
              <w:top w:val="single" w:sz="4" w:space="0" w:color="auto"/>
              <w:left w:val="nil"/>
              <w:bottom w:val="single" w:sz="4" w:space="0" w:color="auto"/>
              <w:right w:val="single" w:sz="4" w:space="0" w:color="auto"/>
            </w:tcBorders>
            <w:shd w:val="clear" w:color="auto" w:fill="auto"/>
            <w:vAlign w:val="center"/>
          </w:tcPr>
          <w:p w14:paraId="649E3698" w14:textId="54940147"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52" w:type="dxa"/>
            <w:tcBorders>
              <w:top w:val="single" w:sz="4" w:space="0" w:color="auto"/>
              <w:left w:val="nil"/>
              <w:bottom w:val="single" w:sz="4" w:space="0" w:color="auto"/>
              <w:right w:val="single" w:sz="4" w:space="0" w:color="auto"/>
            </w:tcBorders>
            <w:shd w:val="clear" w:color="auto" w:fill="auto"/>
            <w:vAlign w:val="center"/>
          </w:tcPr>
          <w:p w14:paraId="24A147E7" w14:textId="4932B342"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92891">
              <w:rPr>
                <w:rFonts w:cs="Gill Sans MT"/>
                <w:color w:val="000000"/>
              </w:rPr>
              <w:t>100.0%</w:t>
            </w:r>
          </w:p>
        </w:tc>
        <w:tc>
          <w:tcPr>
            <w:tcW w:w="1268" w:type="dxa"/>
            <w:tcBorders>
              <w:top w:val="single" w:sz="4" w:space="0" w:color="auto"/>
              <w:left w:val="nil"/>
              <w:bottom w:val="single" w:sz="4" w:space="0" w:color="auto"/>
              <w:right w:val="single" w:sz="4" w:space="0" w:color="auto"/>
            </w:tcBorders>
            <w:shd w:val="clear" w:color="auto" w:fill="auto"/>
            <w:vAlign w:val="center"/>
          </w:tcPr>
          <w:p w14:paraId="5A5024DC" w14:textId="570F6C43"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2F1C0" w14:textId="48F35AC2"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92891">
              <w:rPr>
                <w:rFonts w:cs="Gill Sans MT"/>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69814A6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Caption w:val="12d. Income Support Payment Suspensions 1 January to 31 March 2024"/>
        <w:tblDescription w:val="Income support payment suspensions&#10;Income support payment suspension – non-attendance at appointment&#10;Income support payment suspension – disengagement from activity&#10;Total Income Support payment suspensions by Indigenous status"/>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92891" w:rsidRPr="00FB63AD" w14:paraId="2BD20B94" w14:textId="77777777" w:rsidTr="00B92891">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B92891" w:rsidRPr="00FB63AD" w:rsidRDefault="00B92891" w:rsidP="00B92891">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BCBA3F" w14:textId="26E35479"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32,351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41C37A" w14:textId="7A2C7B72"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95.33%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4E8D3" w14:textId="1788CE49"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1,584</w:t>
            </w:r>
          </w:p>
        </w:tc>
        <w:tc>
          <w:tcPr>
            <w:tcW w:w="1303" w:type="dxa"/>
            <w:tcBorders>
              <w:top w:val="single" w:sz="4" w:space="0" w:color="auto"/>
              <w:left w:val="nil"/>
              <w:bottom w:val="single" w:sz="4" w:space="0" w:color="auto"/>
              <w:right w:val="single" w:sz="4" w:space="0" w:color="auto"/>
            </w:tcBorders>
            <w:shd w:val="clear" w:color="auto" w:fill="auto"/>
            <w:vAlign w:val="center"/>
          </w:tcPr>
          <w:p w14:paraId="3994C7C3" w14:textId="765E8262"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4.67%</w:t>
            </w:r>
          </w:p>
        </w:tc>
        <w:tc>
          <w:tcPr>
            <w:tcW w:w="1390" w:type="dxa"/>
            <w:tcBorders>
              <w:top w:val="single" w:sz="4" w:space="0" w:color="auto"/>
              <w:left w:val="nil"/>
              <w:bottom w:val="single" w:sz="4" w:space="0" w:color="auto"/>
              <w:right w:val="single" w:sz="4" w:space="0" w:color="auto"/>
            </w:tcBorders>
            <w:shd w:val="clear" w:color="auto" w:fill="auto"/>
            <w:vAlign w:val="center"/>
          </w:tcPr>
          <w:p w14:paraId="1BC046E7" w14:textId="22BCEED4"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33,935</w:t>
            </w:r>
          </w:p>
        </w:tc>
        <w:tc>
          <w:tcPr>
            <w:tcW w:w="1311" w:type="dxa"/>
            <w:tcBorders>
              <w:top w:val="single" w:sz="4" w:space="0" w:color="auto"/>
              <w:left w:val="nil"/>
              <w:bottom w:val="single" w:sz="4" w:space="0" w:color="auto"/>
              <w:right w:val="single" w:sz="4" w:space="0" w:color="auto"/>
            </w:tcBorders>
            <w:shd w:val="clear" w:color="auto" w:fill="auto"/>
            <w:vAlign w:val="center"/>
          </w:tcPr>
          <w:p w14:paraId="3A6CD533" w14:textId="4522ECFE"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100.00%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7C3BD1BA" w14:textId="67EAAC08"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88,472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9C25C" w14:textId="30D68DFE"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100.00%</w:t>
            </w:r>
          </w:p>
        </w:tc>
      </w:tr>
      <w:tr w:rsidR="00B92891" w:rsidRPr="00FB63AD" w14:paraId="690CB6BC" w14:textId="77777777" w:rsidTr="00B92891">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B92891" w:rsidRPr="00FB63AD" w:rsidRDefault="00B92891" w:rsidP="00B92891">
            <w:pPr>
              <w:ind w:left="-142" w:firstLine="142"/>
              <w:rPr>
                <w:b w:val="0"/>
                <w:noProof/>
              </w:rPr>
            </w:pPr>
            <w:r w:rsidRPr="00FB63AD">
              <w:rPr>
                <w:bCs/>
              </w:rPr>
              <w:t>Income support payment suspension – disengagement from activity</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7B5F48" w14:textId="32121002"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w:t>
            </w:r>
          </w:p>
        </w:tc>
        <w:tc>
          <w:tcPr>
            <w:tcW w:w="1418" w:type="dxa"/>
            <w:tcBorders>
              <w:top w:val="nil"/>
              <w:left w:val="nil"/>
              <w:bottom w:val="single" w:sz="4" w:space="0" w:color="auto"/>
              <w:right w:val="single" w:sz="4" w:space="0" w:color="auto"/>
            </w:tcBorders>
            <w:shd w:val="clear" w:color="auto" w:fill="auto"/>
            <w:vAlign w:val="center"/>
          </w:tcPr>
          <w:p w14:paraId="1003360F" w14:textId="79FCE22F"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0.00%</w:t>
            </w:r>
          </w:p>
        </w:tc>
        <w:tc>
          <w:tcPr>
            <w:tcW w:w="1417" w:type="dxa"/>
            <w:tcBorders>
              <w:top w:val="nil"/>
              <w:left w:val="nil"/>
              <w:bottom w:val="single" w:sz="4" w:space="0" w:color="auto"/>
              <w:right w:val="single" w:sz="4" w:space="0" w:color="auto"/>
            </w:tcBorders>
            <w:shd w:val="clear" w:color="auto" w:fill="auto"/>
            <w:vAlign w:val="center"/>
          </w:tcPr>
          <w:p w14:paraId="663D9C50" w14:textId="757E0D85"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w:t>
            </w:r>
          </w:p>
        </w:tc>
        <w:tc>
          <w:tcPr>
            <w:tcW w:w="1303" w:type="dxa"/>
            <w:tcBorders>
              <w:top w:val="nil"/>
              <w:left w:val="nil"/>
              <w:bottom w:val="single" w:sz="4" w:space="0" w:color="auto"/>
              <w:right w:val="single" w:sz="4" w:space="0" w:color="auto"/>
            </w:tcBorders>
            <w:shd w:val="clear" w:color="auto" w:fill="auto"/>
            <w:vAlign w:val="center"/>
          </w:tcPr>
          <w:p w14:paraId="64A2921C" w14:textId="7FD9AF9B"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0.00%</w:t>
            </w:r>
          </w:p>
        </w:tc>
        <w:tc>
          <w:tcPr>
            <w:tcW w:w="1390" w:type="dxa"/>
            <w:tcBorders>
              <w:top w:val="nil"/>
              <w:left w:val="nil"/>
              <w:bottom w:val="single" w:sz="4" w:space="0" w:color="auto"/>
              <w:right w:val="single" w:sz="4" w:space="0" w:color="auto"/>
            </w:tcBorders>
            <w:shd w:val="clear" w:color="auto" w:fill="auto"/>
            <w:vAlign w:val="center"/>
          </w:tcPr>
          <w:p w14:paraId="4BCC2F56" w14:textId="5D32DD18"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w:t>
            </w:r>
          </w:p>
        </w:tc>
        <w:tc>
          <w:tcPr>
            <w:tcW w:w="1311" w:type="dxa"/>
            <w:tcBorders>
              <w:top w:val="nil"/>
              <w:left w:val="nil"/>
              <w:bottom w:val="single" w:sz="4" w:space="0" w:color="auto"/>
              <w:right w:val="single" w:sz="4" w:space="0" w:color="auto"/>
            </w:tcBorders>
            <w:shd w:val="clear" w:color="auto" w:fill="auto"/>
            <w:vAlign w:val="center"/>
          </w:tcPr>
          <w:p w14:paraId="7340D70C" w14:textId="0358D171"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0.00%</w:t>
            </w:r>
          </w:p>
        </w:tc>
        <w:tc>
          <w:tcPr>
            <w:tcW w:w="1241" w:type="dxa"/>
            <w:tcBorders>
              <w:top w:val="nil"/>
              <w:left w:val="nil"/>
              <w:bottom w:val="single" w:sz="4" w:space="0" w:color="auto"/>
              <w:right w:val="single" w:sz="4" w:space="0" w:color="auto"/>
            </w:tcBorders>
            <w:shd w:val="clear" w:color="auto" w:fill="auto"/>
            <w:vAlign w:val="center"/>
          </w:tcPr>
          <w:p w14:paraId="1986DB47" w14:textId="016788DD"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w:t>
            </w:r>
          </w:p>
        </w:tc>
        <w:tc>
          <w:tcPr>
            <w:tcW w:w="1134" w:type="dxa"/>
            <w:tcBorders>
              <w:top w:val="nil"/>
              <w:left w:val="nil"/>
              <w:bottom w:val="single" w:sz="4" w:space="0" w:color="auto"/>
              <w:right w:val="single" w:sz="4" w:space="0" w:color="auto"/>
            </w:tcBorders>
            <w:shd w:val="clear" w:color="auto" w:fill="auto"/>
            <w:vAlign w:val="center"/>
          </w:tcPr>
          <w:p w14:paraId="6596E644" w14:textId="7BFA2B39"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82FF9">
              <w:t>0.00%</w:t>
            </w:r>
          </w:p>
        </w:tc>
      </w:tr>
      <w:tr w:rsidR="00B92891" w:rsidRPr="00FB63AD" w14:paraId="7B3D5436" w14:textId="77777777" w:rsidTr="00B92891">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B92891" w:rsidRPr="00FB63AD" w:rsidRDefault="00B92891" w:rsidP="00B92891">
            <w:pPr>
              <w:ind w:left="0"/>
              <w:jc w:val="left"/>
              <w:rPr>
                <w:bCs/>
              </w:rPr>
            </w:pPr>
            <w:r w:rsidRPr="00FB63AD">
              <w:rPr>
                <w:bCs/>
              </w:rPr>
              <w:t>Total Income Support payment suspensions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E4A2F3" w14:textId="4759189A"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32,351</w:t>
            </w:r>
          </w:p>
        </w:tc>
        <w:tc>
          <w:tcPr>
            <w:tcW w:w="1418" w:type="dxa"/>
            <w:tcBorders>
              <w:top w:val="nil"/>
              <w:left w:val="nil"/>
              <w:bottom w:val="single" w:sz="4" w:space="0" w:color="auto"/>
              <w:right w:val="single" w:sz="4" w:space="0" w:color="auto"/>
            </w:tcBorders>
            <w:shd w:val="clear" w:color="auto" w:fill="auto"/>
            <w:vAlign w:val="center"/>
          </w:tcPr>
          <w:p w14:paraId="2A4C1008" w14:textId="4011AABB"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95.33%</w:t>
            </w:r>
          </w:p>
        </w:tc>
        <w:tc>
          <w:tcPr>
            <w:tcW w:w="1417" w:type="dxa"/>
            <w:tcBorders>
              <w:top w:val="nil"/>
              <w:left w:val="nil"/>
              <w:bottom w:val="single" w:sz="4" w:space="0" w:color="auto"/>
              <w:right w:val="single" w:sz="4" w:space="0" w:color="auto"/>
            </w:tcBorders>
            <w:shd w:val="clear" w:color="auto" w:fill="auto"/>
            <w:vAlign w:val="center"/>
          </w:tcPr>
          <w:p w14:paraId="430FCEE2" w14:textId="00CF9929"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1,584</w:t>
            </w:r>
          </w:p>
        </w:tc>
        <w:tc>
          <w:tcPr>
            <w:tcW w:w="1303" w:type="dxa"/>
            <w:tcBorders>
              <w:top w:val="nil"/>
              <w:left w:val="nil"/>
              <w:bottom w:val="single" w:sz="4" w:space="0" w:color="auto"/>
              <w:right w:val="single" w:sz="4" w:space="0" w:color="auto"/>
            </w:tcBorders>
            <w:shd w:val="clear" w:color="auto" w:fill="auto"/>
            <w:vAlign w:val="center"/>
          </w:tcPr>
          <w:p w14:paraId="508094FC" w14:textId="3733697A"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4.67%</w:t>
            </w:r>
          </w:p>
        </w:tc>
        <w:tc>
          <w:tcPr>
            <w:tcW w:w="1390" w:type="dxa"/>
            <w:tcBorders>
              <w:top w:val="nil"/>
              <w:left w:val="nil"/>
              <w:bottom w:val="single" w:sz="4" w:space="0" w:color="auto"/>
              <w:right w:val="single" w:sz="4" w:space="0" w:color="auto"/>
            </w:tcBorders>
            <w:shd w:val="clear" w:color="auto" w:fill="auto"/>
            <w:vAlign w:val="center"/>
          </w:tcPr>
          <w:p w14:paraId="6FE05C10" w14:textId="4A622DE9"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33,935</w:t>
            </w:r>
          </w:p>
        </w:tc>
        <w:tc>
          <w:tcPr>
            <w:tcW w:w="1311" w:type="dxa"/>
            <w:tcBorders>
              <w:top w:val="nil"/>
              <w:left w:val="nil"/>
              <w:bottom w:val="single" w:sz="4" w:space="0" w:color="auto"/>
              <w:right w:val="single" w:sz="4" w:space="0" w:color="auto"/>
            </w:tcBorders>
            <w:shd w:val="clear" w:color="auto" w:fill="auto"/>
            <w:vAlign w:val="center"/>
          </w:tcPr>
          <w:p w14:paraId="0D38CDD2" w14:textId="3388189D"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100.00%</w:t>
            </w:r>
          </w:p>
        </w:tc>
        <w:tc>
          <w:tcPr>
            <w:tcW w:w="1241" w:type="dxa"/>
            <w:tcBorders>
              <w:top w:val="nil"/>
              <w:left w:val="nil"/>
              <w:bottom w:val="single" w:sz="4" w:space="0" w:color="auto"/>
              <w:right w:val="single" w:sz="4" w:space="0" w:color="auto"/>
            </w:tcBorders>
            <w:shd w:val="clear" w:color="auto" w:fill="auto"/>
            <w:vAlign w:val="center"/>
          </w:tcPr>
          <w:p w14:paraId="573CBC71" w14:textId="07251821"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88,472</w:t>
            </w:r>
          </w:p>
        </w:tc>
        <w:tc>
          <w:tcPr>
            <w:tcW w:w="1134" w:type="dxa"/>
            <w:tcBorders>
              <w:top w:val="nil"/>
              <w:left w:val="nil"/>
              <w:bottom w:val="single" w:sz="4" w:space="0" w:color="auto"/>
              <w:right w:val="single" w:sz="4" w:space="0" w:color="auto"/>
            </w:tcBorders>
            <w:shd w:val="clear" w:color="auto" w:fill="auto"/>
            <w:vAlign w:val="center"/>
          </w:tcPr>
          <w:p w14:paraId="50161C02" w14:textId="351B5C57"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100.00%</w:t>
            </w:r>
          </w:p>
        </w:tc>
      </w:tr>
    </w:tbl>
    <w:p w14:paraId="7AD49380" w14:textId="77777777" w:rsidR="00BF54B3" w:rsidRDefault="002B3DDA" w:rsidP="00BF54B3">
      <w:pPr>
        <w:ind w:left="142"/>
        <w:rPr>
          <w:noProof/>
        </w:rPr>
      </w:pPr>
      <w:r w:rsidRPr="002B3DDA">
        <w:rPr>
          <w:noProof/>
        </w:rPr>
        <w:lastRenderedPageBreak/>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6047FEEE"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8"/>
      <w:r w:rsidR="001053D0">
        <w:rPr>
          <w:rFonts w:ascii="Arial" w:hAnsi="Arial" w:cs="Arial"/>
          <w:i/>
        </w:rPr>
        <w:br/>
      </w:r>
    </w:p>
    <w:tbl>
      <w:tblPr>
        <w:tblStyle w:val="LeftAlignTable"/>
        <w:tblW w:w="0" w:type="auto"/>
        <w:tblLook w:val="04E0" w:firstRow="1" w:lastRow="1" w:firstColumn="1" w:lastColumn="0" w:noHBand="0" w:noVBand="1"/>
        <w:tblCaption w:val="13a. Non Payment Periods (Serious and UNPPs) 1 January to 31 March 2024"/>
        <w:tblDescription w:val="Non Payment Periods (Serious and UNPPs) by age"/>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4C0ECDD5" w14:textId="77777777" w:rsidTr="00B92891">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B92891" w:rsidRPr="00FB63AD" w:rsidRDefault="00B92891" w:rsidP="00B92891">
            <w:pPr>
              <w:keepNext/>
              <w:keepLines/>
              <w:ind w:left="-142" w:firstLine="142"/>
              <w:jc w:val="center"/>
            </w:pPr>
            <w:r w:rsidRPr="00FB63AD">
              <w:t>Sub Total NPPs</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A27ABC8" w14:textId="286CE659"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148" w:type="dxa"/>
            <w:tcBorders>
              <w:top w:val="single" w:sz="4" w:space="0" w:color="auto"/>
              <w:left w:val="nil"/>
              <w:bottom w:val="single" w:sz="4" w:space="0" w:color="auto"/>
              <w:right w:val="single" w:sz="4" w:space="0" w:color="auto"/>
            </w:tcBorders>
            <w:shd w:val="clear" w:color="auto" w:fill="auto"/>
            <w:vAlign w:val="center"/>
          </w:tcPr>
          <w:p w14:paraId="0EF604FB" w14:textId="649C19DA"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388" w:type="dxa"/>
            <w:tcBorders>
              <w:top w:val="single" w:sz="4" w:space="0" w:color="auto"/>
              <w:left w:val="nil"/>
              <w:bottom w:val="single" w:sz="4" w:space="0" w:color="auto"/>
              <w:right w:val="single" w:sz="4" w:space="0" w:color="auto"/>
            </w:tcBorders>
            <w:shd w:val="clear" w:color="auto" w:fill="auto"/>
            <w:vAlign w:val="center"/>
          </w:tcPr>
          <w:p w14:paraId="0F29C530" w14:textId="099AB4DB"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148" w:type="dxa"/>
            <w:tcBorders>
              <w:top w:val="single" w:sz="4" w:space="0" w:color="auto"/>
              <w:left w:val="nil"/>
              <w:bottom w:val="single" w:sz="4" w:space="0" w:color="auto"/>
              <w:right w:val="single" w:sz="4" w:space="0" w:color="auto"/>
            </w:tcBorders>
            <w:shd w:val="clear" w:color="auto" w:fill="auto"/>
            <w:vAlign w:val="center"/>
          </w:tcPr>
          <w:p w14:paraId="507E7829" w14:textId="40A07EAA"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139" w:type="dxa"/>
            <w:tcBorders>
              <w:top w:val="single" w:sz="4" w:space="0" w:color="auto"/>
              <w:left w:val="nil"/>
              <w:bottom w:val="single" w:sz="4" w:space="0" w:color="auto"/>
              <w:right w:val="single" w:sz="4" w:space="0" w:color="auto"/>
            </w:tcBorders>
            <w:shd w:val="clear" w:color="auto" w:fill="auto"/>
            <w:vAlign w:val="center"/>
          </w:tcPr>
          <w:p w14:paraId="1ED49FCD" w14:textId="5B5235D0"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422" w:type="dxa"/>
            <w:tcBorders>
              <w:top w:val="single" w:sz="4" w:space="0" w:color="auto"/>
              <w:left w:val="nil"/>
              <w:bottom w:val="single" w:sz="4" w:space="0" w:color="auto"/>
              <w:right w:val="single" w:sz="4" w:space="0" w:color="auto"/>
            </w:tcBorders>
            <w:shd w:val="clear" w:color="auto" w:fill="auto"/>
            <w:vAlign w:val="center"/>
          </w:tcPr>
          <w:p w14:paraId="5E034C52" w14:textId="34CF643B"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428" w:type="dxa"/>
            <w:tcBorders>
              <w:top w:val="single" w:sz="4" w:space="0" w:color="auto"/>
              <w:left w:val="nil"/>
              <w:bottom w:val="single" w:sz="4" w:space="0" w:color="auto"/>
              <w:right w:val="single" w:sz="4" w:space="0" w:color="auto"/>
            </w:tcBorders>
            <w:shd w:val="clear" w:color="auto" w:fill="auto"/>
            <w:vAlign w:val="center"/>
          </w:tcPr>
          <w:p w14:paraId="3F93BF41" w14:textId="74115D3D"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44</w:t>
            </w:r>
          </w:p>
        </w:tc>
        <w:tc>
          <w:tcPr>
            <w:tcW w:w="1428" w:type="dxa"/>
            <w:tcBorders>
              <w:top w:val="single" w:sz="4" w:space="0" w:color="auto"/>
              <w:left w:val="nil"/>
              <w:bottom w:val="single" w:sz="4" w:space="0" w:color="auto"/>
              <w:right w:val="single" w:sz="4" w:space="0" w:color="auto"/>
            </w:tcBorders>
            <w:shd w:val="clear" w:color="auto" w:fill="auto"/>
            <w:vAlign w:val="center"/>
          </w:tcPr>
          <w:p w14:paraId="221CF5CF" w14:textId="5932F3A8"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3379125E"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39"/>
      <w:r w:rsidR="001053D0">
        <w:rPr>
          <w:rFonts w:ascii="Arial" w:hAnsi="Arial" w:cs="Arial"/>
          <w:i/>
        </w:rPr>
        <w:br/>
      </w:r>
    </w:p>
    <w:tbl>
      <w:tblPr>
        <w:tblStyle w:val="LeftAlignTable"/>
        <w:tblW w:w="0" w:type="auto"/>
        <w:tblLook w:val="04E0" w:firstRow="1" w:lastRow="1" w:firstColumn="1" w:lastColumn="0" w:noHBand="0" w:noVBand="1"/>
        <w:tblCaption w:val="13b. Short Term Financial Penalties 1 January to 31 March 2024"/>
        <w:tblDescription w:val="Short Term Financial Penalties (Non-Attendance, Reconnection and NSNP) by age"/>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3991D449" w14:textId="77777777" w:rsidTr="00B9289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B92891" w:rsidRPr="00FB63AD" w:rsidRDefault="00B92891" w:rsidP="00B92891">
            <w:pPr>
              <w:ind w:left="0"/>
            </w:pPr>
            <w:r w:rsidRPr="00FB63AD">
              <w:t>Sub Total Short Term Financial Penalties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93DE117" w14:textId="0A32DF48"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tcBorders>
              <w:top w:val="single" w:sz="4" w:space="0" w:color="auto"/>
              <w:left w:val="nil"/>
              <w:bottom w:val="single" w:sz="4" w:space="0" w:color="auto"/>
              <w:right w:val="single" w:sz="4" w:space="0" w:color="auto"/>
            </w:tcBorders>
            <w:shd w:val="clear" w:color="auto" w:fill="auto"/>
            <w:vAlign w:val="center"/>
          </w:tcPr>
          <w:p w14:paraId="25F0E8AD" w14:textId="4BB60B29" w:rsidR="00B92891" w:rsidRPr="00B622A4"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B0CF7" w14:textId="34DAACCC" w:rsidR="00B92891" w:rsidRPr="00B622A4"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CD2A95" w14:textId="3E1DE034"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78194" w14:textId="1B2EF752"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2D086" w14:textId="113DD329" w:rsidR="00B92891" w:rsidRPr="00B622A4"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E682A4" w14:textId="5F3F2534" w:rsidR="00B92891" w:rsidRPr="00B622A4"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A2E9EE1" w14:textId="758F571B" w:rsidR="00B92891" w:rsidRPr="00B622A4"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br/>
      </w:r>
    </w:p>
    <w:p w14:paraId="05176194" w14:textId="6C759011"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40"/>
      <w:r w:rsidR="001053D0">
        <w:rPr>
          <w:rFonts w:ascii="Arial" w:hAnsi="Arial" w:cs="Arial"/>
          <w:i/>
        </w:rPr>
        <w:br/>
      </w:r>
    </w:p>
    <w:tbl>
      <w:tblPr>
        <w:tblStyle w:val="LeftAlignTable"/>
        <w:tblW w:w="0" w:type="auto"/>
        <w:tblLook w:val="04E0" w:firstRow="1" w:lastRow="1" w:firstColumn="1" w:lastColumn="0" w:noHBand="0" w:noVBand="1"/>
        <w:tblCaption w:val="13c.  Total Financial Penalties 1 January to 31 March 2024"/>
        <w:tblDescription w:val="Total Financial Penalties 1 January to 31 March 2024 by age"/>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92891" w:rsidRPr="00FB63AD" w14:paraId="57D35A21" w14:textId="77777777" w:rsidTr="00B92891">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3EE18B67" w:rsidR="00B92891" w:rsidRPr="00B92891" w:rsidRDefault="00B92891" w:rsidP="00B92891">
            <w:pPr>
              <w:autoSpaceDE w:val="0"/>
              <w:autoSpaceDN w:val="0"/>
              <w:adjustRightInd w:val="0"/>
              <w:spacing w:before="0"/>
              <w:ind w:left="0"/>
              <w:jc w:val="center"/>
              <w:rPr>
                <w:rFonts w:cs="Gill Sans MT"/>
                <w:color w:val="000000"/>
              </w:rPr>
            </w:pPr>
            <w:r w:rsidRPr="00B92891">
              <w:rPr>
                <w:rFonts w:cs="Gill Sans MT"/>
                <w:color w:val="000000"/>
              </w:rPr>
              <w:t>0</w:t>
            </w:r>
          </w:p>
        </w:tc>
        <w:tc>
          <w:tcPr>
            <w:tcW w:w="1134" w:type="dxa"/>
            <w:vAlign w:val="center"/>
          </w:tcPr>
          <w:p w14:paraId="12D3437F" w14:textId="79E01FF7"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083" w:type="dxa"/>
            <w:vAlign w:val="center"/>
          </w:tcPr>
          <w:p w14:paraId="4DD10B1E" w14:textId="7D8F96F9"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34" w:type="dxa"/>
            <w:vAlign w:val="center"/>
          </w:tcPr>
          <w:p w14:paraId="67A46FA3" w14:textId="0D60FE04"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27" w:type="dxa"/>
            <w:vAlign w:val="center"/>
          </w:tcPr>
          <w:p w14:paraId="2A5BB614" w14:textId="64F99583"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92891">
              <w:rPr>
                <w:rFonts w:cs="Gill Sans MT"/>
                <w:color w:val="000000"/>
              </w:rPr>
              <w:t>0</w:t>
            </w:r>
          </w:p>
        </w:tc>
        <w:tc>
          <w:tcPr>
            <w:tcW w:w="1428" w:type="dxa"/>
            <w:vAlign w:val="center"/>
          </w:tcPr>
          <w:p w14:paraId="1B64EC64" w14:textId="5404A554"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34" w:type="dxa"/>
            <w:vAlign w:val="center"/>
          </w:tcPr>
          <w:p w14:paraId="09CD8AFA" w14:textId="70DF5393"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34" w:type="dxa"/>
            <w:vAlign w:val="center"/>
          </w:tcPr>
          <w:p w14:paraId="2D5959B6" w14:textId="37892A12"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92891">
              <w:rPr>
                <w:rFonts w:cs="Gill Sans MT"/>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3D9B0CD4"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lastRenderedPageBreak/>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41"/>
      <w:r w:rsidR="003A427E" w:rsidRPr="003A427E">
        <w:rPr>
          <w:rFonts w:ascii="Arial" w:hAnsi="Arial" w:cs="Arial"/>
          <w:i/>
        </w:rPr>
        <w:br/>
      </w:r>
    </w:p>
    <w:tbl>
      <w:tblPr>
        <w:tblStyle w:val="LeftAlignTable"/>
        <w:tblW w:w="0" w:type="auto"/>
        <w:tblLook w:val="04A0" w:firstRow="1" w:lastRow="0" w:firstColumn="1" w:lastColumn="0" w:noHBand="0" w:noVBand="1"/>
        <w:tblCaption w:val="13d. Income Support Payment Suspensions 1 January to 31 March 2024"/>
        <w:tblDescription w:val="Income Support Payment Suspensions&#10;Income Support Payment Suspension – non-attendance at appointment&#10;Income Support Payment Suspension – disengagement from activity&#10;Total Income Support Payment Suspensions by age&#10;"/>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92891" w:rsidRPr="00FB63AD" w14:paraId="08F20677" w14:textId="77777777" w:rsidTr="00B92891">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B92891" w:rsidRPr="00FB63AD" w:rsidRDefault="00B92891" w:rsidP="00B92891">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FD2512B" w14:textId="3AB35DF3"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4,804</w:t>
            </w:r>
          </w:p>
        </w:tc>
        <w:tc>
          <w:tcPr>
            <w:tcW w:w="1079" w:type="dxa"/>
            <w:tcBorders>
              <w:top w:val="single" w:sz="4" w:space="0" w:color="auto"/>
              <w:left w:val="nil"/>
              <w:bottom w:val="single" w:sz="4" w:space="0" w:color="auto"/>
              <w:right w:val="single" w:sz="4" w:space="0" w:color="auto"/>
            </w:tcBorders>
            <w:shd w:val="clear" w:color="auto" w:fill="auto"/>
            <w:vAlign w:val="center"/>
          </w:tcPr>
          <w:p w14:paraId="7280D24F" w14:textId="0E280D6B"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11,318</w:t>
            </w:r>
          </w:p>
        </w:tc>
        <w:tc>
          <w:tcPr>
            <w:tcW w:w="1331" w:type="dxa"/>
            <w:tcBorders>
              <w:top w:val="single" w:sz="4" w:space="0" w:color="auto"/>
              <w:left w:val="nil"/>
              <w:bottom w:val="single" w:sz="4" w:space="0" w:color="auto"/>
              <w:right w:val="single" w:sz="4" w:space="0" w:color="auto"/>
            </w:tcBorders>
            <w:shd w:val="clear" w:color="auto" w:fill="auto"/>
            <w:vAlign w:val="center"/>
          </w:tcPr>
          <w:p w14:paraId="53110BEC" w14:textId="3197890E"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8,227</w:t>
            </w:r>
          </w:p>
        </w:tc>
        <w:tc>
          <w:tcPr>
            <w:tcW w:w="1160" w:type="dxa"/>
            <w:tcBorders>
              <w:top w:val="single" w:sz="4" w:space="0" w:color="auto"/>
              <w:left w:val="nil"/>
              <w:bottom w:val="single" w:sz="4" w:space="0" w:color="auto"/>
              <w:right w:val="single" w:sz="4" w:space="0" w:color="auto"/>
            </w:tcBorders>
            <w:shd w:val="clear" w:color="auto" w:fill="auto"/>
            <w:vAlign w:val="center"/>
          </w:tcPr>
          <w:p w14:paraId="500333E0" w14:textId="1D71A6FE"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7,334</w:t>
            </w:r>
          </w:p>
        </w:tc>
        <w:tc>
          <w:tcPr>
            <w:tcW w:w="1246" w:type="dxa"/>
            <w:tcBorders>
              <w:top w:val="single" w:sz="4" w:space="0" w:color="auto"/>
              <w:left w:val="nil"/>
              <w:bottom w:val="single" w:sz="4" w:space="0" w:color="auto"/>
              <w:right w:val="single" w:sz="4" w:space="0" w:color="auto"/>
            </w:tcBorders>
            <w:shd w:val="clear" w:color="auto" w:fill="auto"/>
            <w:vAlign w:val="center"/>
          </w:tcPr>
          <w:p w14:paraId="25E9FBBB" w14:textId="2C202E00"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2,252</w:t>
            </w:r>
          </w:p>
        </w:tc>
        <w:tc>
          <w:tcPr>
            <w:tcW w:w="1280" w:type="dxa"/>
            <w:tcBorders>
              <w:top w:val="single" w:sz="4" w:space="0" w:color="auto"/>
              <w:left w:val="nil"/>
              <w:bottom w:val="single" w:sz="4" w:space="0" w:color="auto"/>
              <w:right w:val="single" w:sz="4" w:space="0" w:color="auto"/>
            </w:tcBorders>
            <w:shd w:val="clear" w:color="auto" w:fill="auto"/>
            <w:vAlign w:val="center"/>
          </w:tcPr>
          <w:p w14:paraId="1C6B093B" w14:textId="699173AA"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33,935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4DDD2C" w14:textId="0C0F2D68"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88,472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2AB86D" w14:textId="3D4DB0CB"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100.00%</w:t>
            </w:r>
          </w:p>
        </w:tc>
      </w:tr>
      <w:tr w:rsidR="00B92891" w:rsidRPr="00FB63AD" w14:paraId="41DC22B2" w14:textId="77777777" w:rsidTr="00B92891">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B92891" w:rsidRPr="00FB63AD" w:rsidRDefault="00B92891" w:rsidP="00B92891">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tcBorders>
              <w:top w:val="nil"/>
              <w:left w:val="single" w:sz="4" w:space="0" w:color="auto"/>
              <w:bottom w:val="single" w:sz="4" w:space="0" w:color="auto"/>
              <w:right w:val="single" w:sz="4" w:space="0" w:color="auto"/>
            </w:tcBorders>
            <w:shd w:val="clear" w:color="auto" w:fill="auto"/>
            <w:vAlign w:val="center"/>
          </w:tcPr>
          <w:p w14:paraId="2E56B33C" w14:textId="6884368F"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079" w:type="dxa"/>
            <w:tcBorders>
              <w:top w:val="nil"/>
              <w:left w:val="nil"/>
              <w:bottom w:val="single" w:sz="4" w:space="0" w:color="auto"/>
              <w:right w:val="single" w:sz="4" w:space="0" w:color="auto"/>
            </w:tcBorders>
            <w:shd w:val="clear" w:color="auto" w:fill="auto"/>
            <w:vAlign w:val="center"/>
          </w:tcPr>
          <w:p w14:paraId="4F26CE27" w14:textId="332DEB7C"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331" w:type="dxa"/>
            <w:tcBorders>
              <w:top w:val="nil"/>
              <w:left w:val="nil"/>
              <w:bottom w:val="single" w:sz="4" w:space="0" w:color="auto"/>
              <w:right w:val="single" w:sz="4" w:space="0" w:color="auto"/>
            </w:tcBorders>
            <w:shd w:val="clear" w:color="auto" w:fill="auto"/>
            <w:vAlign w:val="center"/>
          </w:tcPr>
          <w:p w14:paraId="1EBF8157" w14:textId="03AFBE3B"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160" w:type="dxa"/>
            <w:tcBorders>
              <w:top w:val="nil"/>
              <w:left w:val="nil"/>
              <w:bottom w:val="single" w:sz="4" w:space="0" w:color="auto"/>
              <w:right w:val="single" w:sz="4" w:space="0" w:color="auto"/>
            </w:tcBorders>
            <w:shd w:val="clear" w:color="auto" w:fill="auto"/>
            <w:vAlign w:val="center"/>
          </w:tcPr>
          <w:p w14:paraId="33D1B1E9" w14:textId="08218A2B"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246" w:type="dxa"/>
            <w:tcBorders>
              <w:top w:val="nil"/>
              <w:left w:val="nil"/>
              <w:bottom w:val="single" w:sz="4" w:space="0" w:color="auto"/>
              <w:right w:val="single" w:sz="4" w:space="0" w:color="auto"/>
            </w:tcBorders>
            <w:shd w:val="clear" w:color="auto" w:fill="auto"/>
            <w:vAlign w:val="center"/>
          </w:tcPr>
          <w:p w14:paraId="0EA3002E" w14:textId="09BE57F6"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280" w:type="dxa"/>
            <w:tcBorders>
              <w:top w:val="nil"/>
              <w:left w:val="nil"/>
              <w:bottom w:val="single" w:sz="4" w:space="0" w:color="auto"/>
              <w:right w:val="single" w:sz="4" w:space="0" w:color="auto"/>
            </w:tcBorders>
            <w:shd w:val="clear" w:color="auto" w:fill="auto"/>
            <w:vAlign w:val="center"/>
          </w:tcPr>
          <w:p w14:paraId="1E4A9198" w14:textId="66411EA7"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559" w:type="dxa"/>
            <w:tcBorders>
              <w:top w:val="nil"/>
              <w:left w:val="nil"/>
              <w:bottom w:val="single" w:sz="4" w:space="0" w:color="auto"/>
              <w:right w:val="single" w:sz="4" w:space="0" w:color="auto"/>
            </w:tcBorders>
            <w:shd w:val="clear" w:color="auto" w:fill="auto"/>
            <w:vAlign w:val="center"/>
          </w:tcPr>
          <w:p w14:paraId="2DC0467E" w14:textId="6B41E5E6"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w:t>
            </w:r>
          </w:p>
        </w:tc>
        <w:tc>
          <w:tcPr>
            <w:tcW w:w="1412" w:type="dxa"/>
            <w:tcBorders>
              <w:top w:val="nil"/>
              <w:left w:val="nil"/>
              <w:bottom w:val="single" w:sz="4" w:space="0" w:color="auto"/>
              <w:right w:val="single" w:sz="4" w:space="0" w:color="auto"/>
            </w:tcBorders>
            <w:shd w:val="clear" w:color="auto" w:fill="auto"/>
            <w:vAlign w:val="center"/>
          </w:tcPr>
          <w:p w14:paraId="445D142F" w14:textId="5A1DA4B6" w:rsidR="00B92891" w:rsidRPr="00885055"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E27223">
              <w:t>0.00%</w:t>
            </w:r>
          </w:p>
        </w:tc>
      </w:tr>
      <w:tr w:rsidR="00B92891" w:rsidRPr="00FB63AD" w14:paraId="31251576" w14:textId="77777777" w:rsidTr="00B92891">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B92891" w:rsidRPr="00FB63AD" w:rsidRDefault="00B92891" w:rsidP="00B92891">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tcBorders>
              <w:top w:val="nil"/>
              <w:left w:val="single" w:sz="4" w:space="0" w:color="auto"/>
              <w:bottom w:val="single" w:sz="4" w:space="0" w:color="auto"/>
              <w:right w:val="single" w:sz="4" w:space="0" w:color="auto"/>
            </w:tcBorders>
            <w:shd w:val="clear" w:color="auto" w:fill="auto"/>
            <w:vAlign w:val="center"/>
          </w:tcPr>
          <w:p w14:paraId="6DA719AC" w14:textId="3E44B335"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4,804</w:t>
            </w:r>
          </w:p>
        </w:tc>
        <w:tc>
          <w:tcPr>
            <w:tcW w:w="1079" w:type="dxa"/>
            <w:tcBorders>
              <w:top w:val="nil"/>
              <w:left w:val="nil"/>
              <w:bottom w:val="single" w:sz="4" w:space="0" w:color="auto"/>
              <w:right w:val="single" w:sz="4" w:space="0" w:color="auto"/>
            </w:tcBorders>
            <w:shd w:val="clear" w:color="auto" w:fill="auto"/>
            <w:vAlign w:val="center"/>
          </w:tcPr>
          <w:p w14:paraId="3E90D757" w14:textId="6C9BD0F7"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11,318</w:t>
            </w:r>
          </w:p>
        </w:tc>
        <w:tc>
          <w:tcPr>
            <w:tcW w:w="1331" w:type="dxa"/>
            <w:tcBorders>
              <w:top w:val="nil"/>
              <w:left w:val="nil"/>
              <w:bottom w:val="single" w:sz="4" w:space="0" w:color="auto"/>
              <w:right w:val="single" w:sz="4" w:space="0" w:color="auto"/>
            </w:tcBorders>
            <w:shd w:val="clear" w:color="auto" w:fill="auto"/>
            <w:vAlign w:val="center"/>
          </w:tcPr>
          <w:p w14:paraId="55A2082F" w14:textId="30AC9655"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8,227</w:t>
            </w:r>
          </w:p>
        </w:tc>
        <w:tc>
          <w:tcPr>
            <w:tcW w:w="1160" w:type="dxa"/>
            <w:tcBorders>
              <w:top w:val="nil"/>
              <w:left w:val="nil"/>
              <w:bottom w:val="single" w:sz="4" w:space="0" w:color="auto"/>
              <w:right w:val="single" w:sz="4" w:space="0" w:color="auto"/>
            </w:tcBorders>
            <w:shd w:val="clear" w:color="auto" w:fill="auto"/>
            <w:vAlign w:val="center"/>
          </w:tcPr>
          <w:p w14:paraId="4420DC46" w14:textId="6810056E"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7,334</w:t>
            </w:r>
          </w:p>
        </w:tc>
        <w:tc>
          <w:tcPr>
            <w:tcW w:w="1246" w:type="dxa"/>
            <w:tcBorders>
              <w:top w:val="nil"/>
              <w:left w:val="nil"/>
              <w:bottom w:val="single" w:sz="4" w:space="0" w:color="auto"/>
              <w:right w:val="single" w:sz="4" w:space="0" w:color="auto"/>
            </w:tcBorders>
            <w:shd w:val="clear" w:color="auto" w:fill="auto"/>
            <w:vAlign w:val="center"/>
          </w:tcPr>
          <w:p w14:paraId="3BAF442B" w14:textId="49AD42E6"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2,252</w:t>
            </w:r>
          </w:p>
        </w:tc>
        <w:tc>
          <w:tcPr>
            <w:tcW w:w="1280" w:type="dxa"/>
            <w:tcBorders>
              <w:top w:val="nil"/>
              <w:left w:val="nil"/>
              <w:bottom w:val="single" w:sz="4" w:space="0" w:color="auto"/>
              <w:right w:val="single" w:sz="4" w:space="0" w:color="auto"/>
            </w:tcBorders>
            <w:shd w:val="clear" w:color="auto" w:fill="auto"/>
            <w:vAlign w:val="center"/>
          </w:tcPr>
          <w:p w14:paraId="4DD6FE30" w14:textId="16EC47A6"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33,935</w:t>
            </w:r>
          </w:p>
        </w:tc>
        <w:tc>
          <w:tcPr>
            <w:tcW w:w="1559" w:type="dxa"/>
            <w:tcBorders>
              <w:top w:val="nil"/>
              <w:left w:val="nil"/>
              <w:bottom w:val="single" w:sz="4" w:space="0" w:color="auto"/>
              <w:right w:val="single" w:sz="4" w:space="0" w:color="auto"/>
            </w:tcBorders>
            <w:shd w:val="clear" w:color="auto" w:fill="auto"/>
            <w:vAlign w:val="center"/>
          </w:tcPr>
          <w:p w14:paraId="4BE245BD" w14:textId="018579D5"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88,472</w:t>
            </w:r>
          </w:p>
        </w:tc>
        <w:tc>
          <w:tcPr>
            <w:tcW w:w="1412" w:type="dxa"/>
            <w:tcBorders>
              <w:top w:val="nil"/>
              <w:left w:val="nil"/>
              <w:bottom w:val="single" w:sz="4" w:space="0" w:color="auto"/>
              <w:right w:val="single" w:sz="4" w:space="0" w:color="auto"/>
            </w:tcBorders>
            <w:shd w:val="clear" w:color="auto" w:fill="auto"/>
            <w:vAlign w:val="center"/>
          </w:tcPr>
          <w:p w14:paraId="429A3662" w14:textId="789FA1A3"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32A45D6A"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44"/>
      <w:r w:rsidR="003A427E" w:rsidRPr="003A427E">
        <w:rPr>
          <w:rFonts w:ascii="Arial" w:hAnsi="Arial" w:cs="Arial"/>
          <w:i/>
        </w:rPr>
        <w:br/>
      </w:r>
    </w:p>
    <w:tbl>
      <w:tblPr>
        <w:tblStyle w:val="LeftAlignTable"/>
        <w:tblW w:w="14312" w:type="dxa"/>
        <w:tblLook w:val="04E0" w:firstRow="1" w:lastRow="1" w:firstColumn="1" w:lastColumn="0" w:noHBand="0" w:noVBand="1"/>
        <w:tblCaption w:val="14a. Non Payment Periods (Serious and UNPPs) 1 January to 31 March 2024"/>
        <w:tblDescription w:val="Non Payment Periods (Serious Failure and UNPP) by payment "/>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92891" w:rsidRPr="00FB63AD" w14:paraId="2096D2D1" w14:textId="77777777" w:rsidTr="00B928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B92891" w:rsidRPr="00FB63AD" w:rsidRDefault="00B92891" w:rsidP="00B92891">
            <w:pPr>
              <w:ind w:left="-142" w:firstLine="142"/>
            </w:pPr>
            <w:r w:rsidRPr="00FB63AD">
              <w:t xml:space="preserve">Sub Total NPPs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2669A2" w14:textId="7736FE2C"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AF1D14" w14:textId="740A125A"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FB6F11" w14:textId="416F089F"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0C11C" w14:textId="077C2063"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1229" w14:textId="33D1A8DD"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8E7135" w14:textId="7AB61689"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44</w:t>
            </w:r>
          </w:p>
        </w:tc>
        <w:tc>
          <w:tcPr>
            <w:tcW w:w="1729" w:type="dxa"/>
            <w:tcBorders>
              <w:top w:val="single" w:sz="4" w:space="0" w:color="auto"/>
              <w:left w:val="nil"/>
              <w:bottom w:val="single" w:sz="4" w:space="0" w:color="auto"/>
              <w:right w:val="single" w:sz="4" w:space="0" w:color="auto"/>
            </w:tcBorders>
            <w:shd w:val="clear" w:color="auto" w:fill="auto"/>
            <w:vAlign w:val="center"/>
          </w:tcPr>
          <w:p w14:paraId="4D99CE94" w14:textId="368B745D"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361234D6"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49"/>
      <w:r w:rsidR="003A427E" w:rsidRPr="003A427E">
        <w:rPr>
          <w:rFonts w:ascii="Arial" w:hAnsi="Arial" w:cs="Arial"/>
          <w:i/>
        </w:rPr>
        <w:br/>
      </w:r>
    </w:p>
    <w:tbl>
      <w:tblPr>
        <w:tblStyle w:val="LeftAlignTable"/>
        <w:tblW w:w="0" w:type="auto"/>
        <w:tblLook w:val="04E0" w:firstRow="1" w:lastRow="1" w:firstColumn="1" w:lastColumn="0" w:noHBand="0" w:noVBand="1"/>
        <w:tblCaption w:val="14b. Short Term Financial Penalties 1 January to 31 March 2024"/>
        <w:tblDescription w:val="Short Term Financial Penalties (Non-Attendance, Reconnection and NSNP)&#10;Sub Total Short Term Financial Penalties by payment type"/>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92891" w:rsidRPr="00FB63AD" w14:paraId="7CB2EC7B" w14:textId="77777777" w:rsidTr="00B9289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B92891" w:rsidRPr="00FB63AD" w:rsidRDefault="00B92891" w:rsidP="00B92891">
            <w:pPr>
              <w:ind w:left="0"/>
            </w:pPr>
            <w:r w:rsidRPr="00FB63AD">
              <w:t>Sub Total Short Term Financial Penalties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CAF04" w14:textId="7413F752"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92F25C" w14:textId="73CFD11A"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689F51" w14:textId="0695C730"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10B4D5D9" w14:textId="3B072FEA"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0</w:t>
            </w:r>
          </w:p>
        </w:tc>
        <w:tc>
          <w:tcPr>
            <w:tcW w:w="1258" w:type="dxa"/>
            <w:tcBorders>
              <w:top w:val="single" w:sz="4" w:space="0" w:color="auto"/>
              <w:left w:val="nil"/>
              <w:bottom w:val="single" w:sz="4" w:space="0" w:color="auto"/>
              <w:right w:val="single" w:sz="4" w:space="0" w:color="auto"/>
            </w:tcBorders>
            <w:shd w:val="clear" w:color="auto" w:fill="auto"/>
            <w:vAlign w:val="center"/>
          </w:tcPr>
          <w:p w14:paraId="047C9D22" w14:textId="0AF5D58E"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4D6C7" w14:textId="3C8C2843" w:rsidR="00B92891" w:rsidRPr="00B92891"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bCs/>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05753" w14:textId="109DFB2C" w:rsidR="00B92891" w:rsidRPr="00B92891"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92891">
              <w:rPr>
                <w:b w:val="0"/>
                <w:bCs/>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06EF2F56"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52"/>
      <w:r w:rsidR="003A427E" w:rsidRPr="003A427E">
        <w:rPr>
          <w:rFonts w:ascii="Arial" w:hAnsi="Arial" w:cs="Arial"/>
          <w:i/>
        </w:rPr>
        <w:br/>
      </w:r>
    </w:p>
    <w:tbl>
      <w:tblPr>
        <w:tblStyle w:val="LeftAlignTable"/>
        <w:tblW w:w="0" w:type="auto"/>
        <w:tblLook w:val="04E0" w:firstRow="1" w:lastRow="1" w:firstColumn="1" w:lastColumn="0" w:noHBand="0" w:noVBand="1"/>
        <w:tblCaption w:val="14c. Total Financial Penalties 1 January to 31 March 2024"/>
        <w:tblDescription w:val="Total Financial Penalties 1 January to 31 March 2024 by payment type"/>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C265C7">
            <w:pPr>
              <w:keepNext/>
              <w:keepLines/>
              <w:ind w:left="-142" w:firstLine="142"/>
              <w:jc w:val="center"/>
            </w:pPr>
            <w:r>
              <w:t>JSP^</w:t>
            </w:r>
          </w:p>
        </w:tc>
        <w:tc>
          <w:tcPr>
            <w:tcW w:w="1275" w:type="dxa"/>
          </w:tcPr>
          <w:p w14:paraId="4AA7489E"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C265C7">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92891" w:rsidRPr="00FB63AD" w14:paraId="0FB80DBB" w14:textId="77777777" w:rsidTr="00B9289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40B3A165" w:rsidR="00B92891" w:rsidRPr="00FD2D60" w:rsidRDefault="002F6CCF" w:rsidP="00B92891">
            <w:pPr>
              <w:autoSpaceDE w:val="0"/>
              <w:autoSpaceDN w:val="0"/>
              <w:adjustRightInd w:val="0"/>
              <w:spacing w:before="0"/>
              <w:ind w:left="0"/>
              <w:jc w:val="center"/>
              <w:rPr>
                <w:rFonts w:cs="Gill Sans MT"/>
                <w:bCs/>
                <w:color w:val="000000"/>
              </w:rPr>
            </w:pPr>
            <w: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782E2F73" w:rsidR="00B92891" w:rsidRPr="00FD2D60"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348FA">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1EDF5820" w:rsidR="00B92891" w:rsidRPr="00FD2D60"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348FA">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50ECB" w14:textId="2EA56F8C" w:rsidR="00B92891" w:rsidRPr="00FD2D60"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8458" w14:textId="2C20D1B4" w:rsidR="00B92891" w:rsidRPr="00FD2D60"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7E24AB6F" w:rsidR="00B92891" w:rsidRPr="00FD2D60" w:rsidRDefault="002F6CCF"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3E3DB9D6" w:rsidR="00B92891" w:rsidRPr="00FD2D60"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348FA">
              <w:t>100.00%</w:t>
            </w:r>
          </w:p>
        </w:tc>
      </w:tr>
    </w:tbl>
    <w:p w14:paraId="22F36719" w14:textId="77777777" w:rsidR="00CB735B" w:rsidRPr="00A75C1F" w:rsidRDefault="00CB735B" w:rsidP="00FB5106">
      <w:bookmarkStart w:id="53" w:name="_Toc19281108"/>
      <w:bookmarkStart w:id="54" w:name="_Toc30005477"/>
      <w:r w:rsidRPr="00CC1242">
        <w:lastRenderedPageBreak/>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304947BD"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4A78CB">
        <w:rPr>
          <w:i/>
        </w:rPr>
        <w:t>1 January</w:t>
      </w:r>
      <w:r w:rsidR="002B0AA9">
        <w:rPr>
          <w:i/>
        </w:rPr>
        <w:t xml:space="preserve"> to </w:t>
      </w:r>
      <w:r w:rsidR="004A78CB">
        <w:rPr>
          <w:i/>
        </w:rPr>
        <w:t>31 March 2024</w:t>
      </w:r>
      <w:bookmarkEnd w:id="55"/>
      <w:r w:rsidR="003A427E" w:rsidRPr="003A427E">
        <w:rPr>
          <w:i/>
        </w:rPr>
        <w:br/>
      </w:r>
    </w:p>
    <w:tbl>
      <w:tblPr>
        <w:tblStyle w:val="LeftAlignTable"/>
        <w:tblW w:w="0" w:type="auto"/>
        <w:tblLook w:val="06A0" w:firstRow="1" w:lastRow="0" w:firstColumn="1" w:lastColumn="0" w:noHBand="1" w:noVBand="1"/>
        <w:tblCaption w:val="14d. Income Support Payment Suspensions 1 January to 31 March 2024"/>
        <w:tblDescription w:val="Income Support payment suspensions&#10;Income support payment suspension - non-attendance at appointment&#10;Income support payment suspension – disengagement from activity&#10;Total Income Support payment suspensions by payment type"/>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92891" w:rsidRPr="00FB63AD" w14:paraId="432CD694" w14:textId="77777777" w:rsidTr="00B92891">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B92891" w:rsidRPr="00FB63AD" w:rsidRDefault="00B92891" w:rsidP="00B92891">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10897FF6"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27,026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05FEB93E"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6,194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18152DD5"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715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7F8C0197"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33,935</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39260D6B"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88,472</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03DD9C9D"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100.00%</w:t>
            </w:r>
          </w:p>
        </w:tc>
      </w:tr>
      <w:tr w:rsidR="00B92891" w:rsidRPr="00FB63AD" w14:paraId="35A7DB67" w14:textId="77777777" w:rsidTr="00B92891">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B92891" w:rsidRPr="00FB63AD" w:rsidRDefault="00B92891" w:rsidP="00B92891">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67CDE53C"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0</w:t>
            </w:r>
          </w:p>
        </w:tc>
        <w:tc>
          <w:tcPr>
            <w:tcW w:w="1276" w:type="dxa"/>
            <w:tcBorders>
              <w:top w:val="nil"/>
              <w:left w:val="nil"/>
              <w:bottom w:val="single" w:sz="4" w:space="0" w:color="auto"/>
              <w:right w:val="single" w:sz="4" w:space="0" w:color="auto"/>
            </w:tcBorders>
            <w:shd w:val="clear" w:color="auto" w:fill="auto"/>
            <w:vAlign w:val="center"/>
          </w:tcPr>
          <w:p w14:paraId="7F61B8AE" w14:textId="60E02375"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0</w:t>
            </w:r>
          </w:p>
        </w:tc>
        <w:tc>
          <w:tcPr>
            <w:tcW w:w="1701" w:type="dxa"/>
            <w:tcBorders>
              <w:top w:val="nil"/>
              <w:left w:val="nil"/>
              <w:bottom w:val="single" w:sz="4" w:space="0" w:color="auto"/>
              <w:right w:val="single" w:sz="4" w:space="0" w:color="auto"/>
            </w:tcBorders>
            <w:shd w:val="clear" w:color="auto" w:fill="auto"/>
            <w:vAlign w:val="center"/>
          </w:tcPr>
          <w:p w14:paraId="62F6DF6C" w14:textId="11BD3897"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0</w:t>
            </w:r>
          </w:p>
        </w:tc>
        <w:tc>
          <w:tcPr>
            <w:tcW w:w="1843" w:type="dxa"/>
            <w:tcBorders>
              <w:top w:val="nil"/>
              <w:left w:val="nil"/>
              <w:bottom w:val="single" w:sz="4" w:space="0" w:color="auto"/>
              <w:right w:val="single" w:sz="4" w:space="0" w:color="auto"/>
            </w:tcBorders>
            <w:shd w:val="clear" w:color="auto" w:fill="auto"/>
            <w:vAlign w:val="center"/>
          </w:tcPr>
          <w:p w14:paraId="33E627F3" w14:textId="2330C0B7"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0</w:t>
            </w:r>
          </w:p>
        </w:tc>
        <w:tc>
          <w:tcPr>
            <w:tcW w:w="2003" w:type="dxa"/>
            <w:tcBorders>
              <w:top w:val="nil"/>
              <w:left w:val="nil"/>
              <w:bottom w:val="single" w:sz="4" w:space="0" w:color="auto"/>
              <w:right w:val="single" w:sz="4" w:space="0" w:color="auto"/>
            </w:tcBorders>
            <w:shd w:val="clear" w:color="auto" w:fill="auto"/>
            <w:vAlign w:val="center"/>
          </w:tcPr>
          <w:p w14:paraId="1F975678" w14:textId="205DE760"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0</w:t>
            </w:r>
          </w:p>
        </w:tc>
        <w:tc>
          <w:tcPr>
            <w:tcW w:w="1541" w:type="dxa"/>
            <w:tcBorders>
              <w:top w:val="nil"/>
              <w:left w:val="nil"/>
              <w:bottom w:val="single" w:sz="4" w:space="0" w:color="auto"/>
              <w:right w:val="single" w:sz="4" w:space="0" w:color="auto"/>
            </w:tcBorders>
            <w:shd w:val="clear" w:color="auto" w:fill="auto"/>
            <w:vAlign w:val="center"/>
          </w:tcPr>
          <w:p w14:paraId="0BDCEE1F" w14:textId="4D821EDF" w:rsidR="00B92891" w:rsidRPr="007A076A"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01968">
              <w:t>0.00%</w:t>
            </w:r>
          </w:p>
        </w:tc>
      </w:tr>
      <w:tr w:rsidR="00B92891" w:rsidRPr="00FB63AD" w14:paraId="1B0BF520" w14:textId="77777777" w:rsidTr="00B92891">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B92891" w:rsidRPr="00F7644E" w:rsidRDefault="00B92891" w:rsidP="00B92891">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13E7386A"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27,026</w:t>
            </w:r>
          </w:p>
        </w:tc>
        <w:tc>
          <w:tcPr>
            <w:tcW w:w="1276" w:type="dxa"/>
            <w:tcBorders>
              <w:top w:val="nil"/>
              <w:left w:val="nil"/>
              <w:bottom w:val="single" w:sz="4" w:space="0" w:color="auto"/>
              <w:right w:val="single" w:sz="4" w:space="0" w:color="auto"/>
            </w:tcBorders>
            <w:shd w:val="clear" w:color="auto" w:fill="auto"/>
            <w:vAlign w:val="center"/>
          </w:tcPr>
          <w:p w14:paraId="6B1FDF8F" w14:textId="286C0776"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6,194</w:t>
            </w:r>
          </w:p>
        </w:tc>
        <w:tc>
          <w:tcPr>
            <w:tcW w:w="1701" w:type="dxa"/>
            <w:tcBorders>
              <w:top w:val="nil"/>
              <w:left w:val="nil"/>
              <w:bottom w:val="single" w:sz="4" w:space="0" w:color="auto"/>
              <w:right w:val="single" w:sz="4" w:space="0" w:color="auto"/>
            </w:tcBorders>
            <w:shd w:val="clear" w:color="auto" w:fill="auto"/>
            <w:vAlign w:val="center"/>
          </w:tcPr>
          <w:p w14:paraId="40D04F5C" w14:textId="5367023F"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715</w:t>
            </w:r>
          </w:p>
        </w:tc>
        <w:tc>
          <w:tcPr>
            <w:tcW w:w="1843" w:type="dxa"/>
            <w:tcBorders>
              <w:top w:val="nil"/>
              <w:left w:val="nil"/>
              <w:bottom w:val="single" w:sz="4" w:space="0" w:color="auto"/>
              <w:right w:val="single" w:sz="4" w:space="0" w:color="auto"/>
            </w:tcBorders>
            <w:shd w:val="clear" w:color="auto" w:fill="auto"/>
            <w:vAlign w:val="center"/>
          </w:tcPr>
          <w:p w14:paraId="1281512B" w14:textId="31CE168F"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33,935</w:t>
            </w:r>
          </w:p>
        </w:tc>
        <w:tc>
          <w:tcPr>
            <w:tcW w:w="2003" w:type="dxa"/>
            <w:tcBorders>
              <w:top w:val="nil"/>
              <w:left w:val="nil"/>
              <w:bottom w:val="single" w:sz="4" w:space="0" w:color="auto"/>
              <w:right w:val="single" w:sz="4" w:space="0" w:color="auto"/>
            </w:tcBorders>
            <w:shd w:val="clear" w:color="auto" w:fill="auto"/>
            <w:vAlign w:val="center"/>
          </w:tcPr>
          <w:p w14:paraId="0613A2CF" w14:textId="4A444676"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88,472</w:t>
            </w:r>
          </w:p>
        </w:tc>
        <w:tc>
          <w:tcPr>
            <w:tcW w:w="1541" w:type="dxa"/>
            <w:tcBorders>
              <w:top w:val="nil"/>
              <w:left w:val="nil"/>
              <w:bottom w:val="single" w:sz="4" w:space="0" w:color="auto"/>
              <w:right w:val="single" w:sz="4" w:space="0" w:color="auto"/>
            </w:tcBorders>
            <w:shd w:val="clear" w:color="auto" w:fill="auto"/>
            <w:vAlign w:val="center"/>
          </w:tcPr>
          <w:p w14:paraId="3A599DEA" w14:textId="385006E4" w:rsidR="00B92891" w:rsidRPr="00B92891"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B92891">
              <w:rPr>
                <w:b/>
                <w:bCs/>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213E633C"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Caption w:val="15a. Non Payment Periods (Serious and UNPPs) 1 January to 31 March 2024"/>
        <w:tblDescription w:val="Non Payment Periods (Serious and UNPPs) by caseload"/>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10BAB21F" w:rsidR="008947F9" w:rsidRPr="002A45B4" w:rsidRDefault="002F6CC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06B8230B" w:rsidR="008947F9" w:rsidRPr="002A45B4"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w:t>
            </w:r>
          </w:p>
        </w:tc>
        <w:tc>
          <w:tcPr>
            <w:tcW w:w="1323" w:type="dxa"/>
            <w:tcBorders>
              <w:top w:val="nil"/>
              <w:left w:val="nil"/>
              <w:bottom w:val="single" w:sz="4" w:space="0" w:color="auto"/>
              <w:right w:val="single" w:sz="4" w:space="0" w:color="auto"/>
            </w:tcBorders>
            <w:shd w:val="clear" w:color="auto" w:fill="auto"/>
            <w:vAlign w:val="center"/>
          </w:tcPr>
          <w:p w14:paraId="1A21FDCD" w14:textId="5732CB7E" w:rsidR="008947F9" w:rsidRPr="002A45B4"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w:t>
            </w:r>
          </w:p>
        </w:tc>
      </w:tr>
    </w:tbl>
    <w:p w14:paraId="4D2EEA7B" w14:textId="77777777" w:rsidR="00AF5603" w:rsidRDefault="00AF5603" w:rsidP="00AF5603">
      <w:pPr>
        <w:spacing w:before="0"/>
        <w:ind w:left="0"/>
        <w:rPr>
          <w:b/>
        </w:rPr>
      </w:pPr>
    </w:p>
    <w:p w14:paraId="1BE65085" w14:textId="3E8E60D6"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Caption w:val="15b. Short Term Financial Penalties 1 January to 31 March 2024"/>
        <w:tblDescription w:val="Short Term Financial Penalties (Non-Attendance, Reconnection and NSNP) by caseload"/>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02A11DE8" w:rsidR="008947F9" w:rsidRPr="00B622A4" w:rsidRDefault="002F6CC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0ABE0ABF" w:rsidR="008947F9" w:rsidRPr="00B622A4" w:rsidRDefault="002F6CC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1745B117" w:rsidR="008947F9" w:rsidRPr="00B622A4"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w:t>
            </w:r>
          </w:p>
        </w:tc>
      </w:tr>
    </w:tbl>
    <w:p w14:paraId="46BF90B6" w14:textId="264F267C"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Caption w:val="15c. Total Financial Penalties 1 January to 31 March 2024"/>
        <w:tblDescription w:val="Total Financial Penalties 1 January to 31 March 2024 by caseload"/>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3AAC579E" w:rsidR="008947F9" w:rsidRPr="002B27F7" w:rsidRDefault="002F6CCF" w:rsidP="008947F9">
            <w:pPr>
              <w:autoSpaceDE w:val="0"/>
              <w:autoSpaceDN w:val="0"/>
              <w:adjustRightInd w:val="0"/>
              <w:spacing w:before="0"/>
              <w:ind w:left="0"/>
              <w:jc w:val="center"/>
              <w:rPr>
                <w:rFonts w:cs="Gill Sans MT"/>
                <w:bCs/>
                <w:color w:val="000000"/>
              </w:rPr>
            </w:pPr>
            <w:r>
              <w:rPr>
                <w:rFonts w:cs="Gill Sans MT"/>
                <w:bCs/>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783B1FD3" w:rsidR="008947F9" w:rsidRPr="002B27F7" w:rsidRDefault="002F6CC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5CC65BE1" w:rsidR="008947F9" w:rsidRPr="002B27F7" w:rsidRDefault="00B92891"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4D000DD9"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4A78CB">
        <w:rPr>
          <w:rFonts w:ascii="Arial" w:hAnsi="Arial" w:cs="Arial"/>
          <w:i/>
        </w:rPr>
        <w:t>1 January</w:t>
      </w:r>
      <w:r w:rsidR="002B0AA9">
        <w:rPr>
          <w:rFonts w:ascii="Arial" w:hAnsi="Arial" w:cs="Arial"/>
          <w:i/>
        </w:rPr>
        <w:t xml:space="preserve"> to </w:t>
      </w:r>
      <w:r w:rsidR="004A78CB">
        <w:rPr>
          <w:rFonts w:ascii="Arial" w:hAnsi="Arial" w:cs="Arial"/>
          <w:i/>
        </w:rPr>
        <w:t>31 March 2024</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B92891" w:rsidRPr="0092180C" w14:paraId="1E9AAA60" w14:textId="77777777" w:rsidTr="00B92891">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B92891" w:rsidRPr="00AB1A47" w:rsidRDefault="00B92891" w:rsidP="00B92891">
            <w:pPr>
              <w:ind w:left="0"/>
            </w:pPr>
            <w:r w:rsidRPr="00AB1A47">
              <w:rPr>
                <w:bCs/>
              </w:rPr>
              <w:t>Income support payment suspension - non-attendance at appointment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F4BC2" w14:textId="07E0DB69" w:rsidR="00B92891" w:rsidRPr="009A742F"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33,935</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584DF88D" w:rsidR="00B92891" w:rsidRPr="009A742F"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88,472</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424515E9" w:rsidR="00B92891" w:rsidRPr="009A742F"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92891" w:rsidRPr="0092180C" w14:paraId="4450534A" w14:textId="77777777" w:rsidTr="00B92891">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B92891" w:rsidRPr="00AB1A47" w:rsidDel="00D725A7" w:rsidRDefault="00B92891" w:rsidP="00B92891">
            <w:pPr>
              <w:ind w:left="0"/>
            </w:pPr>
            <w:r w:rsidRPr="00AB1A47">
              <w:rPr>
                <w:bCs/>
              </w:rPr>
              <w:t>Income support payment suspension – disengagement from activity</w:t>
            </w:r>
          </w:p>
        </w:tc>
        <w:tc>
          <w:tcPr>
            <w:tcW w:w="992" w:type="dxa"/>
            <w:tcBorders>
              <w:top w:val="nil"/>
              <w:left w:val="single" w:sz="4" w:space="0" w:color="auto"/>
              <w:bottom w:val="single" w:sz="4" w:space="0" w:color="auto"/>
              <w:right w:val="single" w:sz="4" w:space="0" w:color="auto"/>
            </w:tcBorders>
            <w:shd w:val="clear" w:color="auto" w:fill="auto"/>
            <w:vAlign w:val="center"/>
          </w:tcPr>
          <w:p w14:paraId="075778AA" w14:textId="6F665991" w:rsidR="00B92891" w:rsidRPr="009A742F"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44870C48" w:rsidR="00B92891" w:rsidRPr="009A742F"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0BEF02B2" w:rsidR="00B92891" w:rsidRPr="009A742F" w:rsidRDefault="00B92891" w:rsidP="00B9289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92891" w:rsidRPr="00FB63AD" w14:paraId="6F6CEA62" w14:textId="77777777" w:rsidTr="00B92891">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B92891" w:rsidRPr="00AB1A47" w:rsidRDefault="00B92891" w:rsidP="00B92891">
            <w:pPr>
              <w:ind w:left="0"/>
              <w:rPr>
                <w:bCs/>
              </w:rPr>
            </w:pPr>
            <w:r w:rsidRPr="00AB1A47">
              <w:rPr>
                <w:bCs/>
              </w:rPr>
              <w:t>Total Income Support payment suspensions</w:t>
            </w:r>
          </w:p>
        </w:tc>
        <w:tc>
          <w:tcPr>
            <w:tcW w:w="992" w:type="dxa"/>
            <w:tcBorders>
              <w:top w:val="nil"/>
              <w:left w:val="single" w:sz="4" w:space="0" w:color="auto"/>
              <w:bottom w:val="single" w:sz="4" w:space="0" w:color="auto"/>
              <w:right w:val="single" w:sz="4" w:space="0" w:color="auto"/>
            </w:tcBorders>
            <w:shd w:val="clear" w:color="auto" w:fill="auto"/>
            <w:vAlign w:val="center"/>
          </w:tcPr>
          <w:p w14:paraId="5C23B947" w14:textId="6B4726A7" w:rsidR="00B92891" w:rsidRPr="009A742F"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33,935</w:t>
            </w:r>
          </w:p>
        </w:tc>
        <w:tc>
          <w:tcPr>
            <w:tcW w:w="1128" w:type="dxa"/>
            <w:tcBorders>
              <w:top w:val="nil"/>
              <w:left w:val="nil"/>
              <w:bottom w:val="single" w:sz="4" w:space="0" w:color="auto"/>
              <w:right w:val="single" w:sz="4" w:space="0" w:color="auto"/>
            </w:tcBorders>
            <w:shd w:val="clear" w:color="auto" w:fill="auto"/>
            <w:vAlign w:val="center"/>
          </w:tcPr>
          <w:p w14:paraId="6187B687" w14:textId="23A2B328" w:rsidR="00B92891" w:rsidRPr="009A742F"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88,472</w:t>
            </w:r>
          </w:p>
        </w:tc>
        <w:tc>
          <w:tcPr>
            <w:tcW w:w="1424" w:type="dxa"/>
            <w:tcBorders>
              <w:top w:val="nil"/>
              <w:left w:val="nil"/>
              <w:bottom w:val="single" w:sz="4" w:space="0" w:color="auto"/>
              <w:right w:val="single" w:sz="4" w:space="0" w:color="auto"/>
            </w:tcBorders>
            <w:shd w:val="clear" w:color="auto" w:fill="auto"/>
            <w:vAlign w:val="center"/>
          </w:tcPr>
          <w:p w14:paraId="2E723BCD" w14:textId="33BFBAF5" w:rsidR="00B92891" w:rsidRPr="009A742F" w:rsidRDefault="00B92891" w:rsidP="00B9289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lastRenderedPageBreak/>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w:t>
      </w:r>
      <w:r>
        <w:lastRenderedPageBreak/>
        <w:t xml:space="preserve">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lastRenderedPageBreak/>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 xml:space="preserve">Note that this requirement </w:t>
      </w:r>
      <w:r w:rsidR="002B3DDA" w:rsidRPr="002B3DDA">
        <w:lastRenderedPageBreak/>
        <w:t>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lastRenderedPageBreak/>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lastRenderedPageBreak/>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09B13A90"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4A78CB">
        <w:t>third</w:t>
      </w:r>
      <w:r w:rsidRPr="002B3DDA">
        <w:t xml:space="preserve"> quarter of the 202</w:t>
      </w:r>
      <w:r w:rsidR="007048E4">
        <w:t>3</w:t>
      </w:r>
      <w:r w:rsidRPr="002B3DDA">
        <w:t xml:space="preserve"> - 2</w:t>
      </w:r>
      <w:r w:rsidR="007048E4">
        <w:t>4</w:t>
      </w:r>
      <w:r w:rsidRPr="002B3DDA">
        <w:t xml:space="preserve"> financial year (i.e. applied/finalised in the period 1/</w:t>
      </w:r>
      <w:r w:rsidR="004A78CB">
        <w:t>1/2024</w:t>
      </w:r>
      <w:r w:rsidRPr="002B3DDA">
        <w:t xml:space="preserve"> – </w:t>
      </w:r>
      <w:r w:rsidR="00383C49">
        <w:t>31/</w:t>
      </w:r>
      <w:r w:rsidR="004A78CB">
        <w:t>3/2024</w:t>
      </w:r>
      <w:r w:rsidRPr="002B3DDA">
        <w:t xml:space="preserve"> inclusive) and not under review, revoked or otherwise overturned as at </w:t>
      </w:r>
      <w:r w:rsidR="0096129B">
        <w:t>1</w:t>
      </w:r>
      <w:r w:rsidR="003F5E6F">
        <w:t>2</w:t>
      </w:r>
      <w:r w:rsidR="0096129B">
        <w:t xml:space="preserve"> </w:t>
      </w:r>
      <w:r w:rsidR="004A78CB">
        <w:t>May</w:t>
      </w:r>
      <w:r w:rsidR="00383C49">
        <w:t xml:space="preserve"> 2024</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4161" w14:textId="77777777" w:rsidR="005554DD" w:rsidRDefault="005554DD" w:rsidP="00C7637E">
      <w:pPr>
        <w:spacing w:before="0" w:after="0" w:line="240" w:lineRule="auto"/>
      </w:pPr>
      <w:r>
        <w:separator/>
      </w:r>
    </w:p>
  </w:endnote>
  <w:endnote w:type="continuationSeparator" w:id="0">
    <w:p w14:paraId="1A71453B" w14:textId="77777777" w:rsidR="005554DD" w:rsidRDefault="005554DD"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2D43ACC0" w:rsidR="005554DD" w:rsidRDefault="005554DD">
        <w:pPr>
          <w:pStyle w:val="Footer"/>
        </w:pPr>
        <w:r>
          <w:fldChar w:fldCharType="begin"/>
        </w:r>
        <w:r>
          <w:instrText xml:space="preserve"> PAGE   \* MERGEFORMAT </w:instrText>
        </w:r>
        <w:r>
          <w:fldChar w:fldCharType="separate"/>
        </w:r>
        <w:r w:rsidR="00534C06">
          <w:rPr>
            <w:noProof/>
          </w:rPr>
          <w:t>1</w:t>
        </w:r>
        <w:r>
          <w:rPr>
            <w:noProof/>
          </w:rPr>
          <w:fldChar w:fldCharType="end"/>
        </w:r>
      </w:p>
    </w:sdtContent>
  </w:sdt>
  <w:p w14:paraId="40F1F024" w14:textId="77777777" w:rsidR="005554DD" w:rsidRDefault="00555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0012" w14:textId="77777777" w:rsidR="005554DD" w:rsidRDefault="005554DD" w:rsidP="00C7637E">
      <w:pPr>
        <w:spacing w:before="0" w:after="0" w:line="240" w:lineRule="auto"/>
      </w:pPr>
      <w:r>
        <w:separator/>
      </w:r>
    </w:p>
  </w:footnote>
  <w:footnote w:type="continuationSeparator" w:id="0">
    <w:p w14:paraId="43C9B436" w14:textId="77777777" w:rsidR="005554DD" w:rsidRDefault="005554DD"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2E1A2921" w:rsidR="005554DD" w:rsidRDefault="005554DD" w:rsidP="00CC1242">
    <w:pPr>
      <w:pStyle w:val="Header"/>
      <w:jc w:val="center"/>
    </w:pPr>
    <w:r>
      <w:t>Community Development Program (CDP) March 2024 Quarterly Compliance Data</w:t>
    </w:r>
  </w:p>
  <w:p w14:paraId="4056B976" w14:textId="77777777" w:rsidR="005554DD" w:rsidRPr="00B10E31" w:rsidRDefault="005554DD"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40A4"/>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5596C"/>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C7578"/>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1D23"/>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39E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7F7"/>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60C"/>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2F6CCF"/>
    <w:rsid w:val="00302318"/>
    <w:rsid w:val="003029B9"/>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54A"/>
    <w:rsid w:val="00376D9F"/>
    <w:rsid w:val="00380F83"/>
    <w:rsid w:val="0038126A"/>
    <w:rsid w:val="00382547"/>
    <w:rsid w:val="0038399D"/>
    <w:rsid w:val="00383C49"/>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5E6F"/>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B18"/>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A78CB"/>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4C06"/>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333"/>
    <w:rsid w:val="00547020"/>
    <w:rsid w:val="0055177A"/>
    <w:rsid w:val="005518FC"/>
    <w:rsid w:val="00552FF3"/>
    <w:rsid w:val="005532F7"/>
    <w:rsid w:val="00553D5D"/>
    <w:rsid w:val="005554D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4F0A"/>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48E4"/>
    <w:rsid w:val="00710C54"/>
    <w:rsid w:val="00710EC0"/>
    <w:rsid w:val="00711F48"/>
    <w:rsid w:val="00711F59"/>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5D6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0272"/>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728"/>
    <w:rsid w:val="008A2CB4"/>
    <w:rsid w:val="008A2F4A"/>
    <w:rsid w:val="008A526B"/>
    <w:rsid w:val="008A658B"/>
    <w:rsid w:val="008A66A9"/>
    <w:rsid w:val="008A670E"/>
    <w:rsid w:val="008B109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491E"/>
    <w:rsid w:val="00925F0D"/>
    <w:rsid w:val="00932271"/>
    <w:rsid w:val="0093248A"/>
    <w:rsid w:val="00934A31"/>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1C68"/>
    <w:rsid w:val="00A95E85"/>
    <w:rsid w:val="00A96A0F"/>
    <w:rsid w:val="00AA2846"/>
    <w:rsid w:val="00AA35D3"/>
    <w:rsid w:val="00AA3A36"/>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2F4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2891"/>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3923"/>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5C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65E"/>
    <w:rsid w:val="00E2289A"/>
    <w:rsid w:val="00E24CAC"/>
    <w:rsid w:val="00E27EE4"/>
    <w:rsid w:val="00E30532"/>
    <w:rsid w:val="00E30ABC"/>
    <w:rsid w:val="00E311C1"/>
    <w:rsid w:val="00E31EA2"/>
    <w:rsid w:val="00E33325"/>
    <w:rsid w:val="00E35ACB"/>
    <w:rsid w:val="00E35B77"/>
    <w:rsid w:val="00E3633E"/>
    <w:rsid w:val="00E365D6"/>
    <w:rsid w:val="00E36F40"/>
    <w:rsid w:val="00E37943"/>
    <w:rsid w:val="00E403A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058C"/>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28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D5B"/>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2D60"/>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 w:type="character" w:customStyle="1" w:styleId="UnresolvedMention">
    <w:name w:val="Unresolved Mention"/>
    <w:basedOn w:val="DefaultParagraphFont"/>
    <w:uiPriority w:val="99"/>
    <w:semiHidden/>
    <w:unhideWhenUsed/>
    <w:rsid w:val="0068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ShareHubID xmlns="710a584d-b494-4e90-bb0e-8d2ba517c0e5">PDOC24-83735</ShareHubID>
    <TaxCatchAll xmlns="710a584d-b494-4e90-bb0e-8d2ba517c0e5">
      <Value>1</Value>
    </TaxCatchAll>
    <PMCNotes xmlns="710a584d-b494-4e90-bb0e-8d2ba517c0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7AB7-4B04-41DB-B325-38B581D7D2A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685f9fda-bd71-4433-b331-92feb9553089"/>
    <ds:schemaRef ds:uri="710a584d-b494-4e90-bb0e-8d2ba517c0e5"/>
    <ds:schemaRef ds:uri="http://www.w3.org/XML/1998/namespace"/>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DCD63B99-B74B-4BD4-9C48-DD4E6B17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FAFEA-11D8-401F-A0A4-9CE257CE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9480</Words>
  <Characters>54038</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2021 Community Development Program Quarterly Compliance Data</dc:title>
  <dc:subject/>
  <dc:creator/>
  <cp:keywords>[SEC=OFFICIAL]</cp:keywords>
  <dc:description/>
  <cp:lastModifiedBy/>
  <cp:revision>1</cp:revision>
  <dcterms:created xsi:type="dcterms:W3CDTF">2024-05-28T09:26:00Z</dcterms:created>
  <dcterms:modified xsi:type="dcterms:W3CDTF">2024-05-28T09:26:00Z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ESearchTags">
    <vt:lpwstr>11;#Training|2f396fb6-baad-479d-8254-1550153bbe31;#19;#Meeting Minute|ad799f49-bdf8-4ec2-bcb1-44d38b617948</vt:lpwstr>
  </property>
  <property fmtid="{D5CDD505-2E9C-101B-9397-08002B2CF9AE}" pid="4" name="HPRMSecurityLevel">
    <vt:lpwstr>1;#OFFICIAL|11463c70-78df-4e3b-b0ff-f66cd3cb26ec</vt:lpwstr>
  </property>
  <property fmtid="{D5CDD505-2E9C-101B-9397-08002B2CF9AE}" pid="5" name="HPRMSecurityCaveat">
    <vt:lpwstr/>
  </property>
  <property fmtid="{D5CDD505-2E9C-101B-9397-08002B2CF9AE}" pid="6" name="PMC.ESearch.TagGeneratedTime">
    <vt:lpwstr>2021-12-16T13:40:04</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2024-02-13T00:57:47Z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50F75BEE576AC8091BE4AF1E4661730A</vt:lpwstr>
  </property>
  <property fmtid="{D5CDD505-2E9C-101B-9397-08002B2CF9AE}" pid="25" name="PM_Hash_Salt">
    <vt:lpwstr>8C4B80C6E411F0C177C5E269D92FF979</vt:lpwstr>
  </property>
  <property fmtid="{D5CDD505-2E9C-101B-9397-08002B2CF9AE}" pid="26" name="PM_Hash_SHA1">
    <vt:lpwstr>CF3258E5B7E94F799CDB13DB892DE723B258A355</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y fmtid="{D5CDD505-2E9C-101B-9397-08002B2CF9AE}" pid="32" name="PMHMAC">
    <vt:lpwstr>v=2022.1;a=SHA256;h=CFE6D3762D0EED9DCA1E8CF3D79D49D9F6B5C234145176953530800EAB212E91</vt:lpwstr>
  </property>
  <property fmtid="{D5CDD505-2E9C-101B-9397-08002B2CF9AE}" pid="33" name="MSIP_Label_eb34d90b-fc41-464d-af60-f74d721d0790_SetDate">
    <vt:lpwstr>2024-02-13T00:57:47Z</vt:lpwstr>
  </property>
  <property fmtid="{D5CDD505-2E9C-101B-9397-08002B2CF9AE}" pid="34" name="MSIP_Label_eb34d90b-fc41-464d-af60-f74d721d0790_Name">
    <vt:lpwstr>OFFICIAL</vt:lpwstr>
  </property>
  <property fmtid="{D5CDD505-2E9C-101B-9397-08002B2CF9AE}" pid="35" name="MSIP_Label_eb34d90b-fc41-464d-af60-f74d721d0790_SiteId">
    <vt:lpwstr>61e36dd1-ca6e-4d61-aa0a-2b4eb88317a3</vt:lpwstr>
  </property>
  <property fmtid="{D5CDD505-2E9C-101B-9397-08002B2CF9AE}" pid="36" name="MSIP_Label_eb34d90b-fc41-464d-af60-f74d721d0790_ContentBits">
    <vt:lpwstr>0</vt:lpwstr>
  </property>
  <property fmtid="{D5CDD505-2E9C-101B-9397-08002B2CF9AE}" pid="37" name="MSIP_Label_eb34d90b-fc41-464d-af60-f74d721d0790_Enabled">
    <vt:lpwstr>true</vt:lpwstr>
  </property>
  <property fmtid="{D5CDD505-2E9C-101B-9397-08002B2CF9AE}" pid="38" name="MSIP_Label_eb34d90b-fc41-464d-af60-f74d721d0790_Method">
    <vt:lpwstr>Privileged</vt:lpwstr>
  </property>
  <property fmtid="{D5CDD505-2E9C-101B-9397-08002B2CF9AE}" pid="39" name="MSIP_Label_eb34d90b-fc41-464d-af60-f74d721d0790_ActionId">
    <vt:lpwstr>c04f332aadb84a4e9aa150578c5aa788</vt:lpwstr>
  </property>
  <property fmtid="{D5CDD505-2E9C-101B-9397-08002B2CF9AE}" pid="40" name="PMUuid">
    <vt:lpwstr>v=2022.2;d=gov.au;g=46DD6D7C-8107-577B-BC6E-F348953B2E44</vt:lpwstr>
  </property>
</Properties>
</file>